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center"/>
        <w:rPr>
          <w:rFonts w:ascii="Effra Corp" w:hAnsi="Effra Corp" w:eastAsia="Effra Corp" w:cs="Arial"/>
          <w:b/>
          <w:color w:val="C00000"/>
          <w:spacing w:val="-2"/>
          <w:sz w:val="20"/>
          <w:szCs w:val="20"/>
          <w:lang w:val="el-GR" w:bidi="el-GR"/>
        </w:rPr>
      </w:pPr>
      <w:r>
        <w:rPr>
          <w:rFonts w:eastAsia="Effra Corp" w:cs="Arial" w:ascii="Effra Corp" w:hAnsi="Effra Corp"/>
          <w:b/>
          <w:color w:val="C00000"/>
          <w:spacing w:val="-2"/>
          <w:sz w:val="20"/>
          <w:szCs w:val="20"/>
          <w:lang w:val="el-GR" w:bidi="el-GR"/>
        </w:rPr>
        <w:t>Η αύξηση του όγκου πωλήσεων στο πρώτο εξάμηνο στηρίζει την αναβάθμιση των χρηματοοικονομικών μας κατευθύνσεων για το 2026</w:t>
      </w:r>
    </w:p>
    <w:p>
      <w:pPr>
        <w:pStyle w:val="Normal"/>
        <w:spacing w:before="0" w:after="120"/>
        <w:jc w:val="both"/>
        <w:rPr>
          <w:rFonts w:ascii="Effra Corp" w:hAnsi="Effra Corp" w:eastAsia="Effra Corp" w:cs="Arial"/>
          <w:spacing w:val="-2"/>
          <w:sz w:val="20"/>
          <w:szCs w:val="20"/>
          <w:lang w:val="el-GR" w:bidi="el-GR"/>
        </w:rPr>
      </w:pPr>
      <w:r>
        <w:rPr>
          <w:rFonts w:eastAsia="Effra Corp" w:cs="Arial" w:ascii="Effra Corp" w:hAnsi="Effra Corp"/>
          <w:spacing w:val="-2"/>
          <w:sz w:val="20"/>
          <w:szCs w:val="20"/>
          <w:lang w:bidi="el-GR"/>
        </w:rPr>
        <w:t>H</w:t>
      </w:r>
      <w:r>
        <w:rPr>
          <w:rFonts w:eastAsia="Effra Corp" w:cs="Arial" w:ascii="Effra Corp" w:hAnsi="Effra Corp"/>
          <w:spacing w:val="-2"/>
          <w:sz w:val="20"/>
          <w:szCs w:val="20"/>
          <w:lang w:val="el-GR" w:bidi="el-GR"/>
        </w:rPr>
        <w:t xml:space="preserve"> </w:t>
      </w:r>
      <w:r>
        <w:rPr>
          <w:rFonts w:eastAsia="Effra Corp" w:cs="Arial" w:ascii="Effra Corp" w:hAnsi="Effra Corp"/>
          <w:spacing w:val="-2"/>
          <w:sz w:val="20"/>
          <w:szCs w:val="20"/>
          <w:lang w:bidi="el-GR"/>
        </w:rPr>
        <w:t>Coca</w:t>
      </w:r>
      <w:r>
        <w:rPr>
          <w:rFonts w:eastAsia="Effra Corp" w:cs="Arial" w:ascii="Effra Corp" w:hAnsi="Effra Corp"/>
          <w:spacing w:val="-2"/>
          <w:sz w:val="20"/>
          <w:szCs w:val="20"/>
          <w:lang w:val="el-GR" w:bidi="el-GR"/>
        </w:rPr>
        <w:t>-</w:t>
      </w:r>
      <w:r>
        <w:rPr>
          <w:rFonts w:eastAsia="Effra Corp" w:cs="Arial" w:ascii="Effra Corp" w:hAnsi="Effra Corp"/>
          <w:spacing w:val="-2"/>
          <w:sz w:val="20"/>
          <w:szCs w:val="20"/>
          <w:lang w:bidi="el-GR"/>
        </w:rPr>
        <w:t>Cola</w:t>
      </w:r>
      <w:r>
        <w:rPr>
          <w:rFonts w:eastAsia="Effra Corp" w:cs="Arial" w:ascii="Effra Corp" w:hAnsi="Effra Corp"/>
          <w:spacing w:val="-2"/>
          <w:sz w:val="20"/>
          <w:szCs w:val="20"/>
          <w:lang w:val="el-GR" w:bidi="el-GR"/>
        </w:rPr>
        <w:t xml:space="preserve"> </w:t>
      </w:r>
      <w:r>
        <w:rPr>
          <w:rFonts w:eastAsia="Effra Corp" w:cs="Arial" w:ascii="Effra Corp" w:hAnsi="Effra Corp"/>
          <w:spacing w:val="-2"/>
          <w:sz w:val="20"/>
          <w:szCs w:val="20"/>
          <w:lang w:bidi="el-GR"/>
        </w:rPr>
        <w:t>HBC</w:t>
      </w:r>
      <w:r>
        <w:rPr>
          <w:rFonts w:eastAsia="Effra Corp" w:cs="Arial" w:ascii="Effra Corp" w:hAnsi="Effra Corp"/>
          <w:spacing w:val="-2"/>
          <w:sz w:val="20"/>
          <w:szCs w:val="20"/>
          <w:lang w:val="el-GR" w:bidi="el-GR"/>
        </w:rPr>
        <w:t xml:space="preserve"> </w:t>
      </w:r>
      <w:r>
        <w:rPr>
          <w:rFonts w:eastAsia="Effra Corp" w:cs="Arial" w:ascii="Effra Corp" w:hAnsi="Effra Corp"/>
          <w:spacing w:val="-2"/>
          <w:sz w:val="20"/>
          <w:szCs w:val="20"/>
          <w:lang w:bidi="el-GR"/>
        </w:rPr>
        <w:t>AG</w:t>
      </w:r>
      <w:r>
        <w:rPr>
          <w:rFonts w:eastAsia="Effra Corp" w:cs="Arial" w:ascii="Effra Corp" w:hAnsi="Effra Corp"/>
          <w:spacing w:val="-2"/>
          <w:sz w:val="20"/>
          <w:szCs w:val="20"/>
          <w:lang w:val="el-GR" w:bidi="el-GR"/>
        </w:rPr>
        <w:t xml:space="preserve">, Όμιλος παραγωγής καταναλωτικών προϊόντων προσανατολισμένος στην ανάπτυξη και στρατηγικός εταίρος εμφιάλωσης της </w:t>
      </w:r>
      <w:r>
        <w:rPr>
          <w:rFonts w:eastAsia="Effra Corp" w:cs="Arial" w:ascii="Effra Corp" w:hAnsi="Effra Corp"/>
          <w:spacing w:val="-2"/>
          <w:sz w:val="20"/>
          <w:szCs w:val="20"/>
          <w:lang w:bidi="el-GR"/>
        </w:rPr>
        <w:t>The</w:t>
      </w:r>
      <w:r>
        <w:rPr>
          <w:rFonts w:eastAsia="Effra Corp" w:cs="Arial" w:ascii="Effra Corp" w:hAnsi="Effra Corp"/>
          <w:spacing w:val="-2"/>
          <w:sz w:val="20"/>
          <w:szCs w:val="20"/>
          <w:lang w:val="el-GR" w:bidi="el-GR"/>
        </w:rPr>
        <w:t xml:space="preserve"> </w:t>
      </w:r>
      <w:r>
        <w:rPr>
          <w:rFonts w:eastAsia="Effra Corp" w:cs="Arial" w:ascii="Effra Corp" w:hAnsi="Effra Corp"/>
          <w:spacing w:val="-2"/>
          <w:sz w:val="20"/>
          <w:szCs w:val="20"/>
          <w:lang w:bidi="el-GR"/>
        </w:rPr>
        <w:t>Coca</w:t>
      </w:r>
      <w:r>
        <w:rPr>
          <w:rFonts w:eastAsia="Effra Corp" w:cs="Arial" w:ascii="Effra Corp" w:hAnsi="Effra Corp"/>
          <w:spacing w:val="-2"/>
          <w:sz w:val="20"/>
          <w:szCs w:val="20"/>
          <w:lang w:val="el-GR" w:bidi="el-GR"/>
        </w:rPr>
        <w:t>-</w:t>
      </w:r>
      <w:r>
        <w:rPr>
          <w:rFonts w:eastAsia="Effra Corp" w:cs="Arial" w:ascii="Effra Corp" w:hAnsi="Effra Corp"/>
          <w:spacing w:val="-2"/>
          <w:sz w:val="20"/>
          <w:szCs w:val="20"/>
          <w:lang w:bidi="el-GR"/>
        </w:rPr>
        <w:t>Cola</w:t>
      </w:r>
      <w:r>
        <w:rPr>
          <w:rFonts w:eastAsia="Effra Corp" w:cs="Arial" w:ascii="Effra Corp" w:hAnsi="Effra Corp"/>
          <w:spacing w:val="-2"/>
          <w:sz w:val="20"/>
          <w:szCs w:val="20"/>
          <w:lang w:val="el-GR" w:bidi="el-GR"/>
        </w:rPr>
        <w:t xml:space="preserve"> </w:t>
      </w:r>
      <w:r>
        <w:rPr>
          <w:rFonts w:eastAsia="Effra Corp" w:cs="Arial" w:ascii="Effra Corp" w:hAnsi="Effra Corp"/>
          <w:spacing w:val="-2"/>
          <w:sz w:val="20"/>
          <w:szCs w:val="20"/>
          <w:lang w:bidi="el-GR"/>
        </w:rPr>
        <w:t>Company</w:t>
      </w:r>
      <w:r>
        <w:rPr>
          <w:rFonts w:eastAsia="Effra Corp" w:cs="Arial" w:ascii="Effra Corp" w:hAnsi="Effra Corp"/>
          <w:spacing w:val="-2"/>
          <w:sz w:val="20"/>
          <w:szCs w:val="20"/>
          <w:lang w:val="el-GR" w:bidi="el-GR"/>
        </w:rPr>
        <w:t xml:space="preserve">, παρουσιάζει τα οικονομικά αποτελέσματά της για το εξάμηνο που έληξε στις 3 Ιουλίου 2026. </w:t>
      </w:r>
    </w:p>
    <w:p>
      <w:pPr>
        <w:pStyle w:val="Normal"/>
        <w:spacing w:before="0" w:after="120"/>
        <w:rPr>
          <w:rFonts w:ascii="Effra Corp" w:hAnsi="Effra Corp" w:cs="Arial"/>
          <w:b/>
          <w:color w:val="C00000"/>
          <w:spacing w:val="-2"/>
          <w:sz w:val="20"/>
          <w:szCs w:val="20"/>
          <w:lang w:val="el-GR"/>
        </w:rPr>
      </w:pPr>
      <w:r>
        <w:rPr>
          <w:rFonts w:eastAsia="Effra Corp" w:cs="Arial" w:ascii="Effra Corp" w:hAnsi="Effra Corp"/>
          <w:b/>
          <w:color w:val="C00000"/>
          <w:spacing w:val="-2"/>
          <w:sz w:val="20"/>
          <w:szCs w:val="20"/>
          <w:lang w:bidi="el-GR"/>
        </w:rPr>
        <w:t xml:space="preserve">Βασικά σημεία επιδόσεων </w:t>
      </w:r>
      <w:r>
        <w:rPr>
          <w:rFonts w:eastAsia="Effra Corp" w:cs="Arial" w:ascii="Effra Corp" w:hAnsi="Effra Corp"/>
          <w:b/>
          <w:color w:val="C00000"/>
          <w:spacing w:val="-2"/>
          <w:sz w:val="20"/>
          <w:szCs w:val="20"/>
          <w:lang w:val="el-GR" w:bidi="el-GR"/>
        </w:rPr>
        <w:t>εξαμήνου</w:t>
      </w:r>
    </w:p>
    <w:p>
      <w:pPr>
        <w:pStyle w:val="ListParagraph"/>
        <w:numPr>
          <w:ilvl w:val="0"/>
          <w:numId w:val="8"/>
        </w:numPr>
        <w:spacing w:before="120" w:after="120"/>
        <w:ind w:left="720" w:hanging="357"/>
        <w:contextualSpacing/>
        <w:jc w:val="both"/>
        <w:rPr>
          <w:rFonts w:ascii="Effra Corp" w:hAnsi="Effra Corp"/>
          <w:b/>
          <w:color w:val="000000"/>
          <w:spacing w:val="-2"/>
          <w:sz w:val="20"/>
          <w:szCs w:val="20"/>
          <w:lang w:val="el-GR"/>
        </w:rPr>
      </w:pPr>
      <w:r>
        <w:rPr>
          <w:rFonts w:eastAsia="Effra Corp" w:cs="Effra Corp" w:ascii="Effra Corp" w:hAnsi="Effra Corp"/>
          <w:b/>
          <w:color w:val="000000"/>
          <w:spacing w:val="-2"/>
          <w:sz w:val="20"/>
          <w:szCs w:val="20"/>
          <w:lang w:val="el-GR" w:bidi="el-GR"/>
        </w:rPr>
        <w:t>Η ισχυρή υλοποίηση των στρατηγικών προτεραιοτήτων μας, οδήγησε σε σημαντική αύξηση των καθαρών εσόδων από πωλήσεις κατά 9,6% σε οργανική βάση</w:t>
      </w:r>
      <w:r>
        <w:rPr>
          <w:rStyle w:val="Style8"/>
          <w:rFonts w:ascii="Effra Corp" w:hAnsi="Effra Corp"/>
          <w:b/>
          <w:color w:val="000000"/>
          <w:spacing w:val="-2"/>
          <w:sz w:val="20"/>
          <w:szCs w:val="20"/>
          <w:lang w:val="el-GR"/>
        </w:rPr>
        <w:footnoteReference w:id="2"/>
      </w:r>
    </w:p>
    <w:p>
      <w:pPr>
        <w:pStyle w:val="ListParagraph"/>
        <w:numPr>
          <w:ilvl w:val="1"/>
          <w:numId w:val="8"/>
        </w:numPr>
        <w:spacing w:before="120" w:after="120"/>
        <w:ind w:left="1440" w:hanging="357"/>
        <w:contextualSpacing/>
        <w:jc w:val="both"/>
        <w:rPr>
          <w:rFonts w:ascii="Effra Corp" w:hAnsi="Effra Corp"/>
          <w:color w:val="000000"/>
          <w:spacing w:val="-2"/>
          <w:sz w:val="20"/>
          <w:szCs w:val="20"/>
          <w:lang w:val="el-GR"/>
        </w:rPr>
      </w:pPr>
      <w:r>
        <w:rPr>
          <w:rFonts w:eastAsia="Effra Corp" w:cs="Effra Corp" w:ascii="Effra Corp" w:hAnsi="Effra Corp"/>
          <w:color w:val="000000"/>
          <w:spacing w:val="-2"/>
          <w:sz w:val="20"/>
          <w:szCs w:val="20"/>
          <w:lang w:val="el-GR" w:bidi="el-GR"/>
        </w:rPr>
        <w:t>Ο όγκος πωλήσεων αυξήθηκε κατά 7,5% σε οργανική βάση στο πρώτο εξάμηνο του έτους, κυρίως λόγω των επιδόσεων στα ανθρακούχα αναψυκτικά +6,4%, και στα ποτά ενέργειας +26,1%.</w:t>
      </w:r>
    </w:p>
    <w:p>
      <w:pPr>
        <w:pStyle w:val="ListParagraph"/>
        <w:numPr>
          <w:ilvl w:val="1"/>
          <w:numId w:val="8"/>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Παρότι το α’ τρίμηνο υπήρχε το όφελος από τέσσερις επιπλέον ημέρες πωλήσεων, οι όγκοι πωλήσεων το β΄ τρίμηνο επιταχύνθηκαν σε υποκείμενη βάση, σημειώνοντας αύξηση 5,8%, υποστηριζόμενη από ευρείας βάσης ισχυρές επιδόσεις σε όλους τους τομείς δραστηριότητας.</w:t>
      </w:r>
    </w:p>
    <w:p>
      <w:pPr>
        <w:pStyle w:val="ListParagraph"/>
        <w:numPr>
          <w:ilvl w:val="1"/>
          <w:numId w:val="8"/>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Τα καθαρά έσοδα ανά κιβώτιο αυξήθηκαν κατά 1,9% σε οργανική βάση, ως αποτέλεσμα των στοχευμένων πρωτοβουλιών διαχείρισης αύξησης εσόδων (</w:t>
      </w:r>
      <w:r>
        <w:rPr>
          <w:rFonts w:eastAsia="Effra Corp" w:cs="Effra Corp" w:ascii="Effra Corp" w:hAnsi="Effra Corp"/>
          <w:color w:val="000000"/>
          <w:spacing w:val="-2"/>
          <w:sz w:val="20"/>
          <w:szCs w:val="20"/>
          <w:lang w:bidi="el-GR"/>
        </w:rPr>
        <w:t>RGM</w:t>
      </w:r>
      <w:r>
        <w:rPr>
          <w:rFonts w:eastAsia="Effra Corp" w:cs="Effra Corp" w:ascii="Effra Corp" w:hAnsi="Effra Corp"/>
          <w:color w:val="000000"/>
          <w:spacing w:val="-2"/>
          <w:sz w:val="20"/>
          <w:szCs w:val="20"/>
          <w:lang w:val="el-GR" w:bidi="el-GR"/>
        </w:rPr>
        <w:t xml:space="preserve">), παρά την επίπτωση από το μείγμα χωρών. </w:t>
      </w:r>
    </w:p>
    <w:p>
      <w:pPr>
        <w:pStyle w:val="ListParagraph"/>
        <w:numPr>
          <w:ilvl w:val="1"/>
          <w:numId w:val="8"/>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Τα καθαρά έσοδα από πωλήσεις αυξήθηκαν κατά 10,8% σε δημοσιευμένη βάση, λόγω της ισχυρής οργανικής αύξησης και του οφέλους από συναλλαγματικές διαφορές μετατροπής των αποτελεσμάτων στο νόμισμα αναφοράς του Ομίλου.</w:t>
      </w:r>
    </w:p>
    <w:p>
      <w:pPr>
        <w:pStyle w:val="ListParagraph"/>
        <w:numPr>
          <w:ilvl w:val="1"/>
          <w:numId w:val="3"/>
        </w:numPr>
        <w:spacing w:before="120" w:after="60"/>
        <w:ind w:left="1440" w:hanging="357"/>
        <w:contextualSpacing w:val="false"/>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Αύξηση του μεριδίου αγοράς μας σε αξία κατά 80 μονάδες βάσης στα έτοιμα προς κατανάλωση μη αλκοολούχα αναψυκτικά και κατά 40 μονάδες βάσης στα ανθρακούχα αναψυκτικά  για την περίοδο</w:t>
      </w:r>
      <w:r>
        <w:rPr>
          <w:rStyle w:val="Style8"/>
          <w:rFonts w:eastAsia="Effra Corp" w:cs="Effra Corp" w:ascii="Effra Corp" w:hAnsi="Effra Corp"/>
          <w:b/>
          <w:color w:val="000000"/>
          <w:spacing w:val="-2"/>
          <w:sz w:val="20"/>
          <w:szCs w:val="20"/>
          <w:lang w:val="el-GR" w:bidi="el-GR"/>
        </w:rPr>
        <w:footnoteReference w:id="3"/>
      </w:r>
      <w:r>
        <w:rPr>
          <w:rFonts w:eastAsia="Effra Corp" w:cs="Effra Corp" w:ascii="Effra Corp" w:hAnsi="Effra Corp"/>
          <w:b/>
          <w:color w:val="000000"/>
          <w:spacing w:val="-2"/>
          <w:sz w:val="20"/>
          <w:szCs w:val="20"/>
          <w:lang w:val="el-GR" w:bidi="el-GR"/>
        </w:rPr>
        <w:t>.</w:t>
      </w:r>
      <w:r>
        <w:rPr>
          <w:rFonts w:eastAsia="Effra Corp" w:cs="Effra Corp" w:ascii="Effra Corp" w:hAnsi="Effra Corp"/>
          <w:b/>
          <w:color w:val="000000"/>
          <w:spacing w:val="-2"/>
          <w:sz w:val="20"/>
          <w:szCs w:val="20"/>
          <w:vertAlign w:val="superscript"/>
          <w:lang w:val="el-GR" w:bidi="el-GR"/>
        </w:rPr>
        <w:t xml:space="preserve">  </w:t>
      </w:r>
    </w:p>
    <w:p>
      <w:pPr>
        <w:pStyle w:val="ListParagraph"/>
        <w:numPr>
          <w:ilvl w:val="0"/>
          <w:numId w:val="3"/>
        </w:numPr>
        <w:spacing w:before="120" w:after="120"/>
        <w:ind w:left="720" w:hanging="357"/>
        <w:contextualSpacing/>
        <w:jc w:val="both"/>
        <w:rPr>
          <w:rFonts w:ascii="Effra Corp" w:hAnsi="Effra Corp"/>
          <w:color w:val="000000"/>
          <w:spacing w:val="-2"/>
          <w:sz w:val="20"/>
          <w:szCs w:val="20"/>
          <w:lang w:val="el-GR"/>
        </w:rPr>
      </w:pPr>
      <w:r>
        <w:rPr>
          <w:rFonts w:eastAsia="Effra Corp" w:cs="Effra Corp" w:ascii="Effra Corp" w:hAnsi="Effra Corp"/>
          <w:b/>
          <w:color w:val="000000"/>
          <w:spacing w:val="-2"/>
          <w:sz w:val="20"/>
          <w:szCs w:val="20"/>
          <w:lang w:val="el-GR" w:bidi="el-GR"/>
        </w:rPr>
        <w:t>Ισχυρή αύξηση των συγκρίσιμων λειτουργικών κερδών κατά 15,2% σε οργανική βάση</w:t>
      </w:r>
    </w:p>
    <w:p>
      <w:pPr>
        <w:pStyle w:val="ListParagraph"/>
        <w:numPr>
          <w:ilvl w:val="1"/>
          <w:numId w:val="3"/>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Τα συγκρίσιμα λειτουργικά κέρδη διαμορφώθηκαν στα €760,1 εκατ., σημειώνοντας αύξηση κατά 15,2% σε οργανική βάση και 17,0% σε δημοσιευμένη βάση, υποστηριζόμενα από μία ήπια ευνοϊκή επίδραση στις συναλλαγματικές διαφορές μετατροπής των αποτελεσμάτων στο νόμισμα αναφοράς του Ομίλου.</w:t>
      </w:r>
    </w:p>
    <w:p>
      <w:pPr>
        <w:pStyle w:val="ListParagraph"/>
        <w:numPr>
          <w:ilvl w:val="1"/>
          <w:numId w:val="3"/>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 xml:space="preserve">Το περιθώριο συγκρίσιμου μεικτού κέρδους αυξήθηκε κατά 110 μονάδες βάσης, φθάνοντας στο 37,8%, επωφελούμενο από την ισχυρή ανάπτυξη των εσόδων. </w:t>
      </w:r>
    </w:p>
    <w:p>
      <w:pPr>
        <w:pStyle w:val="ListParagraph"/>
        <w:numPr>
          <w:ilvl w:val="1"/>
          <w:numId w:val="4"/>
        </w:numPr>
        <w:spacing w:before="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Τα λειτουργικά έξοδα ως ποσοστό των εσόδων αυξήθηκαν κατά 50 μονάδες βάσης έναντι του αντίστοιχου περσινού εξαμήνου, αντανακλώντας υψηλότερες επενδύσεις μάρκετινγκ, με έμφαση σε σημαντικές διοργανώσεις και κυκλοφορίες καινοτόμων προϊόντων.</w:t>
      </w:r>
    </w:p>
    <w:p>
      <w:pPr>
        <w:pStyle w:val="ListParagraph"/>
        <w:numPr>
          <w:ilvl w:val="1"/>
          <w:numId w:val="3"/>
        </w:numPr>
        <w:spacing w:before="120" w:after="60"/>
        <w:ind w:left="1440" w:hanging="357"/>
        <w:contextualSpacing w:val="false"/>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 xml:space="preserve">Tο περιθώριο συγκρίσιμου λειτουργικού κέρδους βελτιώθηκε κατά 60 μονάδες βάσης σε δημοσιευμένη και οργανική βάση, φθάνοντας στο 12,2%. </w:t>
      </w:r>
    </w:p>
    <w:p>
      <w:pPr>
        <w:pStyle w:val="ListParagraph"/>
        <w:numPr>
          <w:ilvl w:val="0"/>
          <w:numId w:val="3"/>
        </w:numPr>
        <w:spacing w:before="240" w:after="120"/>
        <w:ind w:left="720" w:hanging="357"/>
        <w:contextualSpacing/>
        <w:jc w:val="both"/>
        <w:rPr>
          <w:rFonts w:ascii="Effra Corp" w:hAnsi="Effra Corp" w:eastAsia="Effra Corp" w:cs="Effra Corp"/>
          <w:b/>
          <w:color w:val="000000"/>
          <w:spacing w:val="-2"/>
          <w:sz w:val="20"/>
          <w:szCs w:val="20"/>
          <w:lang w:val="el-GR" w:bidi="el-GR"/>
        </w:rPr>
      </w:pPr>
      <w:r>
        <w:rPr>
          <w:rFonts w:eastAsia="Effra Corp" w:cs="Effra Corp" w:ascii="Effra Corp" w:hAnsi="Effra Corp"/>
          <w:b/>
          <w:color w:val="000000"/>
          <w:spacing w:val="-2"/>
          <w:sz w:val="20"/>
          <w:szCs w:val="20"/>
          <w:lang w:val="el-GR" w:bidi="el-GR"/>
        </w:rPr>
        <w:t xml:space="preserve">Βασικά στοιχεία ανά αγορά: </w:t>
      </w:r>
      <w:r>
        <w:rPr>
          <w:rFonts w:eastAsia="Effra Corp" w:cs="Effra Corp" w:ascii="Effra Corp" w:hAnsi="Effra Corp"/>
          <w:b/>
          <w:bCs/>
          <w:color w:val="000000"/>
          <w:spacing w:val="-2"/>
          <w:sz w:val="20"/>
          <w:szCs w:val="20"/>
          <w:lang w:val="el-GR" w:bidi="el-GR"/>
        </w:rPr>
        <w:t xml:space="preserve">Ευρείας βάσης αύξηση των καθαρών εσόδων από πωλήσεις σε οργανική βάση </w:t>
      </w:r>
    </w:p>
    <w:p>
      <w:pPr>
        <w:pStyle w:val="ListParagraph"/>
        <w:numPr>
          <w:ilvl w:val="1"/>
          <w:numId w:val="4"/>
        </w:numPr>
        <w:spacing w:before="120" w:after="120"/>
        <w:ind w:left="1440" w:hanging="357"/>
        <w:contextualSpacing/>
        <w:jc w:val="both"/>
        <w:rPr>
          <w:rFonts w:ascii="Effra Corp" w:hAnsi="Effra Corp"/>
          <w:b/>
          <w:color w:val="000000"/>
          <w:spacing w:val="-2"/>
          <w:sz w:val="20"/>
          <w:szCs w:val="20"/>
          <w:lang w:val="el-GR"/>
        </w:rPr>
      </w:pPr>
      <w:r>
        <w:rPr>
          <w:rFonts w:eastAsia="Effra Corp" w:cs="Effra Corp" w:ascii="Effra Corp" w:hAnsi="Effra Corp"/>
          <w:b/>
          <w:color w:val="000000"/>
          <w:spacing w:val="-2"/>
          <w:sz w:val="20"/>
          <w:szCs w:val="20"/>
          <w:lang w:val="el-GR" w:bidi="el-GR"/>
        </w:rPr>
        <w:t>Αναπτυγμένες αγορές:</w:t>
      </w:r>
      <w:r>
        <w:rPr>
          <w:rFonts w:eastAsia="Effra Corp" w:cs="Effra Corp" w:ascii="Effra Corp" w:hAnsi="Effra Corp"/>
          <w:color w:val="000000"/>
          <w:spacing w:val="-2"/>
          <w:sz w:val="20"/>
          <w:szCs w:val="20"/>
          <w:lang w:val="el-GR" w:bidi="el-GR"/>
        </w:rPr>
        <w:t xml:space="preserve"> Τα καθαρά έσοδα από πωλήσεις αυξήθηκαν κατά</w:t>
      </w:r>
      <w:r>
        <w:rPr>
          <w:rFonts w:eastAsia="Calibri" w:cs="Effra Corp" w:ascii="Effra Corp" w:hAnsi="Effra Corp"/>
          <w:sz w:val="20"/>
          <w:szCs w:val="20"/>
          <w:lang w:val="el-GR" w:bidi="el-GR"/>
        </w:rPr>
        <w:t xml:space="preserve"> 6,2% σε οργανική βάση, </w:t>
      </w:r>
      <w:bookmarkStart w:id="0" w:name="_Hlk220930178"/>
      <w:r>
        <w:rPr>
          <w:rFonts w:eastAsia="Calibri" w:cs="Effra Corp" w:ascii="Effra Corp" w:hAnsi="Effra Corp"/>
          <w:sz w:val="20"/>
          <w:szCs w:val="20"/>
          <w:lang w:val="el-GR" w:bidi="el-GR"/>
        </w:rPr>
        <w:t xml:space="preserve">λόγω της </w:t>
      </w:r>
      <w:bookmarkEnd w:id="0"/>
      <w:r>
        <w:rPr>
          <w:rFonts w:eastAsia="Calibri" w:cs="Effra Corp" w:ascii="Effra Corp" w:hAnsi="Effra Corp"/>
          <w:sz w:val="20"/>
          <w:szCs w:val="20"/>
          <w:lang w:val="el-GR" w:bidi="el-GR"/>
        </w:rPr>
        <w:t xml:space="preserve">αύξησης του όγκου πωλήσεων. Τα λειτουργικά κέρδη αυξήθηκαν κατά 6,9% σε οργανική βάση. </w:t>
      </w:r>
    </w:p>
    <w:p>
      <w:pPr>
        <w:pStyle w:val="ListParagraph"/>
        <w:numPr>
          <w:ilvl w:val="1"/>
          <w:numId w:val="4"/>
        </w:numPr>
        <w:spacing w:before="120" w:after="120"/>
        <w:ind w:left="1440" w:hanging="357"/>
        <w:contextualSpacing/>
        <w:jc w:val="both"/>
        <w:rPr>
          <w:rStyle w:val="Normaltextrun"/>
          <w:rFonts w:ascii="Effra Corp" w:hAnsi="Effra Corp"/>
          <w:b/>
          <w:color w:val="000000"/>
          <w:spacing w:val="-2"/>
          <w:sz w:val="20"/>
          <w:szCs w:val="20"/>
          <w:lang w:val="el-GR"/>
        </w:rPr>
      </w:pPr>
      <w:r>
        <w:rPr>
          <w:rFonts w:eastAsia="Effra Corp" w:cs="Effra Corp" w:ascii="Effra Corp" w:hAnsi="Effra Corp"/>
          <w:b/>
          <w:color w:val="000000"/>
          <w:spacing w:val="-2"/>
          <w:sz w:val="20"/>
          <w:szCs w:val="20"/>
          <w:lang w:val="el-GR" w:bidi="el-GR"/>
        </w:rPr>
        <w:t>Αναπτυσσόμενες αγορές:</w:t>
      </w:r>
      <w:r>
        <w:rPr>
          <w:rFonts w:eastAsia="Effra Corp" w:cs="Effra Corp" w:ascii="Effra Corp" w:hAnsi="Effra Corp"/>
          <w:color w:val="000000"/>
          <w:spacing w:val="-2"/>
          <w:sz w:val="20"/>
          <w:szCs w:val="20"/>
          <w:lang w:val="el-GR" w:bidi="el-GR"/>
        </w:rPr>
        <w:t xml:space="preserve"> Τα καθαρά έσοδα από πωλήσεις αυξήθηκαν κατά</w:t>
      </w:r>
      <w:r>
        <w:rPr>
          <w:rFonts w:eastAsia="Calibri" w:cs="Effra Corp" w:ascii="Effra Corp" w:hAnsi="Effra Corp"/>
          <w:sz w:val="20"/>
          <w:szCs w:val="20"/>
          <w:lang w:val="el-GR" w:bidi="el-GR"/>
        </w:rPr>
        <w:t xml:space="preserve"> </w:t>
      </w:r>
      <w:r>
        <w:rPr>
          <w:rFonts w:eastAsia="Effra Corp" w:cs="Effra Corp" w:ascii="Effra Corp" w:hAnsi="Effra Corp"/>
          <w:color w:val="000000"/>
          <w:spacing w:val="-2"/>
          <w:sz w:val="20"/>
          <w:szCs w:val="20"/>
          <w:lang w:val="el-GR" w:bidi="el-GR"/>
        </w:rPr>
        <w:t xml:space="preserve">9,0% σε οργανική βάση, </w:t>
      </w:r>
      <w:r>
        <w:rPr>
          <w:rFonts w:eastAsia="Calibri" w:cs="Effra Corp" w:ascii="Effra Corp" w:hAnsi="Effra Corp"/>
          <w:sz w:val="20"/>
          <w:szCs w:val="20"/>
          <w:lang w:val="el-GR" w:bidi="el-GR"/>
        </w:rPr>
        <w:t xml:space="preserve">λόγω της αύξησης τόσο του όγκου πωλήσεων όσο και των εσόδων ανά κιβώτιο. Τα </w:t>
      </w:r>
      <w:r>
        <w:rPr>
          <w:rFonts w:eastAsia="Effra Corp" w:cs="Effra Corp" w:ascii="Effra Corp" w:hAnsi="Effra Corp"/>
          <w:color w:val="000000"/>
          <w:spacing w:val="-2"/>
          <w:sz w:val="20"/>
          <w:szCs w:val="20"/>
          <w:lang w:val="el-GR" w:bidi="el-GR"/>
        </w:rPr>
        <w:t>λειτουργικά κέρδη</w:t>
      </w:r>
      <w:r>
        <w:rPr>
          <w:rStyle w:val="Normaltextrun"/>
          <w:rFonts w:eastAsia="Effra Corp" w:cs="Effra Corp" w:ascii="Effra Corp" w:hAnsi="Effra Corp"/>
          <w:color w:val="000000"/>
          <w:sz w:val="20"/>
          <w:szCs w:val="20"/>
          <w:lang w:val="el-GR" w:bidi="el-GR"/>
        </w:rPr>
        <w:t xml:space="preserve"> αυξήθηκαν κατά 1,8% σε οργανική βάση. </w:t>
      </w:r>
    </w:p>
    <w:p>
      <w:pPr>
        <w:pStyle w:val="ListParagraph"/>
        <w:numPr>
          <w:ilvl w:val="1"/>
          <w:numId w:val="4"/>
        </w:numPr>
        <w:spacing w:before="120" w:after="60"/>
        <w:ind w:left="1440" w:hanging="357"/>
        <w:contextualSpacing w:val="false"/>
        <w:jc w:val="both"/>
        <w:rPr>
          <w:rFonts w:ascii="Effra Corp" w:hAnsi="Effra Corp"/>
          <w:b/>
          <w:color w:val="000000"/>
          <w:spacing w:val="-2"/>
          <w:sz w:val="20"/>
          <w:szCs w:val="20"/>
          <w:lang w:val="el-GR"/>
        </w:rPr>
      </w:pPr>
      <w:r>
        <w:rPr>
          <w:rFonts w:eastAsia="Effra Corp" w:cs="Effra Corp" w:ascii="Effra Corp" w:hAnsi="Effra Corp"/>
          <w:b/>
          <w:color w:val="000000"/>
          <w:spacing w:val="-2"/>
          <w:sz w:val="20"/>
          <w:szCs w:val="20"/>
          <w:lang w:val="el-GR" w:bidi="el-GR"/>
        </w:rPr>
        <w:t xml:space="preserve">Αναδυόμενες αγορές: </w:t>
      </w:r>
      <w:r>
        <w:rPr>
          <w:rFonts w:eastAsia="Effra Corp" w:cs="Effra Corp" w:ascii="Effra Corp" w:hAnsi="Effra Corp"/>
          <w:color w:val="000000"/>
          <w:spacing w:val="-2"/>
          <w:sz w:val="20"/>
          <w:szCs w:val="20"/>
          <w:lang w:val="el-GR" w:bidi="el-GR"/>
        </w:rPr>
        <w:t>Τα καθαρά έσοδα από πωλήσεις αυξήθηκαν κατά 12,0% σε οργανική βάση, κυρίως λόγω της ισχυρής αύξησης του όγκου πωλήσεων. Τα λειτουργικά κέρδη αυξήθηκαν κατά 23,9% σε οργανική βάση.</w:t>
      </w:r>
    </w:p>
    <w:p>
      <w:pPr>
        <w:pStyle w:val="ListParagraph"/>
        <w:numPr>
          <w:ilvl w:val="0"/>
          <w:numId w:val="4"/>
        </w:numPr>
        <w:spacing w:before="120" w:after="120"/>
        <w:ind w:left="720" w:hanging="357"/>
        <w:contextualSpacing/>
        <w:jc w:val="both"/>
        <w:rPr>
          <w:rFonts w:ascii="Effra Corp" w:hAnsi="Effra Corp" w:eastAsia="Effra Corp" w:cs="Effra Corp"/>
          <w:b/>
          <w:color w:val="000000"/>
          <w:spacing w:val="-2"/>
          <w:sz w:val="20"/>
          <w:szCs w:val="20"/>
          <w:lang w:val="el-GR" w:bidi="el-GR"/>
        </w:rPr>
      </w:pPr>
      <w:r>
        <w:rPr>
          <w:rFonts w:eastAsia="Effra Corp" w:cs="Effra Corp" w:ascii="Effra Corp" w:hAnsi="Effra Corp"/>
          <w:b/>
          <w:color w:val="000000"/>
          <w:spacing w:val="-2"/>
          <w:sz w:val="20"/>
          <w:szCs w:val="20"/>
          <w:lang w:val="el-GR" w:bidi="el-GR"/>
        </w:rPr>
        <w:t>Ισχυρή αύξηση των κερδών ανά μετοχή, συνεχίζοντας παράλληλα τις επενδύσεις</w:t>
      </w:r>
    </w:p>
    <w:p>
      <w:pPr>
        <w:pStyle w:val="ListParagraph"/>
        <w:numPr>
          <w:ilvl w:val="1"/>
          <w:numId w:val="4"/>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 xml:space="preserve">Τα συγκρίσιμα κέρδη ανά μετοχή ανήλθαν σε €1,51 σημειώνοντας αύξηση κατά 15,2%, λόγω της ισχυρής αύξησης των λειτουργικών κερδών, η οποία αντισταθμίστηκε μόνο εν μέρει από τα υψηλότερα χρηματοοικονομικά έξοδα έναντι του αντίστοιχου περσινού εξαμήνου. </w:t>
      </w:r>
    </w:p>
    <w:p>
      <w:pPr>
        <w:pStyle w:val="ListParagraph"/>
        <w:numPr>
          <w:ilvl w:val="1"/>
          <w:numId w:val="4"/>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Ισχυρές καθαρές ταμειακές ροές ύψους €215,7 εκατ., μειωμένες κατά 11,8% έναντι του αντίστοιχου περσινού εξαμήνου, λόγω των υψηλότερων κεφαλαιουχικών δαπανών, καθώς συνεχίσαμε να επενδύουμε με στόχο την ανάπτυξη.</w:t>
      </w:r>
    </w:p>
    <w:p>
      <w:pPr>
        <w:pStyle w:val="ListParagraph"/>
        <w:numPr>
          <w:ilvl w:val="0"/>
          <w:numId w:val="4"/>
        </w:numPr>
        <w:spacing w:before="120" w:after="120"/>
        <w:ind w:left="720" w:hanging="357"/>
        <w:contextualSpacing/>
        <w:jc w:val="both"/>
        <w:rPr>
          <w:rFonts w:ascii="Effra Corp" w:hAnsi="Effra Corp" w:eastAsia="Effra Corp" w:cs="Effra Corp"/>
          <w:b/>
          <w:color w:val="000000"/>
          <w:spacing w:val="-2"/>
          <w:sz w:val="20"/>
          <w:szCs w:val="20"/>
          <w:lang w:val="el-GR" w:bidi="el-GR"/>
        </w:rPr>
      </w:pPr>
      <w:r>
        <w:rPr>
          <w:rFonts w:eastAsia="Effra Corp" w:cs="Effra Corp" w:ascii="Effra Corp" w:hAnsi="Effra Corp"/>
          <w:b/>
          <w:color w:val="000000"/>
          <w:spacing w:val="-2"/>
          <w:sz w:val="20"/>
          <w:szCs w:val="20"/>
          <w:lang w:val="el-GR" w:bidi="el-GR"/>
        </w:rPr>
        <w:t>Συνεχιζόμενες επενδύσεις στο χαρτοφυλάκιο προϊόντων 24/7 κατανάλωσης και στις εξειδικευμένες δυνατότητες μας</w:t>
      </w:r>
    </w:p>
    <w:p>
      <w:pPr>
        <w:pStyle w:val="ListParagraph"/>
        <w:numPr>
          <w:ilvl w:val="1"/>
          <w:numId w:val="8"/>
        </w:numPr>
        <w:spacing w:before="120" w:after="120"/>
        <w:contextualSpacing/>
        <w:jc w:val="both"/>
        <w:rPr>
          <w:rFonts w:ascii="Effra Corp" w:hAnsi="Effra Corp" w:cs="Effra Corp"/>
          <w:color w:val="000000"/>
          <w:sz w:val="20"/>
          <w:szCs w:val="20"/>
          <w:lang w:val="el-GR" w:eastAsia="en-US"/>
        </w:rPr>
      </w:pPr>
      <w:r>
        <w:rPr>
          <w:rFonts w:cs="Effra Corp" w:ascii="Effra Corp" w:hAnsi="Effra Corp"/>
          <w:color w:val="000000"/>
          <w:sz w:val="20"/>
          <w:szCs w:val="20"/>
          <w:lang w:val="el-GR" w:eastAsia="en-US"/>
        </w:rPr>
        <w:t>Σε συνεργασία με την The Coca</w:t>
        <w:noBreakHyphen/>
        <w:t>Cola Company, υλοποιήσαμε επιτυχημένες προωθητικές δράσεις στις αγορές μας για το Παγκόσμιο Κύπελλο FIFA, επιτυγχάνοντας ισχυρή συμμετοχή των καταναλωτών μέσω σχετικών ειδικών συσκευασιών Coca</w:t>
        <w:noBreakHyphen/>
        <w:t>Cola και Powerade, προωθητικών ενεργειών προστιθέμενης αξίας και εξατομικευμένων εμπειριών για τους φιλάθλους</w:t>
      </w:r>
    </w:p>
    <w:p>
      <w:pPr>
        <w:pStyle w:val="ListParagraph"/>
        <w:numPr>
          <w:ilvl w:val="1"/>
          <w:numId w:val="8"/>
        </w:numPr>
        <w:spacing w:before="120" w:after="120"/>
        <w:contextualSpacing/>
        <w:jc w:val="both"/>
        <w:rPr>
          <w:rFonts w:ascii="Effra Corp" w:hAnsi="Effra Corp" w:cs="Effra Corp"/>
          <w:color w:val="000000"/>
          <w:sz w:val="20"/>
          <w:szCs w:val="20"/>
          <w:lang w:val="el-GR" w:eastAsia="en-US"/>
        </w:rPr>
      </w:pPr>
      <w:r>
        <w:rPr>
          <w:rFonts w:cs="Effra Corp" w:ascii="Effra Corp" w:hAnsi="Effra Corp"/>
          <w:color w:val="000000"/>
          <w:sz w:val="20"/>
          <w:szCs w:val="20"/>
          <w:lang w:val="el-GR" w:eastAsia="en-US"/>
        </w:rPr>
        <w:t xml:space="preserve">Κυκλοφόρησε η ανανεωμένη συσκευασία της </w:t>
      </w:r>
      <w:r>
        <w:rPr>
          <w:rFonts w:cs="Effra Corp" w:ascii="Effra Corp" w:hAnsi="Effra Corp"/>
          <w:color w:val="000000"/>
          <w:sz w:val="20"/>
          <w:szCs w:val="20"/>
          <w:lang w:eastAsia="en-US"/>
        </w:rPr>
        <w:t>Coke</w:t>
      </w:r>
      <w:r>
        <w:rPr>
          <w:rFonts w:cs="Effra Corp" w:ascii="Effra Corp" w:hAnsi="Effra Corp"/>
          <w:color w:val="000000"/>
          <w:sz w:val="20"/>
          <w:szCs w:val="20"/>
          <w:lang w:val="el-GR" w:eastAsia="en-US"/>
        </w:rPr>
        <w:t xml:space="preserve"> </w:t>
      </w:r>
      <w:r>
        <w:rPr>
          <w:rFonts w:cs="Effra Corp" w:ascii="Effra Corp" w:hAnsi="Effra Corp"/>
          <w:color w:val="000000"/>
          <w:sz w:val="20"/>
          <w:szCs w:val="20"/>
          <w:lang w:eastAsia="en-US"/>
        </w:rPr>
        <w:t>Zero</w:t>
      </w:r>
      <w:r>
        <w:rPr>
          <w:rFonts w:cs="Effra Corp" w:ascii="Effra Corp" w:hAnsi="Effra Corp"/>
          <w:color w:val="000000"/>
          <w:sz w:val="20"/>
          <w:szCs w:val="20"/>
          <w:lang w:val="el-GR" w:eastAsia="en-US"/>
        </w:rPr>
        <w:t xml:space="preserve"> </w:t>
      </w:r>
      <w:r>
        <w:rPr>
          <w:rFonts w:cs="Effra Corp" w:ascii="Effra Corp" w:hAnsi="Effra Corp"/>
          <w:color w:val="000000"/>
          <w:sz w:val="20"/>
          <w:szCs w:val="20"/>
          <w:lang w:eastAsia="en-US"/>
        </w:rPr>
        <w:t>Sugar</w:t>
      </w:r>
      <w:r>
        <w:rPr>
          <w:rFonts w:cs="Effra Corp" w:ascii="Effra Corp" w:hAnsi="Effra Corp"/>
          <w:color w:val="000000"/>
          <w:sz w:val="20"/>
          <w:szCs w:val="20"/>
          <w:lang w:val="el-GR" w:eastAsia="en-US"/>
        </w:rPr>
        <w:t xml:space="preserve"> </w:t>
      </w:r>
      <w:r>
        <w:rPr>
          <w:rFonts w:cs="Effra Corp" w:ascii="Effra Corp" w:hAnsi="Effra Corp"/>
          <w:color w:val="000000"/>
          <w:sz w:val="20"/>
          <w:szCs w:val="20"/>
          <w:lang w:eastAsia="en-US"/>
        </w:rPr>
        <w:t>Zero</w:t>
      </w:r>
      <w:r>
        <w:rPr>
          <w:rFonts w:cs="Effra Corp" w:ascii="Effra Corp" w:hAnsi="Effra Corp"/>
          <w:color w:val="000000"/>
          <w:sz w:val="20"/>
          <w:szCs w:val="20"/>
          <w:lang w:val="el-GR" w:eastAsia="en-US"/>
        </w:rPr>
        <w:t xml:space="preserve"> </w:t>
      </w:r>
      <w:r>
        <w:rPr>
          <w:rFonts w:cs="Effra Corp" w:ascii="Effra Corp" w:hAnsi="Effra Corp"/>
          <w:color w:val="000000"/>
          <w:sz w:val="20"/>
          <w:szCs w:val="20"/>
          <w:lang w:eastAsia="en-US"/>
        </w:rPr>
        <w:t>Caffeine</w:t>
      </w:r>
      <w:r>
        <w:rPr>
          <w:rFonts w:cs="Effra Corp" w:ascii="Effra Corp" w:hAnsi="Effra Corp"/>
          <w:color w:val="000000"/>
          <w:sz w:val="20"/>
          <w:szCs w:val="20"/>
          <w:lang w:val="el-GR" w:eastAsia="en-US"/>
        </w:rPr>
        <w:t xml:space="preserve"> σε 18 αγορές, καταγράφοντας</w:t>
      </w:r>
      <w:r>
        <w:rPr>
          <w:rFonts w:eastAsia="Effra Corp" w:cs="Effra Corp" w:ascii="Effra Corp" w:hAnsi="Effra Corp"/>
          <w:color w:val="000000"/>
          <w:spacing w:val="-2"/>
          <w:sz w:val="20"/>
          <w:szCs w:val="20"/>
          <w:lang w:val="el-GR" w:bidi="el-GR"/>
        </w:rPr>
        <w:t xml:space="preserve"> ισχυρή διψήφια αύξηση όγκου πωλήσεων.</w:t>
      </w:r>
    </w:p>
    <w:p>
      <w:pPr>
        <w:pStyle w:val="ListParagraph"/>
        <w:numPr>
          <w:ilvl w:val="1"/>
          <w:numId w:val="8"/>
        </w:numPr>
        <w:spacing w:before="120" w:after="120"/>
        <w:contextualSpacing/>
        <w:jc w:val="both"/>
        <w:rPr>
          <w:rFonts w:ascii="Effra Corp" w:hAnsi="Effra Corp" w:cs="Effra Corp"/>
          <w:color w:val="000000"/>
          <w:sz w:val="20"/>
          <w:szCs w:val="20"/>
          <w:lang w:val="el-GR" w:eastAsia="en-US"/>
        </w:rPr>
      </w:pPr>
      <w:r>
        <w:rPr>
          <w:rFonts w:cs="Effra Corp" w:ascii="Effra Corp" w:hAnsi="Effra Corp"/>
          <w:color w:val="000000"/>
          <w:sz w:val="20"/>
          <w:szCs w:val="20"/>
          <w:lang w:val="el-GR" w:eastAsia="en-US"/>
        </w:rPr>
        <w:t xml:space="preserve">Κυκλοφόρησαν καινοτόμα προϊόντα </w:t>
      </w:r>
      <w:r>
        <w:rPr>
          <w:rFonts w:eastAsia="Effra Corp" w:cs="Effra Corp" w:ascii="Effra Corp" w:hAnsi="Effra Corp"/>
          <w:color w:val="000000"/>
          <w:spacing w:val="-2"/>
          <w:sz w:val="20"/>
          <w:szCs w:val="20"/>
          <w:lang w:val="el-GR" w:bidi="el-GR"/>
        </w:rPr>
        <w:t>Monster, παράλληλα με εμπορικές και προωθητικές ενέργειες που αξιοποίησαν τις συνεργασίες στο ποδόσφαιρο καθώς και με το MotoGP και τη Formula 1.</w:t>
      </w:r>
    </w:p>
    <w:p>
      <w:pPr>
        <w:pStyle w:val="ListParagraph"/>
        <w:numPr>
          <w:ilvl w:val="1"/>
          <w:numId w:val="8"/>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Ο καφές σημείωσε αύξηση κατά 24,5% στο κανάλι της εκτός σπιτιού κατανάλωσης, το οποίο αποτελεί στρατηγική μας προτεραιότητα.</w:t>
      </w:r>
    </w:p>
    <w:p>
      <w:pPr>
        <w:pStyle w:val="ListParagraph"/>
        <w:numPr>
          <w:ilvl w:val="1"/>
          <w:numId w:val="3"/>
        </w:numPr>
        <w:spacing w:before="120" w:after="60"/>
        <w:ind w:left="1440" w:hanging="357"/>
        <w:contextualSpacing w:val="false"/>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 xml:space="preserve">Δημιουργήσαμε νέο Digital Hub στην Αίγυπτο, στα πλαίσια της στρατηγικής ψηφιακού μετασχηματισμού του Ομίλου. </w:t>
      </w:r>
    </w:p>
    <w:p>
      <w:pPr>
        <w:pStyle w:val="ListParagraph"/>
        <w:numPr>
          <w:ilvl w:val="0"/>
          <w:numId w:val="3"/>
        </w:numPr>
        <w:spacing w:before="120" w:after="120"/>
        <w:ind w:left="720" w:hanging="357"/>
        <w:contextualSpacing/>
        <w:jc w:val="both"/>
        <w:rPr>
          <w:rFonts w:ascii="Effra Corp" w:hAnsi="Effra Corp" w:eastAsia="Effra Corp" w:cs="Effra Corp"/>
          <w:b/>
          <w:color w:val="000000"/>
          <w:spacing w:val="-2"/>
          <w:sz w:val="20"/>
          <w:szCs w:val="20"/>
          <w:lang w:val="el-GR" w:bidi="el-GR"/>
        </w:rPr>
      </w:pPr>
      <w:r>
        <w:rPr>
          <w:rFonts w:eastAsia="Effra Corp" w:cs="Effra Corp" w:ascii="Effra Corp" w:hAnsi="Effra Corp"/>
          <w:b/>
          <w:color w:val="000000"/>
          <w:spacing w:val="-2"/>
          <w:sz w:val="20"/>
          <w:szCs w:val="20"/>
          <w:lang w:val="el-GR" w:bidi="el-GR"/>
        </w:rPr>
        <w:t xml:space="preserve">Παραμένουμε εντός χρονοδιαγράμματος για την ολοκλήρωση της εξαγοράς της Coca-Cola Beverages Africa στο δεύτερο εξάμηνο του 2026. </w:t>
      </w:r>
    </w:p>
    <w:p>
      <w:pPr>
        <w:pStyle w:val="ListParagraph"/>
        <w:numPr>
          <w:ilvl w:val="1"/>
          <w:numId w:val="8"/>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Έχουν ληφθεί μέχρι σήμερα από τις κατά τόπους αρχές ανταγωνισμού, τέσσερις από τις έξι εγκρίσεις που απαιτούνται.</w:t>
      </w:r>
    </w:p>
    <w:p>
      <w:pPr>
        <w:pStyle w:val="ListParagraph"/>
        <w:numPr>
          <w:ilvl w:val="1"/>
          <w:numId w:val="8"/>
        </w:numPr>
        <w:spacing w:before="120" w:after="120"/>
        <w:ind w:left="1440" w:hanging="357"/>
        <w:contextualSpacing/>
        <w:jc w:val="both"/>
        <w:rPr>
          <w:rFonts w:ascii="Effra Corp" w:hAnsi="Effra Corp" w:eastAsia="Effra Corp" w:cs="Effra Corp"/>
          <w:color w:val="000000"/>
          <w:spacing w:val="-2"/>
          <w:sz w:val="20"/>
          <w:szCs w:val="20"/>
          <w:lang w:val="el-GR" w:bidi="el-GR"/>
        </w:rPr>
      </w:pPr>
      <w:r>
        <w:rPr>
          <w:rFonts w:eastAsia="Effra Corp" w:cs="Effra Corp" w:ascii="Effra Corp" w:hAnsi="Effra Corp"/>
          <w:color w:val="000000"/>
          <w:spacing w:val="-2"/>
          <w:sz w:val="20"/>
          <w:szCs w:val="20"/>
          <w:lang w:val="el-GR" w:bidi="el-GR"/>
        </w:rPr>
        <w:t>Τον Ιούλιο, η Επιτροπή Ανταγωνισμού της Νότιας Αφρικής εισηγήθηκε την έγκριση της συναλλαγής από το Δικαστήριο υποθέσεων ανταγωνισμού, υπό συγκεκριμένους όρους.</w:t>
      </w:r>
    </w:p>
    <w:p>
      <w:pPr>
        <w:pStyle w:val="ListParagraph"/>
        <w:spacing w:before="0" w:after="240"/>
        <w:ind w:left="1440" w:hanging="0"/>
        <w:contextualSpacing/>
        <w:jc w:val="both"/>
        <w:rPr>
          <w:rFonts w:ascii="Effra Corp" w:hAnsi="Effra Corp"/>
          <w:color w:val="000000"/>
          <w:spacing w:val="-2"/>
          <w:sz w:val="20"/>
          <w:szCs w:val="20"/>
          <w:highlight w:val="yellow"/>
          <w:lang w:val="el-GR"/>
        </w:rPr>
      </w:pPr>
      <w:r>
        <w:rPr>
          <w:rFonts w:ascii="Effra Corp" w:hAnsi="Effra Corp"/>
          <w:color w:val="000000"/>
          <w:spacing w:val="-2"/>
          <w:sz w:val="20"/>
          <w:szCs w:val="20"/>
          <w:highlight w:val="yellow"/>
          <w:lang w:val="el-GR"/>
        </w:rPr>
      </w:r>
    </w:p>
    <w:p>
      <w:pPr>
        <w:pStyle w:val="ListParagraph"/>
        <w:spacing w:before="240" w:after="120"/>
        <w:ind w:left="0" w:hanging="0"/>
        <w:contextualSpacing/>
        <w:jc w:val="both"/>
        <w:rPr>
          <w:sz w:val="20"/>
          <w:szCs w:val="20"/>
          <w:lang w:val="el-GR"/>
        </w:rPr>
      </w:pPr>
      <w:r>
        <w:rPr>
          <w:rFonts w:eastAsia="Effra Corp" w:cs="Arial" w:ascii="Effra Corp" w:hAnsi="Effra Corp"/>
          <w:b/>
          <w:sz w:val="20"/>
          <w:szCs w:val="20"/>
          <w:lang w:val="el-GR" w:bidi="el-GR"/>
        </w:rPr>
        <w:t>Ο κ.</w:t>
      </w:r>
      <w:r>
        <w:rPr>
          <w:rFonts w:eastAsia="Effra Corp" w:cs="Arial" w:ascii="Effra Corp" w:hAnsi="Effra Corp"/>
          <w:b/>
          <w:sz w:val="20"/>
          <w:szCs w:val="20"/>
          <w:lang w:bidi="el-GR"/>
        </w:rPr>
        <w:t> Zoran</w:t>
      </w:r>
      <w:r>
        <w:rPr>
          <w:rFonts w:eastAsia="Effra Corp" w:cs="Arial" w:ascii="Effra Corp" w:hAnsi="Effra Corp"/>
          <w:b/>
          <w:sz w:val="20"/>
          <w:szCs w:val="20"/>
          <w:lang w:val="el-GR" w:bidi="el-GR"/>
        </w:rPr>
        <w:t xml:space="preserve"> </w:t>
      </w:r>
      <w:r>
        <w:rPr>
          <w:rFonts w:eastAsia="Effra Corp" w:cs="Arial" w:ascii="Effra Corp" w:hAnsi="Effra Corp"/>
          <w:b/>
          <w:sz w:val="20"/>
          <w:szCs w:val="20"/>
          <w:lang w:bidi="el-GR"/>
        </w:rPr>
        <w:t>Bogdanovic</w:t>
      </w:r>
      <w:r>
        <w:rPr>
          <w:rFonts w:eastAsia="Effra Corp" w:cs="Arial" w:ascii="Effra Corp" w:hAnsi="Effra Corp"/>
          <w:b/>
          <w:sz w:val="20"/>
          <w:szCs w:val="20"/>
          <w:lang w:val="el-GR" w:bidi="el-GR"/>
        </w:rPr>
        <w:t xml:space="preserve">, Διευθύνων Σύμβουλος της </w:t>
      </w:r>
      <w:r>
        <w:rPr>
          <w:rFonts w:eastAsia="Effra Corp" w:cs="Arial" w:ascii="Effra Corp" w:hAnsi="Effra Corp"/>
          <w:b/>
          <w:sz w:val="20"/>
          <w:szCs w:val="20"/>
          <w:lang w:bidi="el-GR"/>
        </w:rPr>
        <w:t>Coca</w:t>
      </w:r>
      <w:r>
        <w:rPr>
          <w:rFonts w:eastAsia="Effra Corp" w:cs="Arial" w:ascii="Effra Corp" w:hAnsi="Effra Corp"/>
          <w:b/>
          <w:sz w:val="20"/>
          <w:szCs w:val="20"/>
          <w:lang w:val="el-GR" w:bidi="el-GR"/>
        </w:rPr>
        <w:t>-</w:t>
      </w:r>
      <w:r>
        <w:rPr>
          <w:rFonts w:eastAsia="Effra Corp" w:cs="Arial" w:ascii="Effra Corp" w:hAnsi="Effra Corp"/>
          <w:b/>
          <w:sz w:val="20"/>
          <w:szCs w:val="20"/>
          <w:lang w:bidi="el-GR"/>
        </w:rPr>
        <w:t>Cola HBC AG</w:t>
      </w:r>
      <w:r>
        <w:rPr>
          <w:rFonts w:eastAsia="Effra Corp" w:cs="Arial" w:ascii="Effra Corp" w:hAnsi="Effra Corp"/>
          <w:b/>
          <w:sz w:val="20"/>
          <w:szCs w:val="20"/>
          <w:lang w:val="el-GR" w:bidi="el-GR"/>
        </w:rPr>
        <w:t xml:space="preserve">, σχολίασε: </w:t>
      </w:r>
    </w:p>
    <w:p>
      <w:pPr>
        <w:pStyle w:val="Normal"/>
        <w:spacing w:before="0" w:after="120"/>
        <w:jc w:val="both"/>
        <w:rPr>
          <w:rFonts w:ascii="Effra Corp" w:hAnsi="Effra Corp" w:eastAsia="Effra Corp" w:cs="Segoe UI"/>
          <w:i/>
          <w:i/>
          <w:color w:val="000000" w:themeColor="text1"/>
          <w:sz w:val="20"/>
          <w:szCs w:val="20"/>
          <w:lang w:val="el-GR" w:bidi="el-GR"/>
        </w:rPr>
      </w:pPr>
      <w:bookmarkStart w:id="1" w:name="_Hlk188880232"/>
      <w:r>
        <w:rPr>
          <w:rFonts w:eastAsia="Effra Corp" w:cs="Segoe UI" w:ascii="Effra Corp" w:hAnsi="Effra Corp"/>
          <w:i/>
          <w:color w:val="000000" w:themeColor="text1"/>
          <w:sz w:val="20"/>
          <w:szCs w:val="20"/>
          <w:lang w:val="el-GR" w:bidi="el-GR"/>
        </w:rPr>
        <w:t>«Βασιζόμενοι στη μακροχρόνια αναπτυξιακή μας πορεία, καταγράψαμε ισχυρές επιδόσεις κατά το πρώτο εξάμηνο, με τα οργανικά έσοδα να αυξάνονται κατά 9,6%, λόγω της αύξησης του όγκου πωλήσεων σε όλους τους τομείς δραστηριότητας. Η δυναμική αυτή αντανακλά τη συνεπή και αποτελεσματική υλοποίηση της στρατηγικής μας, τις συνεχιζόμενες επενδύσεις στις εξειδικευμένες δυνατότητές μας και τη δύναμη του χαρτοφυλακίου προϊόντων μας 24/7 κατανάλωσης.</w:t>
      </w:r>
    </w:p>
    <w:p>
      <w:pPr>
        <w:pStyle w:val="Normal"/>
        <w:spacing w:before="0" w:after="120"/>
        <w:jc w:val="both"/>
        <w:rPr>
          <w:rFonts w:ascii="Effra Corp" w:hAnsi="Effra Corp" w:eastAsia="Effra Corp" w:cs="Segoe UI"/>
          <w:i/>
          <w:i/>
          <w:color w:val="000000" w:themeColor="text1"/>
          <w:sz w:val="20"/>
          <w:szCs w:val="20"/>
          <w:lang w:val="el-GR" w:bidi="el-GR"/>
        </w:rPr>
      </w:pPr>
      <w:r>
        <w:rPr>
          <w:rFonts w:eastAsia="Effra Corp" w:cs="Segoe UI" w:ascii="Effra Corp" w:hAnsi="Effra Corp"/>
          <w:i/>
          <w:color w:val="000000" w:themeColor="text1"/>
          <w:sz w:val="20"/>
          <w:szCs w:val="20"/>
          <w:lang w:val="el-GR" w:bidi="el-GR"/>
        </w:rPr>
        <w:t xml:space="preserve">Οι ισχυρές συνεργασίες αποτελούν βασικό στοιχείο της δραστηριότητάς μας και οι προωθητικές δράσεις που υλοποιήσαμε σε σχέση με το Παγκόσμιο Κύπελλο </w:t>
      </w:r>
      <w:r>
        <w:rPr>
          <w:rFonts w:eastAsia="Effra Corp" w:cs="Segoe UI" w:ascii="Effra Corp" w:hAnsi="Effra Corp"/>
          <w:i/>
          <w:color w:val="000000" w:themeColor="text1"/>
          <w:sz w:val="20"/>
          <w:szCs w:val="20"/>
          <w:lang w:bidi="el-GR"/>
        </w:rPr>
        <w:t>FIFA</w:t>
      </w:r>
      <w:r>
        <w:rPr>
          <w:rFonts w:eastAsia="Effra Corp" w:cs="Segoe UI" w:ascii="Effra Corp" w:hAnsi="Effra Corp"/>
          <w:i/>
          <w:color w:val="000000" w:themeColor="text1"/>
          <w:sz w:val="20"/>
          <w:szCs w:val="20"/>
          <w:lang w:val="el-GR" w:bidi="el-GR"/>
        </w:rPr>
        <w:t xml:space="preserve"> μαζί με τους πελάτες μας, συμπεριλαμβανομένων μοναδικών εμπειριών για τους φιλάθλους και ειδικών συσκευασιών </w:t>
      </w:r>
      <w:r>
        <w:rPr>
          <w:rFonts w:eastAsia="Effra Corp" w:cs="Segoe UI" w:ascii="Effra Corp" w:hAnsi="Effra Corp"/>
          <w:i/>
          <w:color w:val="000000" w:themeColor="text1"/>
          <w:sz w:val="20"/>
          <w:szCs w:val="20"/>
          <w:lang w:bidi="el-GR"/>
        </w:rPr>
        <w:t>Coca</w:t>
      </w:r>
      <w:r>
        <w:rPr>
          <w:rFonts w:eastAsia="Effra Corp" w:cs="Segoe UI" w:ascii="Effra Corp" w:hAnsi="Effra Corp"/>
          <w:i/>
          <w:color w:val="000000" w:themeColor="text1"/>
          <w:sz w:val="20"/>
          <w:szCs w:val="20"/>
          <w:lang w:val="el-GR" w:bidi="el-GR"/>
        </w:rPr>
        <w:noBreakHyphen/>
      </w:r>
      <w:r>
        <w:rPr>
          <w:rFonts w:eastAsia="Effra Corp" w:cs="Segoe UI" w:ascii="Effra Corp" w:hAnsi="Effra Corp"/>
          <w:i/>
          <w:color w:val="000000" w:themeColor="text1"/>
          <w:sz w:val="20"/>
          <w:szCs w:val="20"/>
          <w:lang w:bidi="el-GR"/>
        </w:rPr>
        <w:t>Cola</w:t>
      </w:r>
      <w:r>
        <w:rPr>
          <w:rFonts w:eastAsia="Effra Corp" w:cs="Segoe UI" w:ascii="Effra Corp" w:hAnsi="Effra Corp"/>
          <w:i/>
          <w:color w:val="000000" w:themeColor="text1"/>
          <w:sz w:val="20"/>
          <w:szCs w:val="20"/>
          <w:lang w:val="el-GR" w:bidi="el-GR"/>
        </w:rPr>
        <w:t xml:space="preserve"> και </w:t>
      </w:r>
      <w:r>
        <w:rPr>
          <w:rFonts w:eastAsia="Effra Corp" w:cs="Segoe UI" w:ascii="Effra Corp" w:hAnsi="Effra Corp"/>
          <w:i/>
          <w:color w:val="000000" w:themeColor="text1"/>
          <w:sz w:val="20"/>
          <w:szCs w:val="20"/>
          <w:lang w:bidi="el-GR"/>
        </w:rPr>
        <w:t>Powerade</w:t>
      </w:r>
      <w:r>
        <w:rPr>
          <w:rFonts w:eastAsia="Effra Corp" w:cs="Segoe UI" w:ascii="Effra Corp" w:hAnsi="Effra Corp"/>
          <w:i/>
          <w:color w:val="000000" w:themeColor="text1"/>
          <w:sz w:val="20"/>
          <w:szCs w:val="20"/>
          <w:lang w:val="el-GR" w:bidi="el-GR"/>
        </w:rPr>
        <w:t xml:space="preserve">, συγκαταλέγονται στα σημαντικότερα γεγονότα της περιόδου. Η καινοτομία αποτέλεσε βασικό μοχλό ανάπτυξης, με δυναμικές πρωτοβουλίες στα εμπορικά σήματα ανθρακούχων αναψυκτικών, καθώς και </w:t>
      </w:r>
      <w:r>
        <w:rPr>
          <w:rFonts w:eastAsia="Effra Corp" w:cs="Segoe UI" w:ascii="Effra Corp" w:hAnsi="Effra Corp"/>
          <w:i/>
          <w:color w:val="000000" w:themeColor="text1"/>
          <w:sz w:val="20"/>
          <w:szCs w:val="20"/>
          <w:lang w:bidi="el-GR"/>
        </w:rPr>
        <w:t>Monster</w:t>
      </w:r>
      <w:r>
        <w:rPr>
          <w:rFonts w:eastAsia="Effra Corp" w:cs="Segoe UI" w:ascii="Effra Corp" w:hAnsi="Effra Corp"/>
          <w:i/>
          <w:color w:val="000000" w:themeColor="text1"/>
          <w:sz w:val="20"/>
          <w:szCs w:val="20"/>
          <w:lang w:val="el-GR" w:bidi="el-GR"/>
        </w:rPr>
        <w:t xml:space="preserve"> και </w:t>
      </w:r>
      <w:r>
        <w:rPr>
          <w:rFonts w:eastAsia="Effra Corp" w:cs="Segoe UI" w:ascii="Effra Corp" w:hAnsi="Effra Corp"/>
          <w:i/>
          <w:color w:val="000000" w:themeColor="text1"/>
          <w:sz w:val="20"/>
          <w:szCs w:val="20"/>
          <w:lang w:bidi="el-GR"/>
        </w:rPr>
        <w:t>Powerade</w:t>
      </w:r>
      <w:r>
        <w:rPr>
          <w:rFonts w:eastAsia="Effra Corp" w:cs="Segoe UI" w:ascii="Effra Corp" w:hAnsi="Effra Corp"/>
          <w:i/>
          <w:color w:val="000000" w:themeColor="text1"/>
          <w:sz w:val="20"/>
          <w:szCs w:val="20"/>
          <w:lang w:val="el-GR" w:bidi="el-GR"/>
        </w:rPr>
        <w:t>. Πραγματοποιήσαμε επίσης πρόσφατα το Bitesize Investor event στο Κάιρο, όπου ήμασταν περήφανοι να παρουσιάσουμε την αναπτυξιακή πορεία και τα επιτεύγματα της Αιγύπτου μετά την εξαγορά μας το 2022, τα οποία υποστηρίχτηκαν από τη συνεχιζόμενη επενδυτική μας δραστηριότητα.</w:t>
      </w:r>
    </w:p>
    <w:p>
      <w:pPr>
        <w:pStyle w:val="Normal"/>
        <w:spacing w:before="0" w:after="120"/>
        <w:jc w:val="both"/>
        <w:rPr>
          <w:rFonts w:ascii="Effra Corp" w:hAnsi="Effra Corp" w:eastAsia="Effra Corp" w:cs="Segoe UI"/>
          <w:i/>
          <w:i/>
          <w:color w:val="000000" w:themeColor="text1"/>
          <w:sz w:val="20"/>
          <w:szCs w:val="20"/>
          <w:lang w:val="el-GR" w:bidi="el-GR"/>
        </w:rPr>
      </w:pPr>
      <w:r>
        <w:rPr>
          <w:rFonts w:eastAsia="Effra Corp" w:cs="Segoe UI" w:ascii="Effra Corp" w:hAnsi="Effra Corp"/>
          <w:i/>
          <w:color w:val="000000" w:themeColor="text1"/>
          <w:sz w:val="20"/>
          <w:szCs w:val="20"/>
          <w:lang w:val="el-GR" w:bidi="el-GR"/>
        </w:rPr>
        <w:t xml:space="preserve">Καθώς εισερχόμαστε στο δεύτερο εξάμηνο του έτους, θα ήθελα να ευχαριστήσω τις ομάδες μας, τους πελάτες μας, την </w:t>
      </w:r>
      <w:r>
        <w:rPr>
          <w:rFonts w:eastAsia="Effra Corp" w:cs="Segoe UI" w:ascii="Effra Corp" w:hAnsi="Effra Corp"/>
          <w:i/>
          <w:color w:val="000000" w:themeColor="text1"/>
          <w:sz w:val="20"/>
          <w:szCs w:val="20"/>
          <w:lang w:bidi="el-GR"/>
        </w:rPr>
        <w:t>The</w:t>
      </w:r>
      <w:r>
        <w:rPr>
          <w:rFonts w:eastAsia="Effra Corp" w:cs="Segoe UI" w:ascii="Effra Corp" w:hAnsi="Effra Corp"/>
          <w:i/>
          <w:color w:val="000000" w:themeColor="text1"/>
          <w:sz w:val="20"/>
          <w:szCs w:val="20"/>
          <w:lang w:val="el-GR" w:bidi="el-GR"/>
        </w:rPr>
        <w:t xml:space="preserve"> </w:t>
      </w:r>
      <w:r>
        <w:rPr>
          <w:rFonts w:eastAsia="Effra Corp" w:cs="Segoe UI" w:ascii="Effra Corp" w:hAnsi="Effra Corp"/>
          <w:i/>
          <w:color w:val="000000" w:themeColor="text1"/>
          <w:sz w:val="20"/>
          <w:szCs w:val="20"/>
          <w:lang w:bidi="el-GR"/>
        </w:rPr>
        <w:t>Coca</w:t>
      </w:r>
      <w:r>
        <w:rPr>
          <w:rFonts w:eastAsia="Effra Corp" w:cs="Segoe UI" w:ascii="Effra Corp" w:hAnsi="Effra Corp"/>
          <w:i/>
          <w:color w:val="000000" w:themeColor="text1"/>
          <w:sz w:val="20"/>
          <w:szCs w:val="20"/>
          <w:lang w:val="el-GR" w:bidi="el-GR"/>
        </w:rPr>
        <w:noBreakHyphen/>
      </w:r>
      <w:r>
        <w:rPr>
          <w:rFonts w:eastAsia="Effra Corp" w:cs="Segoe UI" w:ascii="Effra Corp" w:hAnsi="Effra Corp"/>
          <w:i/>
          <w:color w:val="000000" w:themeColor="text1"/>
          <w:sz w:val="20"/>
          <w:szCs w:val="20"/>
          <w:lang w:bidi="el-GR"/>
        </w:rPr>
        <w:t>Cola</w:t>
      </w:r>
      <w:r>
        <w:rPr>
          <w:rFonts w:eastAsia="Effra Corp" w:cs="Segoe UI" w:ascii="Effra Corp" w:hAnsi="Effra Corp"/>
          <w:i/>
          <w:color w:val="000000" w:themeColor="text1"/>
          <w:sz w:val="20"/>
          <w:szCs w:val="20"/>
          <w:lang w:val="el-GR" w:bidi="el-GR"/>
        </w:rPr>
        <w:t xml:space="preserve"> </w:t>
      </w:r>
      <w:r>
        <w:rPr>
          <w:rFonts w:eastAsia="Effra Corp" w:cs="Segoe UI" w:ascii="Effra Corp" w:hAnsi="Effra Corp"/>
          <w:i/>
          <w:color w:val="000000" w:themeColor="text1"/>
          <w:sz w:val="20"/>
          <w:szCs w:val="20"/>
          <w:lang w:bidi="el-GR"/>
        </w:rPr>
        <w:t>Company</w:t>
      </w:r>
      <w:r>
        <w:rPr>
          <w:rFonts w:eastAsia="Effra Corp" w:cs="Segoe UI" w:ascii="Effra Corp" w:hAnsi="Effra Corp"/>
          <w:i/>
          <w:color w:val="000000" w:themeColor="text1"/>
          <w:sz w:val="20"/>
          <w:szCs w:val="20"/>
          <w:lang w:val="el-GR" w:bidi="el-GR"/>
        </w:rPr>
        <w:t xml:space="preserve"> και όλους τους συνεργάτες μας για τη διαρκή αφοσίωση και υποστήριξή τους.</w:t>
      </w:r>
    </w:p>
    <w:p>
      <w:pPr>
        <w:pStyle w:val="Normal"/>
        <w:spacing w:before="0" w:after="120"/>
        <w:jc w:val="both"/>
        <w:rPr>
          <w:rFonts w:ascii="Effra Corp" w:hAnsi="Effra Corp" w:eastAsia="Effra Corp" w:cs="Segoe UI"/>
          <w:i/>
          <w:i/>
          <w:color w:val="000000" w:themeColor="text1"/>
          <w:sz w:val="20"/>
          <w:szCs w:val="20"/>
          <w:lang w:val="el-GR" w:bidi="el-GR"/>
        </w:rPr>
      </w:pPr>
      <w:bookmarkStart w:id="2" w:name="_Hlk188880232"/>
      <w:r>
        <w:rPr>
          <w:rFonts w:eastAsia="Effra Corp" w:cs="Segoe UI" w:ascii="Effra Corp" w:hAnsi="Effra Corp"/>
          <w:i/>
          <w:color w:val="000000" w:themeColor="text1"/>
          <w:sz w:val="20"/>
          <w:szCs w:val="20"/>
          <w:lang w:val="el-GR" w:bidi="el-GR"/>
        </w:rPr>
        <w:t>Λαμβάνοντας υπόψη τις ισχυρές επιδόσεις του πρώτου εξαμήνου, αναβαθμίζουμε σήμερα τις χρηματοοικονομικές κατευθύνσεις μας για το 2026. Το μακροοικονομικό και γεωπολιτικό περιβάλλον παραμένει απαιτητικό και απρόβλεπτο, ωστόσο, είμαστε βέβαιοι ότι το χαρτοφυλάκιο, οι δυνατότητες και οι άνθρωποί μας μάς δίνουν τα εφόδια να συνεχίσουμε τη θετική μας πορεία στην αγορά και να δημιουργούμε αξία.»</w:t>
      </w:r>
      <w:bookmarkEnd w:id="2"/>
    </w:p>
    <w:p>
      <w:pPr>
        <w:pStyle w:val="Normal"/>
        <w:rPr>
          <w:rStyle w:val="Normaltextrun"/>
          <w:rFonts w:ascii="Effra Corp" w:hAnsi="Effra Corp" w:cs="Segoe UI"/>
          <w:i/>
          <w:i/>
          <w:color w:val="000000"/>
          <w:sz w:val="21"/>
          <w:szCs w:val="21"/>
          <w:highlight w:val="yellow"/>
          <w:lang w:val="el-GR" w:eastAsia="en-GB"/>
        </w:rPr>
      </w:pPr>
      <w:r>
        <w:rPr>
          <w:rFonts w:cs="Segoe UI" w:ascii="Effra Corp" w:hAnsi="Effra Corp"/>
          <w:i/>
          <w:color w:val="000000"/>
          <w:sz w:val="21"/>
          <w:szCs w:val="21"/>
          <w:highlight w:val="yellow"/>
          <w:lang w:val="el-GR" w:eastAsia="en-GB"/>
        </w:rPr>
      </w:r>
      <w:r>
        <w:br w:type="page"/>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4738"/>
        <w:gridCol w:w="1186"/>
        <w:gridCol w:w="1036"/>
        <w:gridCol w:w="1628"/>
        <w:gridCol w:w="337"/>
        <w:gridCol w:w="1025"/>
      </w:tblGrid>
      <w:tr>
        <w:trPr>
          <w:trHeight w:val="260" w:hRule="exact"/>
        </w:trPr>
        <w:tc>
          <w:tcPr>
            <w:tcW w:w="9950" w:type="dxa"/>
            <w:gridSpan w:val="6"/>
            <w:tcBorders/>
            <w:shd w:color="auto" w:fill="BFBFBF" w:val="clear"/>
            <w:vAlign w:val="bottom"/>
          </w:tcPr>
          <w:p>
            <w:pPr>
              <w:pStyle w:val="DMETW2940BIPFirstPage"/>
              <w:pageBreakBefore/>
              <w:widowControl w:val="false"/>
              <w:ind w:firstLine="2210"/>
              <w:jc w:val="center"/>
              <w:rPr>
                <w:b/>
                <w:lang w:val="el-GR"/>
              </w:rPr>
            </w:pPr>
            <w:bookmarkStart w:id="3" w:name="DOC_TBL00001_1_1"/>
            <w:bookmarkEnd w:id="3"/>
            <w:r>
              <w:rPr>
                <w:b/>
                <w:lang w:val="el-GR"/>
              </w:rPr>
              <w:t>Α’ Εξάμηνο</w:t>
            </w:r>
          </w:p>
        </w:tc>
      </w:tr>
      <w:tr>
        <w:trPr>
          <w:trHeight w:val="731" w:hRule="exact"/>
        </w:trPr>
        <w:tc>
          <w:tcPr>
            <w:tcW w:w="4738" w:type="dxa"/>
            <w:tcBorders/>
            <w:shd w:color="auto" w:fill="BFBFBF" w:val="clear"/>
            <w:vAlign w:val="bottom"/>
          </w:tcPr>
          <w:p>
            <w:pPr>
              <w:pStyle w:val="DMETW2940BIPFirstPage"/>
              <w:widowControl w:val="false"/>
              <w:rPr>
                <w:highlight w:val="yellow"/>
              </w:rPr>
            </w:pPr>
            <w:r>
              <w:rPr>
                <w:highlight w:val="yellow"/>
              </w:rPr>
            </w:r>
          </w:p>
        </w:tc>
        <w:tc>
          <w:tcPr>
            <w:tcW w:w="1186" w:type="dxa"/>
            <w:tcBorders/>
            <w:shd w:color="auto" w:fill="BFBFBF" w:val="clear"/>
            <w:vAlign w:val="bottom"/>
          </w:tcPr>
          <w:p>
            <w:pPr>
              <w:pStyle w:val="DMETW2940BIPFirstPage"/>
              <w:widowControl w:val="false"/>
              <w:jc w:val="right"/>
              <w:rPr>
                <w:b/>
                <w:lang w:val="el-GR"/>
              </w:rPr>
            </w:pPr>
            <w:r>
              <w:rPr>
                <w:b/>
              </w:rPr>
              <w:t>202</w:t>
            </w:r>
            <w:r>
              <w:rPr>
                <w:b/>
                <w:lang w:val="el-GR"/>
              </w:rPr>
              <w:t>6</w:t>
            </w:r>
          </w:p>
        </w:tc>
        <w:tc>
          <w:tcPr>
            <w:tcW w:w="1036" w:type="dxa"/>
            <w:tcBorders/>
            <w:shd w:color="auto" w:fill="BFBFBF" w:val="clear"/>
            <w:vAlign w:val="bottom"/>
          </w:tcPr>
          <w:p>
            <w:pPr>
              <w:pStyle w:val="DMETW2940BIPFirstPage"/>
              <w:widowControl w:val="false"/>
              <w:jc w:val="right"/>
              <w:rPr>
                <w:b/>
                <w:lang w:val="el-GR"/>
              </w:rPr>
            </w:pPr>
            <w:r>
              <w:rPr>
                <w:b/>
              </w:rPr>
              <w:t>202</w:t>
            </w:r>
            <w:r>
              <w:rPr>
                <w:b/>
                <w:lang w:val="el-GR"/>
              </w:rPr>
              <w:t>5</w:t>
            </w:r>
          </w:p>
        </w:tc>
        <w:tc>
          <w:tcPr>
            <w:tcW w:w="1628" w:type="dxa"/>
            <w:tcBorders/>
            <w:shd w:color="auto" w:fill="BFBFBF" w:val="clear"/>
            <w:vAlign w:val="bottom"/>
          </w:tcPr>
          <w:p>
            <w:pPr>
              <w:pStyle w:val="DMETW2940BIPFirstPage"/>
              <w:widowControl w:val="false"/>
              <w:jc w:val="right"/>
              <w:rPr>
                <w:b/>
              </w:rPr>
            </w:pPr>
            <w:r>
              <w:rPr>
                <w:b/>
              </w:rPr>
              <w:t>% Μεταβολή σε δημοσιευμένη βάση</w:t>
            </w:r>
          </w:p>
        </w:tc>
        <w:tc>
          <w:tcPr>
            <w:tcW w:w="1362" w:type="dxa"/>
            <w:gridSpan w:val="2"/>
            <w:tcBorders/>
            <w:shd w:color="auto" w:fill="BFBFBF" w:val="clear"/>
            <w:vAlign w:val="bottom"/>
          </w:tcPr>
          <w:p>
            <w:pPr>
              <w:pStyle w:val="DMETW2940BIPFirstPage"/>
              <w:widowControl w:val="false"/>
              <w:jc w:val="right"/>
              <w:rPr>
                <w:b/>
              </w:rPr>
            </w:pPr>
            <w:r>
              <w:rPr>
                <w:b/>
              </w:rPr>
              <w:t>% Μεταβολή σε οργανική βάση</w:t>
            </w:r>
            <w:r>
              <w:rPr>
                <w:b/>
                <w:vertAlign w:val="superscript"/>
              </w:rPr>
              <w:t>1</w:t>
            </w:r>
          </w:p>
        </w:tc>
      </w:tr>
      <w:tr>
        <w:trPr>
          <w:trHeight w:val="260" w:hRule="exact"/>
        </w:trPr>
        <w:tc>
          <w:tcPr>
            <w:tcW w:w="4738" w:type="dxa"/>
            <w:tcBorders/>
            <w:vAlign w:val="bottom"/>
          </w:tcPr>
          <w:p>
            <w:pPr>
              <w:pStyle w:val="DMETW2940BIPFirstPage"/>
              <w:widowControl w:val="false"/>
              <w:rPr>
                <w:b/>
              </w:rPr>
            </w:pPr>
            <w:r>
              <w:rPr>
                <w:bCs/>
              </w:rPr>
              <w:t>Όγκος πωλήσεων (εκατ. κιβώτια)</w:t>
            </w:r>
          </w:p>
        </w:tc>
        <w:tc>
          <w:tcPr>
            <w:tcW w:w="1186" w:type="dxa"/>
            <w:tcBorders/>
            <w:vAlign w:val="bottom"/>
          </w:tcPr>
          <w:p>
            <w:pPr>
              <w:pStyle w:val="DMETW2940BIPFirstPage"/>
              <w:widowControl w:val="false"/>
              <w:jc w:val="right"/>
              <w:rPr>
                <w:b/>
                <w:highlight w:val="yellow"/>
                <w:lang w:val="el-GR"/>
              </w:rPr>
            </w:pPr>
            <w:r>
              <w:rPr>
                <w:b/>
                <w:bCs/>
              </w:rPr>
              <w:t xml:space="preserve"> </w:t>
            </w:r>
            <w:r>
              <w:rPr>
                <w:b/>
                <w:bCs/>
              </w:rPr>
              <w:t xml:space="preserve">1.573,5 </w:t>
            </w:r>
          </w:p>
        </w:tc>
        <w:tc>
          <w:tcPr>
            <w:tcW w:w="1036" w:type="dxa"/>
            <w:tcBorders/>
            <w:vAlign w:val="bottom"/>
          </w:tcPr>
          <w:p>
            <w:pPr>
              <w:pStyle w:val="DMETW2940BIPFirstPage"/>
              <w:widowControl w:val="false"/>
              <w:jc w:val="right"/>
              <w:rPr>
                <w:highlight w:val="yellow"/>
              </w:rPr>
            </w:pPr>
            <w:r>
              <w:rPr>
                <w:bCs/>
              </w:rPr>
              <w:t>1</w:t>
            </w:r>
            <w:r>
              <w:rPr>
                <w:bCs/>
                <w:lang w:val="el-GR"/>
              </w:rPr>
              <w:t>.</w:t>
            </w:r>
            <w:r>
              <w:rPr>
                <w:bCs/>
              </w:rPr>
              <w:t>463</w:t>
            </w:r>
            <w:r>
              <w:rPr>
                <w:bCs/>
                <w:lang w:val="el-GR"/>
              </w:rPr>
              <w:t>,</w:t>
            </w:r>
            <w:r>
              <w:rPr>
                <w:bCs/>
              </w:rPr>
              <w:t>4</w:t>
            </w:r>
          </w:p>
        </w:tc>
        <w:tc>
          <w:tcPr>
            <w:tcW w:w="1965" w:type="dxa"/>
            <w:gridSpan w:val="2"/>
            <w:tcBorders/>
            <w:vAlign w:val="bottom"/>
          </w:tcPr>
          <w:p>
            <w:pPr>
              <w:pStyle w:val="DMETW2940BIPFirstPage"/>
              <w:widowControl w:val="false"/>
              <w:jc w:val="right"/>
              <w:rPr>
                <w:highlight w:val="yellow"/>
              </w:rPr>
            </w:pPr>
            <w:r>
              <w:rPr>
                <w:bCs/>
              </w:rPr>
              <w:t>7,5%</w:t>
            </w:r>
          </w:p>
        </w:tc>
        <w:tc>
          <w:tcPr>
            <w:tcW w:w="1025" w:type="dxa"/>
            <w:tcBorders/>
            <w:vAlign w:val="bottom"/>
          </w:tcPr>
          <w:p>
            <w:pPr>
              <w:pStyle w:val="DMETW2940BIPFirstPage"/>
              <w:widowControl w:val="false"/>
              <w:jc w:val="right"/>
              <w:rPr>
                <w:bCs/>
              </w:rPr>
            </w:pPr>
            <w:r>
              <w:rPr>
                <w:bCs/>
              </w:rPr>
              <w:t>7,5%</w:t>
            </w:r>
          </w:p>
        </w:tc>
      </w:tr>
      <w:tr>
        <w:trPr>
          <w:trHeight w:val="260" w:hRule="exact"/>
        </w:trPr>
        <w:tc>
          <w:tcPr>
            <w:tcW w:w="4738" w:type="dxa"/>
            <w:tcBorders/>
            <w:vAlign w:val="bottom"/>
          </w:tcPr>
          <w:p>
            <w:pPr>
              <w:pStyle w:val="DMETW2940BIPFirstPage"/>
              <w:widowControl w:val="false"/>
              <w:rPr>
                <w:b/>
                <w:lang w:val="el-GR"/>
              </w:rPr>
            </w:pPr>
            <w:r>
              <w:rPr>
                <w:bCs/>
                <w:lang w:val="el-GR" w:eastAsia="el-GR" w:bidi="el-GR"/>
              </w:rPr>
              <w:t>Καθαρά έσοδα από πωλήσεις (€ εκατ.)</w:t>
            </w:r>
          </w:p>
        </w:tc>
        <w:tc>
          <w:tcPr>
            <w:tcW w:w="1186" w:type="dxa"/>
            <w:tcBorders/>
            <w:vAlign w:val="bottom"/>
          </w:tcPr>
          <w:p>
            <w:pPr>
              <w:pStyle w:val="DMETW2940BIPFirstPage"/>
              <w:widowControl w:val="false"/>
              <w:jc w:val="right"/>
              <w:rPr>
                <w:b/>
                <w:highlight w:val="yellow"/>
                <w:lang w:val="el-GR"/>
              </w:rPr>
            </w:pPr>
            <w:r>
              <w:rPr>
                <w:b/>
                <w:bCs/>
                <w:lang w:val="el-GR"/>
              </w:rPr>
              <w:t xml:space="preserve"> </w:t>
            </w:r>
            <w:r>
              <w:rPr>
                <w:b/>
                <w:bCs/>
              </w:rPr>
              <w:t xml:space="preserve">6.229,4 </w:t>
            </w:r>
          </w:p>
        </w:tc>
        <w:tc>
          <w:tcPr>
            <w:tcW w:w="1036" w:type="dxa"/>
            <w:tcBorders/>
            <w:vAlign w:val="bottom"/>
          </w:tcPr>
          <w:p>
            <w:pPr>
              <w:pStyle w:val="DMETW2940BIPFirstPage"/>
              <w:widowControl w:val="false"/>
              <w:jc w:val="right"/>
              <w:rPr>
                <w:highlight w:val="yellow"/>
              </w:rPr>
            </w:pPr>
            <w:r>
              <w:rPr>
                <w:bCs/>
              </w:rPr>
              <w:t>5</w:t>
            </w:r>
            <w:r>
              <w:rPr>
                <w:bCs/>
                <w:lang w:val="el-GR"/>
              </w:rPr>
              <w:t>.</w:t>
            </w:r>
            <w:r>
              <w:rPr>
                <w:bCs/>
              </w:rPr>
              <w:t>620</w:t>
            </w:r>
            <w:r>
              <w:rPr>
                <w:bCs/>
                <w:lang w:val="el-GR"/>
              </w:rPr>
              <w:t>,</w:t>
            </w:r>
            <w:r>
              <w:rPr>
                <w:bCs/>
              </w:rPr>
              <w:t>3</w:t>
            </w:r>
          </w:p>
        </w:tc>
        <w:tc>
          <w:tcPr>
            <w:tcW w:w="1965" w:type="dxa"/>
            <w:gridSpan w:val="2"/>
            <w:tcBorders/>
            <w:vAlign w:val="bottom"/>
          </w:tcPr>
          <w:p>
            <w:pPr>
              <w:pStyle w:val="DMETW2940BIPFirstPage"/>
              <w:widowControl w:val="false"/>
              <w:jc w:val="right"/>
              <w:rPr>
                <w:highlight w:val="yellow"/>
              </w:rPr>
            </w:pPr>
            <w:r>
              <w:rPr>
                <w:bCs/>
              </w:rPr>
              <w:t>10,8%</w:t>
            </w:r>
          </w:p>
        </w:tc>
        <w:tc>
          <w:tcPr>
            <w:tcW w:w="1025" w:type="dxa"/>
            <w:tcBorders/>
            <w:vAlign w:val="bottom"/>
          </w:tcPr>
          <w:p>
            <w:pPr>
              <w:pStyle w:val="DMETW2940BIPFirstPage"/>
              <w:widowControl w:val="false"/>
              <w:jc w:val="right"/>
              <w:rPr>
                <w:bCs/>
              </w:rPr>
            </w:pPr>
            <w:r>
              <w:rPr>
                <w:bCs/>
              </w:rPr>
              <w:t>9,6%</w:t>
            </w:r>
          </w:p>
        </w:tc>
      </w:tr>
      <w:tr>
        <w:trPr>
          <w:trHeight w:val="260" w:hRule="exact"/>
        </w:trPr>
        <w:tc>
          <w:tcPr>
            <w:tcW w:w="4738" w:type="dxa"/>
            <w:tcBorders/>
            <w:vAlign w:val="bottom"/>
          </w:tcPr>
          <w:p>
            <w:pPr>
              <w:pStyle w:val="DMETW2940BIPFirstPage"/>
              <w:widowControl w:val="false"/>
              <w:rPr>
                <w:b/>
                <w:lang w:val="el-GR"/>
              </w:rPr>
            </w:pPr>
            <w:r>
              <w:rPr>
                <w:bCs/>
                <w:lang w:val="el-GR" w:eastAsia="el-GR" w:bidi="el-GR"/>
              </w:rPr>
              <w:t>Καθαρά έσοδα από πωλήσεις ανά κιβώτιο (€)</w:t>
            </w:r>
          </w:p>
        </w:tc>
        <w:tc>
          <w:tcPr>
            <w:tcW w:w="1186" w:type="dxa"/>
            <w:tcBorders/>
            <w:vAlign w:val="bottom"/>
          </w:tcPr>
          <w:p>
            <w:pPr>
              <w:pStyle w:val="DMETW2940BIPFirstPage"/>
              <w:widowControl w:val="false"/>
              <w:jc w:val="right"/>
              <w:rPr>
                <w:b/>
                <w:highlight w:val="yellow"/>
                <w:lang w:val="el-GR"/>
              </w:rPr>
            </w:pPr>
            <w:r>
              <w:rPr>
                <w:b/>
                <w:bCs/>
                <w:lang w:val="el-GR"/>
              </w:rPr>
              <w:t xml:space="preserve"> </w:t>
            </w:r>
            <w:r>
              <w:rPr>
                <w:b/>
                <w:bCs/>
              </w:rPr>
              <w:t xml:space="preserve">3,96 </w:t>
            </w:r>
          </w:p>
        </w:tc>
        <w:tc>
          <w:tcPr>
            <w:tcW w:w="1036" w:type="dxa"/>
            <w:tcBorders/>
            <w:vAlign w:val="bottom"/>
          </w:tcPr>
          <w:p>
            <w:pPr>
              <w:pStyle w:val="DMETW2940BIPFirstPage"/>
              <w:widowControl w:val="false"/>
              <w:jc w:val="right"/>
              <w:rPr>
                <w:highlight w:val="yellow"/>
              </w:rPr>
            </w:pPr>
            <w:r>
              <w:rPr>
                <w:bCs/>
              </w:rPr>
              <w:t>3</w:t>
            </w:r>
            <w:r>
              <w:rPr>
                <w:bCs/>
                <w:lang w:val="el-GR"/>
              </w:rPr>
              <w:t>,</w:t>
            </w:r>
            <w:r>
              <w:rPr>
                <w:bCs/>
              </w:rPr>
              <w:t>84</w:t>
            </w:r>
          </w:p>
        </w:tc>
        <w:tc>
          <w:tcPr>
            <w:tcW w:w="1965" w:type="dxa"/>
            <w:gridSpan w:val="2"/>
            <w:tcBorders/>
            <w:vAlign w:val="bottom"/>
          </w:tcPr>
          <w:p>
            <w:pPr>
              <w:pStyle w:val="DMETW2940BIPFirstPage"/>
              <w:widowControl w:val="false"/>
              <w:jc w:val="right"/>
              <w:rPr>
                <w:highlight w:val="yellow"/>
              </w:rPr>
            </w:pPr>
            <w:r>
              <w:rPr>
                <w:bCs/>
              </w:rPr>
              <w:t>3,1%</w:t>
            </w:r>
          </w:p>
        </w:tc>
        <w:tc>
          <w:tcPr>
            <w:tcW w:w="1025" w:type="dxa"/>
            <w:tcBorders/>
            <w:vAlign w:val="bottom"/>
          </w:tcPr>
          <w:p>
            <w:pPr>
              <w:pStyle w:val="DMETW2940BIPFirstPage"/>
              <w:widowControl w:val="false"/>
              <w:jc w:val="right"/>
              <w:rPr>
                <w:bCs/>
              </w:rPr>
            </w:pPr>
            <w:r>
              <w:rPr>
                <w:bCs/>
              </w:rPr>
              <w:t>1,9%</w:t>
            </w:r>
          </w:p>
        </w:tc>
      </w:tr>
      <w:tr>
        <w:trPr>
          <w:trHeight w:val="300" w:hRule="exact"/>
        </w:trPr>
        <w:tc>
          <w:tcPr>
            <w:tcW w:w="4738" w:type="dxa"/>
            <w:tcBorders/>
            <w:vAlign w:val="bottom"/>
          </w:tcPr>
          <w:p>
            <w:pPr>
              <w:pStyle w:val="DMETW2940BIPFirstPage"/>
              <w:widowControl w:val="false"/>
              <w:rPr>
                <w:b/>
              </w:rPr>
            </w:pPr>
            <w:r>
              <w:rPr>
                <w:bCs/>
              </w:rPr>
              <w:t>Λειτουργικά κέρδη (€ εκατ.)</w:t>
            </w:r>
          </w:p>
        </w:tc>
        <w:tc>
          <w:tcPr>
            <w:tcW w:w="1186" w:type="dxa"/>
            <w:tcBorders/>
            <w:vAlign w:val="bottom"/>
          </w:tcPr>
          <w:p>
            <w:pPr>
              <w:pStyle w:val="DMETW2940BIPFirstPage"/>
              <w:widowControl w:val="false"/>
              <w:jc w:val="right"/>
              <w:rPr>
                <w:b/>
                <w:highlight w:val="yellow"/>
                <w:lang w:val="el-GR"/>
              </w:rPr>
            </w:pPr>
            <w:r>
              <w:rPr>
                <w:b/>
                <w:bCs/>
              </w:rPr>
              <w:t xml:space="preserve"> </w:t>
            </w:r>
            <w:r>
              <w:rPr>
                <w:b/>
                <w:bCs/>
              </w:rPr>
              <w:t xml:space="preserve">746,9 </w:t>
            </w:r>
          </w:p>
        </w:tc>
        <w:tc>
          <w:tcPr>
            <w:tcW w:w="1036" w:type="dxa"/>
            <w:tcBorders/>
            <w:vAlign w:val="bottom"/>
          </w:tcPr>
          <w:p>
            <w:pPr>
              <w:pStyle w:val="DMETW2940BIPFirstPage"/>
              <w:widowControl w:val="false"/>
              <w:jc w:val="right"/>
              <w:rPr>
                <w:highlight w:val="yellow"/>
              </w:rPr>
            </w:pPr>
            <w:r>
              <w:rPr>
                <w:bCs/>
              </w:rPr>
              <w:t>644</w:t>
            </w:r>
            <w:r>
              <w:rPr>
                <w:bCs/>
                <w:lang w:val="el-GR"/>
              </w:rPr>
              <w:t>,</w:t>
            </w:r>
            <w:r>
              <w:rPr>
                <w:bCs/>
              </w:rPr>
              <w:t>6</w:t>
            </w:r>
          </w:p>
        </w:tc>
        <w:tc>
          <w:tcPr>
            <w:tcW w:w="1965" w:type="dxa"/>
            <w:gridSpan w:val="2"/>
            <w:tcBorders/>
            <w:vAlign w:val="bottom"/>
          </w:tcPr>
          <w:p>
            <w:pPr>
              <w:pStyle w:val="DMETW2940BIPFirstPage"/>
              <w:widowControl w:val="false"/>
              <w:jc w:val="right"/>
              <w:rPr>
                <w:highlight w:val="yellow"/>
              </w:rPr>
            </w:pPr>
            <w:r>
              <w:rPr>
                <w:bCs/>
              </w:rPr>
              <w:t>15,9%</w:t>
            </w:r>
          </w:p>
        </w:tc>
        <w:tc>
          <w:tcPr>
            <w:tcW w:w="1025" w:type="dxa"/>
            <w:tcBorders/>
            <w:shd w:color="auto" w:fill="BFBFBF" w:val="clear"/>
            <w:vAlign w:val="bottom"/>
          </w:tcPr>
          <w:p>
            <w:pPr>
              <w:pStyle w:val="DMETW2940BIPFirstPage"/>
              <w:widowControl w:val="false"/>
              <w:jc w:val="right"/>
              <w:rPr>
                <w:highlight w:val="yellow"/>
              </w:rPr>
            </w:pPr>
            <w:r>
              <w:rPr>
                <w:highlight w:val="yellow"/>
              </w:rPr>
            </w:r>
          </w:p>
        </w:tc>
      </w:tr>
      <w:tr>
        <w:trPr>
          <w:trHeight w:val="300" w:hRule="exact"/>
        </w:trPr>
        <w:tc>
          <w:tcPr>
            <w:tcW w:w="4738" w:type="dxa"/>
            <w:tcBorders/>
            <w:vAlign w:val="bottom"/>
          </w:tcPr>
          <w:p>
            <w:pPr>
              <w:pStyle w:val="DMETW2940BIPFirstPage"/>
              <w:widowControl w:val="false"/>
              <w:rPr>
                <w:b/>
              </w:rPr>
            </w:pPr>
            <w:r>
              <w:rPr>
                <w:bCs/>
              </w:rPr>
              <w:t>Συγκρίσιμα λειτουργικά κέρδη</w:t>
            </w:r>
            <w:r>
              <w:rPr>
                <w:bCs/>
                <w:vertAlign w:val="superscript"/>
              </w:rPr>
              <w:t>1</w:t>
            </w:r>
            <w:r>
              <w:rPr>
                <w:bCs/>
              </w:rPr>
              <w:t> (€ εκατ.)</w:t>
            </w:r>
          </w:p>
        </w:tc>
        <w:tc>
          <w:tcPr>
            <w:tcW w:w="1186" w:type="dxa"/>
            <w:tcBorders/>
            <w:vAlign w:val="bottom"/>
          </w:tcPr>
          <w:p>
            <w:pPr>
              <w:pStyle w:val="DMETW2940BIPFirstPage"/>
              <w:widowControl w:val="false"/>
              <w:jc w:val="right"/>
              <w:rPr>
                <w:b/>
                <w:highlight w:val="yellow"/>
                <w:lang w:val="el-GR"/>
              </w:rPr>
            </w:pPr>
            <w:r>
              <w:rPr>
                <w:b/>
                <w:bCs/>
              </w:rPr>
              <w:t xml:space="preserve"> </w:t>
            </w:r>
            <w:r>
              <w:rPr>
                <w:b/>
                <w:bCs/>
              </w:rPr>
              <w:t xml:space="preserve">760,1 </w:t>
            </w:r>
          </w:p>
        </w:tc>
        <w:tc>
          <w:tcPr>
            <w:tcW w:w="1036" w:type="dxa"/>
            <w:tcBorders/>
            <w:vAlign w:val="bottom"/>
          </w:tcPr>
          <w:p>
            <w:pPr>
              <w:pStyle w:val="DMETW2940BIPFirstPage"/>
              <w:widowControl w:val="false"/>
              <w:jc w:val="right"/>
              <w:rPr>
                <w:highlight w:val="yellow"/>
              </w:rPr>
            </w:pPr>
            <w:r>
              <w:rPr>
                <w:bCs/>
              </w:rPr>
              <w:t>649</w:t>
            </w:r>
            <w:r>
              <w:rPr>
                <w:bCs/>
                <w:lang w:val="el-GR"/>
              </w:rPr>
              <w:t>,</w:t>
            </w:r>
            <w:r>
              <w:rPr>
                <w:bCs/>
              </w:rPr>
              <w:t>8</w:t>
            </w:r>
          </w:p>
        </w:tc>
        <w:tc>
          <w:tcPr>
            <w:tcW w:w="1965" w:type="dxa"/>
            <w:gridSpan w:val="2"/>
            <w:tcBorders/>
            <w:vAlign w:val="bottom"/>
          </w:tcPr>
          <w:p>
            <w:pPr>
              <w:pStyle w:val="DMETW2940BIPFirstPage"/>
              <w:widowControl w:val="false"/>
              <w:jc w:val="right"/>
              <w:rPr>
                <w:highlight w:val="yellow"/>
              </w:rPr>
            </w:pPr>
            <w:r>
              <w:rPr>
                <w:bCs/>
              </w:rPr>
              <w:t>17,0%</w:t>
            </w:r>
          </w:p>
        </w:tc>
        <w:tc>
          <w:tcPr>
            <w:tcW w:w="1025" w:type="dxa"/>
            <w:tcBorders/>
            <w:vAlign w:val="bottom"/>
          </w:tcPr>
          <w:p>
            <w:pPr>
              <w:pStyle w:val="DMETW2940BIPFirstPage"/>
              <w:widowControl w:val="false"/>
              <w:jc w:val="right"/>
              <w:rPr>
                <w:bCs/>
              </w:rPr>
            </w:pPr>
            <w:r>
              <w:rPr>
                <w:bCs/>
              </w:rPr>
              <w:t>15,2%</w:t>
            </w:r>
          </w:p>
        </w:tc>
      </w:tr>
      <w:tr>
        <w:trPr>
          <w:trHeight w:val="329" w:hRule="exact"/>
        </w:trPr>
        <w:tc>
          <w:tcPr>
            <w:tcW w:w="4738" w:type="dxa"/>
            <w:tcBorders/>
            <w:vAlign w:val="bottom"/>
          </w:tcPr>
          <w:p>
            <w:pPr>
              <w:pStyle w:val="DMETW2940BIPFirstPage"/>
              <w:widowControl w:val="false"/>
              <w:rPr>
                <w:b/>
              </w:rPr>
            </w:pPr>
            <w:r>
              <w:rPr>
                <w:bCs/>
              </w:rPr>
              <w:t>Λειτουργικό περιθώριο κέρδους (%)</w:t>
            </w:r>
          </w:p>
        </w:tc>
        <w:tc>
          <w:tcPr>
            <w:tcW w:w="1186" w:type="dxa"/>
            <w:tcBorders/>
            <w:vAlign w:val="bottom"/>
          </w:tcPr>
          <w:p>
            <w:pPr>
              <w:pStyle w:val="DMETW2940BIPFirstPage"/>
              <w:widowControl w:val="false"/>
              <w:jc w:val="right"/>
              <w:rPr>
                <w:b/>
                <w:highlight w:val="yellow"/>
              </w:rPr>
            </w:pPr>
            <w:r>
              <w:rPr>
                <w:b/>
                <w:bCs/>
              </w:rPr>
              <w:t xml:space="preserve"> </w:t>
            </w:r>
            <w:r>
              <w:rPr>
                <w:b/>
                <w:bCs/>
              </w:rPr>
              <w:t xml:space="preserve">12,0 </w:t>
            </w:r>
          </w:p>
        </w:tc>
        <w:tc>
          <w:tcPr>
            <w:tcW w:w="1036" w:type="dxa"/>
            <w:tcBorders/>
            <w:vAlign w:val="bottom"/>
          </w:tcPr>
          <w:p>
            <w:pPr>
              <w:pStyle w:val="DMETW2940BIPFirstPage"/>
              <w:widowControl w:val="false"/>
              <w:jc w:val="right"/>
              <w:rPr>
                <w:highlight w:val="yellow"/>
              </w:rPr>
            </w:pPr>
            <w:r>
              <w:rPr>
                <w:bCs/>
              </w:rPr>
              <w:t>11</w:t>
            </w:r>
            <w:r>
              <w:rPr>
                <w:bCs/>
                <w:lang w:val="el-GR"/>
              </w:rPr>
              <w:t>,</w:t>
            </w:r>
            <w:r>
              <w:rPr>
                <w:bCs/>
              </w:rPr>
              <w:t>5</w:t>
            </w:r>
          </w:p>
        </w:tc>
        <w:tc>
          <w:tcPr>
            <w:tcW w:w="1965" w:type="dxa"/>
            <w:gridSpan w:val="2"/>
            <w:tcBorders/>
            <w:vAlign w:val="bottom"/>
          </w:tcPr>
          <w:p>
            <w:pPr>
              <w:pStyle w:val="DMETW2940BIPFirstPage"/>
              <w:widowControl w:val="false"/>
              <w:jc w:val="right"/>
              <w:rPr>
                <w:highlight w:val="yellow"/>
              </w:rPr>
            </w:pPr>
            <w:r>
              <w:rPr>
                <w:bCs/>
              </w:rPr>
              <w:t>50bps</w:t>
            </w:r>
          </w:p>
        </w:tc>
        <w:tc>
          <w:tcPr>
            <w:tcW w:w="1025" w:type="dxa"/>
            <w:tcBorders/>
            <w:shd w:color="auto" w:fill="BFBFBF" w:val="clear"/>
            <w:vAlign w:val="bottom"/>
          </w:tcPr>
          <w:p>
            <w:pPr>
              <w:pStyle w:val="DMETW2940BIPFirstPage"/>
              <w:widowControl w:val="false"/>
              <w:jc w:val="right"/>
              <w:rPr>
                <w:highlight w:val="yellow"/>
              </w:rPr>
            </w:pPr>
            <w:r>
              <w:rPr>
                <w:highlight w:val="yellow"/>
              </w:rPr>
            </w:r>
          </w:p>
        </w:tc>
      </w:tr>
      <w:tr>
        <w:trPr>
          <w:trHeight w:val="300" w:hRule="exact"/>
        </w:trPr>
        <w:tc>
          <w:tcPr>
            <w:tcW w:w="4738" w:type="dxa"/>
            <w:tcBorders/>
            <w:vAlign w:val="bottom"/>
          </w:tcPr>
          <w:p>
            <w:pPr>
              <w:pStyle w:val="DMETW2940BIPFirstPage"/>
              <w:widowControl w:val="false"/>
              <w:rPr>
                <w:b/>
              </w:rPr>
            </w:pPr>
            <w:r>
              <w:rPr>
                <w:bCs/>
              </w:rPr>
              <w:t>Συγκρίσιμο λειτουργικό περιθώριο κέρδους</w:t>
            </w:r>
            <w:r>
              <w:rPr>
                <w:bCs/>
                <w:vertAlign w:val="superscript"/>
              </w:rPr>
              <w:t>1</w:t>
            </w:r>
            <w:r>
              <w:rPr>
                <w:bCs/>
              </w:rPr>
              <w:t xml:space="preserve"> (%) </w:t>
            </w:r>
          </w:p>
        </w:tc>
        <w:tc>
          <w:tcPr>
            <w:tcW w:w="1186" w:type="dxa"/>
            <w:tcBorders/>
            <w:vAlign w:val="bottom"/>
          </w:tcPr>
          <w:p>
            <w:pPr>
              <w:pStyle w:val="DMETW2940BIPFirstPage"/>
              <w:widowControl w:val="false"/>
              <w:jc w:val="right"/>
              <w:rPr>
                <w:b/>
                <w:highlight w:val="yellow"/>
              </w:rPr>
            </w:pPr>
            <w:r>
              <w:rPr>
                <w:b/>
                <w:bCs/>
              </w:rPr>
              <w:t xml:space="preserve"> </w:t>
            </w:r>
            <w:r>
              <w:rPr>
                <w:b/>
                <w:bCs/>
              </w:rPr>
              <w:t xml:space="preserve">12,2 </w:t>
            </w:r>
          </w:p>
        </w:tc>
        <w:tc>
          <w:tcPr>
            <w:tcW w:w="1036" w:type="dxa"/>
            <w:tcBorders/>
            <w:vAlign w:val="bottom"/>
          </w:tcPr>
          <w:p>
            <w:pPr>
              <w:pStyle w:val="DMETW2940BIPFirstPage"/>
              <w:widowControl w:val="false"/>
              <w:jc w:val="right"/>
              <w:rPr>
                <w:highlight w:val="yellow"/>
              </w:rPr>
            </w:pPr>
            <w:r>
              <w:rPr>
                <w:bCs/>
              </w:rPr>
              <w:t>11</w:t>
            </w:r>
            <w:r>
              <w:rPr>
                <w:bCs/>
                <w:lang w:val="el-GR"/>
              </w:rPr>
              <w:t>,</w:t>
            </w:r>
            <w:r>
              <w:rPr>
                <w:bCs/>
              </w:rPr>
              <w:t>6</w:t>
            </w:r>
          </w:p>
        </w:tc>
        <w:tc>
          <w:tcPr>
            <w:tcW w:w="1965" w:type="dxa"/>
            <w:gridSpan w:val="2"/>
            <w:tcBorders/>
            <w:vAlign w:val="bottom"/>
          </w:tcPr>
          <w:p>
            <w:pPr>
              <w:pStyle w:val="DMETW2940BIPFirstPage"/>
              <w:widowControl w:val="false"/>
              <w:jc w:val="right"/>
              <w:rPr>
                <w:highlight w:val="yellow"/>
              </w:rPr>
            </w:pPr>
            <w:r>
              <w:rPr>
                <w:bCs/>
              </w:rPr>
              <w:t>60bps</w:t>
            </w:r>
          </w:p>
        </w:tc>
        <w:tc>
          <w:tcPr>
            <w:tcW w:w="1025" w:type="dxa"/>
            <w:tcBorders/>
            <w:vAlign w:val="bottom"/>
          </w:tcPr>
          <w:p>
            <w:pPr>
              <w:pStyle w:val="DMETW2940BIPFirstPage"/>
              <w:widowControl w:val="false"/>
              <w:jc w:val="right"/>
              <w:rPr>
                <w:highlight w:val="yellow"/>
              </w:rPr>
            </w:pPr>
            <w:r>
              <w:rPr>
                <w:bCs/>
              </w:rPr>
              <w:t>60bps</w:t>
            </w:r>
          </w:p>
        </w:tc>
      </w:tr>
      <w:tr>
        <w:trPr>
          <w:trHeight w:val="300" w:hRule="exact"/>
        </w:trPr>
        <w:tc>
          <w:tcPr>
            <w:tcW w:w="4738" w:type="dxa"/>
            <w:tcBorders/>
            <w:vAlign w:val="bottom"/>
          </w:tcPr>
          <w:p>
            <w:pPr>
              <w:pStyle w:val="DMETW2940BIPFirstPage"/>
              <w:widowControl w:val="false"/>
              <w:rPr>
                <w:b/>
              </w:rPr>
            </w:pPr>
            <w:r>
              <w:rPr>
                <w:bCs/>
              </w:rPr>
              <w:t>Καθαρά κέρδη</w:t>
            </w:r>
            <w:r>
              <w:rPr>
                <w:bCs/>
                <w:vertAlign w:val="superscript"/>
                <w:lang w:val="el-GR"/>
              </w:rPr>
              <w:t>2</w:t>
            </w:r>
            <w:r>
              <w:rPr>
                <w:bCs/>
              </w:rPr>
              <w:t> (€ εκατ.)</w:t>
            </w:r>
          </w:p>
        </w:tc>
        <w:tc>
          <w:tcPr>
            <w:tcW w:w="1186" w:type="dxa"/>
            <w:tcBorders/>
            <w:vAlign w:val="bottom"/>
          </w:tcPr>
          <w:p>
            <w:pPr>
              <w:pStyle w:val="DMETW2940BIPFirstPage"/>
              <w:widowControl w:val="false"/>
              <w:jc w:val="right"/>
              <w:rPr>
                <w:b/>
                <w:highlight w:val="yellow"/>
              </w:rPr>
            </w:pPr>
            <w:r>
              <w:rPr>
                <w:b/>
                <w:bCs/>
              </w:rPr>
              <w:t xml:space="preserve"> </w:t>
            </w:r>
            <w:r>
              <w:rPr>
                <w:b/>
                <w:bCs/>
              </w:rPr>
              <w:t xml:space="preserve">524,4 </w:t>
            </w:r>
          </w:p>
        </w:tc>
        <w:tc>
          <w:tcPr>
            <w:tcW w:w="1036" w:type="dxa"/>
            <w:tcBorders/>
            <w:vAlign w:val="bottom"/>
          </w:tcPr>
          <w:p>
            <w:pPr>
              <w:pStyle w:val="DMETW2940BIPFirstPage"/>
              <w:widowControl w:val="false"/>
              <w:jc w:val="right"/>
              <w:rPr>
                <w:highlight w:val="yellow"/>
              </w:rPr>
            </w:pPr>
            <w:r>
              <w:rPr>
                <w:bCs/>
              </w:rPr>
              <w:t>470</w:t>
            </w:r>
            <w:r>
              <w:rPr>
                <w:bCs/>
                <w:lang w:val="el-GR"/>
              </w:rPr>
              <w:t>,</w:t>
            </w:r>
            <w:r>
              <w:rPr>
                <w:bCs/>
              </w:rPr>
              <w:t>6</w:t>
            </w:r>
          </w:p>
        </w:tc>
        <w:tc>
          <w:tcPr>
            <w:tcW w:w="1965" w:type="dxa"/>
            <w:gridSpan w:val="2"/>
            <w:tcBorders/>
            <w:vAlign w:val="bottom"/>
          </w:tcPr>
          <w:p>
            <w:pPr>
              <w:pStyle w:val="DMETW2940BIPFirstPage"/>
              <w:widowControl w:val="false"/>
              <w:jc w:val="right"/>
              <w:rPr>
                <w:highlight w:val="yellow"/>
              </w:rPr>
            </w:pPr>
            <w:r>
              <w:rPr>
                <w:bCs/>
              </w:rPr>
              <w:t>11,4%</w:t>
            </w:r>
          </w:p>
        </w:tc>
        <w:tc>
          <w:tcPr>
            <w:tcW w:w="1025" w:type="dxa"/>
            <w:tcBorders/>
            <w:shd w:color="auto" w:fill="BFBFBF" w:val="clear"/>
            <w:vAlign w:val="bottom"/>
          </w:tcPr>
          <w:p>
            <w:pPr>
              <w:pStyle w:val="DMETW2940BIPFirstPage"/>
              <w:widowControl w:val="false"/>
              <w:jc w:val="right"/>
              <w:rPr>
                <w:highlight w:val="yellow"/>
              </w:rPr>
            </w:pPr>
            <w:r>
              <w:rPr>
                <w:highlight w:val="yellow"/>
              </w:rPr>
            </w:r>
          </w:p>
        </w:tc>
      </w:tr>
      <w:tr>
        <w:trPr>
          <w:trHeight w:val="300" w:hRule="exact"/>
        </w:trPr>
        <w:tc>
          <w:tcPr>
            <w:tcW w:w="4738" w:type="dxa"/>
            <w:tcBorders/>
            <w:vAlign w:val="bottom"/>
          </w:tcPr>
          <w:p>
            <w:pPr>
              <w:pStyle w:val="DMETW2940BIPFirstPage"/>
              <w:widowControl w:val="false"/>
              <w:rPr>
                <w:b/>
              </w:rPr>
            </w:pPr>
            <w:r>
              <w:rPr>
                <w:bCs/>
              </w:rPr>
              <w:t>Συγκρίσιμα καθαρά κέρδη</w:t>
            </w:r>
            <w:r>
              <w:rPr>
                <w:bCs/>
                <w:vertAlign w:val="superscript"/>
              </w:rPr>
              <w:t>1,</w:t>
            </w:r>
            <w:r>
              <w:rPr>
                <w:bCs/>
                <w:vertAlign w:val="superscript"/>
                <w:lang w:val="el-GR"/>
              </w:rPr>
              <w:t>2</w:t>
            </w:r>
            <w:r>
              <w:rPr>
                <w:bCs/>
              </w:rPr>
              <w:t> (€ εκατ.)</w:t>
            </w:r>
          </w:p>
        </w:tc>
        <w:tc>
          <w:tcPr>
            <w:tcW w:w="1186" w:type="dxa"/>
            <w:tcBorders/>
            <w:vAlign w:val="bottom"/>
          </w:tcPr>
          <w:p>
            <w:pPr>
              <w:pStyle w:val="DMETW2940BIPFirstPage"/>
              <w:widowControl w:val="false"/>
              <w:jc w:val="right"/>
              <w:rPr>
                <w:b/>
                <w:highlight w:val="yellow"/>
              </w:rPr>
            </w:pPr>
            <w:r>
              <w:rPr>
                <w:b/>
                <w:bCs/>
              </w:rPr>
              <w:t xml:space="preserve"> </w:t>
            </w:r>
            <w:r>
              <w:rPr>
                <w:b/>
                <w:bCs/>
              </w:rPr>
              <w:t xml:space="preserve">548,5 </w:t>
            </w:r>
          </w:p>
        </w:tc>
        <w:tc>
          <w:tcPr>
            <w:tcW w:w="1036" w:type="dxa"/>
            <w:tcBorders/>
            <w:vAlign w:val="bottom"/>
          </w:tcPr>
          <w:p>
            <w:pPr>
              <w:pStyle w:val="DMETW2940BIPFirstPage"/>
              <w:widowControl w:val="false"/>
              <w:jc w:val="right"/>
              <w:rPr>
                <w:highlight w:val="yellow"/>
              </w:rPr>
            </w:pPr>
            <w:r>
              <w:rPr>
                <w:bCs/>
              </w:rPr>
              <w:t>474</w:t>
            </w:r>
            <w:r>
              <w:rPr>
                <w:bCs/>
                <w:lang w:val="el-GR"/>
              </w:rPr>
              <w:t>,</w:t>
            </w:r>
            <w:r>
              <w:rPr>
                <w:bCs/>
              </w:rPr>
              <w:t>7</w:t>
            </w:r>
          </w:p>
        </w:tc>
        <w:tc>
          <w:tcPr>
            <w:tcW w:w="1965" w:type="dxa"/>
            <w:gridSpan w:val="2"/>
            <w:tcBorders/>
            <w:vAlign w:val="bottom"/>
          </w:tcPr>
          <w:p>
            <w:pPr>
              <w:pStyle w:val="DMETW2940BIPFirstPage"/>
              <w:widowControl w:val="false"/>
              <w:jc w:val="right"/>
              <w:rPr>
                <w:highlight w:val="yellow"/>
              </w:rPr>
            </w:pPr>
            <w:r>
              <w:rPr>
                <w:bCs/>
              </w:rPr>
              <w:t>15,5%</w:t>
            </w:r>
          </w:p>
        </w:tc>
        <w:tc>
          <w:tcPr>
            <w:tcW w:w="1025" w:type="dxa"/>
            <w:tcBorders/>
            <w:shd w:color="auto" w:fill="BFBFBF" w:val="clear"/>
            <w:vAlign w:val="bottom"/>
          </w:tcPr>
          <w:p>
            <w:pPr>
              <w:pStyle w:val="DMETW2940BIPFirstPage"/>
              <w:widowControl w:val="false"/>
              <w:jc w:val="right"/>
              <w:rPr>
                <w:highlight w:val="yellow"/>
              </w:rPr>
            </w:pPr>
            <w:r>
              <w:rPr>
                <w:highlight w:val="yellow"/>
              </w:rPr>
            </w:r>
          </w:p>
        </w:tc>
      </w:tr>
      <w:tr>
        <w:trPr>
          <w:trHeight w:val="260" w:hRule="exact"/>
        </w:trPr>
        <w:tc>
          <w:tcPr>
            <w:tcW w:w="4738" w:type="dxa"/>
            <w:tcBorders/>
            <w:vAlign w:val="bottom"/>
          </w:tcPr>
          <w:p>
            <w:pPr>
              <w:pStyle w:val="DMETW2940BIPFirstPage"/>
              <w:widowControl w:val="false"/>
              <w:rPr>
                <w:b/>
                <w:lang w:val="el-GR"/>
              </w:rPr>
            </w:pPr>
            <w:r>
              <w:rPr>
                <w:bCs/>
                <w:lang w:val="el-GR" w:eastAsia="el-GR" w:bidi="el-GR"/>
              </w:rPr>
              <w:t>Βασικά κέρδη ανά μετοχή (€ εκατ.)</w:t>
            </w:r>
          </w:p>
        </w:tc>
        <w:tc>
          <w:tcPr>
            <w:tcW w:w="1186" w:type="dxa"/>
            <w:tcBorders/>
            <w:vAlign w:val="bottom"/>
          </w:tcPr>
          <w:p>
            <w:pPr>
              <w:pStyle w:val="DMETW2940BIPFirstPage"/>
              <w:widowControl w:val="false"/>
              <w:jc w:val="right"/>
              <w:rPr>
                <w:b/>
                <w:highlight w:val="yellow"/>
              </w:rPr>
            </w:pPr>
            <w:r>
              <w:rPr>
                <w:b/>
                <w:bCs/>
                <w:lang w:val="el-GR"/>
              </w:rPr>
              <w:t xml:space="preserve"> </w:t>
            </w:r>
            <w:r>
              <w:rPr>
                <w:b/>
                <w:bCs/>
              </w:rPr>
              <w:t xml:space="preserve">1,441 </w:t>
            </w:r>
          </w:p>
        </w:tc>
        <w:tc>
          <w:tcPr>
            <w:tcW w:w="1036" w:type="dxa"/>
            <w:tcBorders/>
            <w:vAlign w:val="bottom"/>
          </w:tcPr>
          <w:p>
            <w:pPr>
              <w:pStyle w:val="DMETW2940BIPFirstPage"/>
              <w:widowControl w:val="false"/>
              <w:jc w:val="right"/>
              <w:rPr>
                <w:highlight w:val="yellow"/>
              </w:rPr>
            </w:pPr>
            <w:r>
              <w:rPr>
                <w:bCs/>
              </w:rPr>
              <w:t>1</w:t>
            </w:r>
            <w:r>
              <w:rPr>
                <w:bCs/>
                <w:lang w:val="el-GR"/>
              </w:rPr>
              <w:t>,</w:t>
            </w:r>
            <w:r>
              <w:rPr>
                <w:bCs/>
              </w:rPr>
              <w:t>297</w:t>
            </w:r>
          </w:p>
        </w:tc>
        <w:tc>
          <w:tcPr>
            <w:tcW w:w="1965" w:type="dxa"/>
            <w:gridSpan w:val="2"/>
            <w:tcBorders/>
            <w:vAlign w:val="bottom"/>
          </w:tcPr>
          <w:p>
            <w:pPr>
              <w:pStyle w:val="DMETW2940BIPFirstPage"/>
              <w:widowControl w:val="false"/>
              <w:jc w:val="right"/>
              <w:rPr>
                <w:highlight w:val="yellow"/>
              </w:rPr>
            </w:pPr>
            <w:r>
              <w:rPr>
                <w:bCs/>
              </w:rPr>
              <w:t>11,1%</w:t>
            </w:r>
          </w:p>
        </w:tc>
        <w:tc>
          <w:tcPr>
            <w:tcW w:w="1025" w:type="dxa"/>
            <w:tcBorders/>
            <w:shd w:color="auto" w:fill="BFBFBF" w:val="clear"/>
            <w:vAlign w:val="bottom"/>
          </w:tcPr>
          <w:p>
            <w:pPr>
              <w:pStyle w:val="DMETW2940BIPFirstPage"/>
              <w:widowControl w:val="false"/>
              <w:jc w:val="right"/>
              <w:rPr>
                <w:highlight w:val="yellow"/>
              </w:rPr>
            </w:pPr>
            <w:r>
              <w:rPr>
                <w:highlight w:val="yellow"/>
              </w:rPr>
            </w:r>
          </w:p>
        </w:tc>
      </w:tr>
      <w:tr>
        <w:trPr>
          <w:trHeight w:val="300" w:hRule="exact"/>
        </w:trPr>
        <w:tc>
          <w:tcPr>
            <w:tcW w:w="4738" w:type="dxa"/>
            <w:tcBorders/>
            <w:vAlign w:val="bottom"/>
          </w:tcPr>
          <w:p>
            <w:pPr>
              <w:pStyle w:val="DMETW2940BIPFirstPage"/>
              <w:widowControl w:val="false"/>
              <w:rPr>
                <w:b/>
                <w:lang w:val="el-GR"/>
              </w:rPr>
            </w:pPr>
            <w:r>
              <w:rPr>
                <w:bCs/>
                <w:lang w:val="el-GR" w:eastAsia="el-GR" w:bidi="el-GR"/>
              </w:rPr>
              <w:t>Συγκρίσιμα κέρδη ανά μετοχή</w:t>
            </w:r>
            <w:r>
              <w:rPr>
                <w:bCs/>
                <w:vertAlign w:val="superscript"/>
                <w:lang w:val="el-GR" w:eastAsia="el-GR" w:bidi="el-GR"/>
              </w:rPr>
              <w:t>1</w:t>
            </w:r>
            <w:r>
              <w:rPr>
                <w:bCs/>
                <w:lang w:eastAsia="el-GR" w:bidi="el-GR"/>
              </w:rPr>
              <w:t> </w:t>
            </w:r>
            <w:r>
              <w:rPr>
                <w:bCs/>
                <w:lang w:val="el-GR" w:eastAsia="el-GR" w:bidi="el-GR"/>
              </w:rPr>
              <w:t>(€)</w:t>
            </w:r>
          </w:p>
        </w:tc>
        <w:tc>
          <w:tcPr>
            <w:tcW w:w="1186" w:type="dxa"/>
            <w:tcBorders/>
            <w:vAlign w:val="bottom"/>
          </w:tcPr>
          <w:p>
            <w:pPr>
              <w:pStyle w:val="DMETW2940BIPFirstPage"/>
              <w:widowControl w:val="false"/>
              <w:jc w:val="right"/>
              <w:rPr>
                <w:b/>
                <w:highlight w:val="yellow"/>
              </w:rPr>
            </w:pPr>
            <w:r>
              <w:rPr>
                <w:b/>
                <w:bCs/>
              </w:rPr>
              <w:t xml:space="preserve"> </w:t>
            </w:r>
            <w:r>
              <w:rPr>
                <w:b/>
                <w:bCs/>
              </w:rPr>
              <w:t xml:space="preserve">1,507 </w:t>
            </w:r>
          </w:p>
        </w:tc>
        <w:tc>
          <w:tcPr>
            <w:tcW w:w="1036" w:type="dxa"/>
            <w:tcBorders/>
            <w:vAlign w:val="bottom"/>
          </w:tcPr>
          <w:p>
            <w:pPr>
              <w:pStyle w:val="DMETW2940BIPFirstPage"/>
              <w:widowControl w:val="false"/>
              <w:jc w:val="right"/>
              <w:rPr>
                <w:highlight w:val="yellow"/>
              </w:rPr>
            </w:pPr>
            <w:r>
              <w:rPr>
                <w:bCs/>
              </w:rPr>
              <w:t>1</w:t>
            </w:r>
            <w:r>
              <w:rPr>
                <w:bCs/>
                <w:lang w:val="el-GR"/>
              </w:rPr>
              <w:t>,</w:t>
            </w:r>
            <w:r>
              <w:rPr>
                <w:bCs/>
              </w:rPr>
              <w:t>308</w:t>
            </w:r>
          </w:p>
        </w:tc>
        <w:tc>
          <w:tcPr>
            <w:tcW w:w="1965" w:type="dxa"/>
            <w:gridSpan w:val="2"/>
            <w:tcBorders/>
            <w:vAlign w:val="bottom"/>
          </w:tcPr>
          <w:p>
            <w:pPr>
              <w:pStyle w:val="DMETW2940BIPFirstPage"/>
              <w:widowControl w:val="false"/>
              <w:jc w:val="right"/>
              <w:rPr>
                <w:highlight w:val="yellow"/>
              </w:rPr>
            </w:pPr>
            <w:r>
              <w:rPr>
                <w:bCs/>
              </w:rPr>
              <w:t>15,2%</w:t>
            </w:r>
          </w:p>
        </w:tc>
        <w:tc>
          <w:tcPr>
            <w:tcW w:w="1025" w:type="dxa"/>
            <w:tcBorders/>
            <w:shd w:color="auto" w:fill="BFBFBF" w:val="clear"/>
            <w:vAlign w:val="bottom"/>
          </w:tcPr>
          <w:p>
            <w:pPr>
              <w:pStyle w:val="DMETW2940BIPFirstPage"/>
              <w:widowControl w:val="false"/>
              <w:jc w:val="right"/>
              <w:rPr>
                <w:highlight w:val="yellow"/>
              </w:rPr>
            </w:pPr>
            <w:r>
              <w:rPr>
                <w:highlight w:val="yellow"/>
              </w:rPr>
            </w:r>
          </w:p>
        </w:tc>
      </w:tr>
      <w:tr>
        <w:trPr>
          <w:trHeight w:val="300" w:hRule="exact"/>
        </w:trPr>
        <w:tc>
          <w:tcPr>
            <w:tcW w:w="4738" w:type="dxa"/>
            <w:tcBorders>
              <w:bottom w:val="single" w:sz="4" w:space="0" w:color="000000"/>
            </w:tcBorders>
            <w:vAlign w:val="bottom"/>
          </w:tcPr>
          <w:p>
            <w:pPr>
              <w:pStyle w:val="DMETW2940BIPFirstPage"/>
              <w:widowControl w:val="false"/>
              <w:rPr>
                <w:b/>
              </w:rPr>
            </w:pPr>
            <w:r>
              <w:rPr>
                <w:bCs/>
              </w:rPr>
              <w:t>Καθαρές ταμειακές ροές</w:t>
            </w:r>
            <w:r>
              <w:rPr>
                <w:bCs/>
                <w:vertAlign w:val="superscript"/>
              </w:rPr>
              <w:t>1</w:t>
            </w:r>
            <w:r>
              <w:rPr>
                <w:bCs/>
              </w:rPr>
              <w:t> (€ εκατ.)</w:t>
            </w:r>
          </w:p>
        </w:tc>
        <w:tc>
          <w:tcPr>
            <w:tcW w:w="1186" w:type="dxa"/>
            <w:tcBorders>
              <w:bottom w:val="single" w:sz="4" w:space="0" w:color="000000"/>
            </w:tcBorders>
            <w:vAlign w:val="bottom"/>
          </w:tcPr>
          <w:p>
            <w:pPr>
              <w:pStyle w:val="DMETW2940BIPFirstPage"/>
              <w:widowControl w:val="false"/>
              <w:jc w:val="right"/>
              <w:rPr>
                <w:b/>
                <w:highlight w:val="yellow"/>
              </w:rPr>
            </w:pPr>
            <w:r>
              <w:rPr>
                <w:b/>
                <w:bCs/>
              </w:rPr>
              <w:t xml:space="preserve"> </w:t>
            </w:r>
            <w:r>
              <w:rPr>
                <w:b/>
                <w:bCs/>
              </w:rPr>
              <w:t xml:space="preserve">215,7 </w:t>
            </w:r>
          </w:p>
        </w:tc>
        <w:tc>
          <w:tcPr>
            <w:tcW w:w="1036" w:type="dxa"/>
            <w:tcBorders>
              <w:bottom w:val="single" w:sz="4" w:space="0" w:color="000000"/>
            </w:tcBorders>
            <w:vAlign w:val="bottom"/>
          </w:tcPr>
          <w:p>
            <w:pPr>
              <w:pStyle w:val="DMETW2940BIPFirstPage"/>
              <w:widowControl w:val="false"/>
              <w:jc w:val="right"/>
              <w:rPr>
                <w:highlight w:val="yellow"/>
              </w:rPr>
            </w:pPr>
            <w:r>
              <w:rPr>
                <w:bCs/>
              </w:rPr>
              <w:t>244</w:t>
            </w:r>
            <w:r>
              <w:rPr>
                <w:bCs/>
                <w:lang w:val="el-GR"/>
              </w:rPr>
              <w:t>,</w:t>
            </w:r>
            <w:r>
              <w:rPr>
                <w:bCs/>
              </w:rPr>
              <w:t>5</w:t>
            </w:r>
          </w:p>
        </w:tc>
        <w:tc>
          <w:tcPr>
            <w:tcW w:w="1965" w:type="dxa"/>
            <w:gridSpan w:val="2"/>
            <w:tcBorders>
              <w:bottom w:val="single" w:sz="4" w:space="0" w:color="000000"/>
            </w:tcBorders>
            <w:vAlign w:val="bottom"/>
          </w:tcPr>
          <w:p>
            <w:pPr>
              <w:pStyle w:val="DMETW2940BIPFirstPage"/>
              <w:widowControl w:val="false"/>
              <w:jc w:val="right"/>
              <w:rPr>
                <w:highlight w:val="yellow"/>
              </w:rPr>
            </w:pPr>
            <w:r>
              <w:rPr>
                <w:bCs/>
              </w:rPr>
              <w:t>-11,8%</w:t>
            </w:r>
          </w:p>
        </w:tc>
        <w:tc>
          <w:tcPr>
            <w:tcW w:w="1025" w:type="dxa"/>
            <w:tcBorders>
              <w:bottom w:val="single" w:sz="4" w:space="0" w:color="000000"/>
            </w:tcBorders>
            <w:shd w:color="auto" w:fill="BFBFBF" w:val="clear"/>
            <w:vAlign w:val="bottom"/>
          </w:tcPr>
          <w:p>
            <w:pPr>
              <w:pStyle w:val="DMETW2940BIPFirstPage"/>
              <w:widowControl w:val="false"/>
              <w:jc w:val="right"/>
              <w:rPr>
                <w:highlight w:val="yellow"/>
              </w:rPr>
            </w:pPr>
            <w:r>
              <w:rPr>
                <w:highlight w:val="yellow"/>
              </w:rPr>
            </w:r>
          </w:p>
        </w:tc>
      </w:tr>
    </w:tbl>
    <w:p>
      <w:pPr>
        <w:pStyle w:val="Normal"/>
        <w:spacing w:before="120" w:after="0"/>
        <w:jc w:val="both"/>
        <w:rPr>
          <w:rFonts w:ascii="Effra Corp" w:hAnsi="Effra Corp" w:eastAsia="Effra Corp" w:cs="Arial"/>
          <w:i/>
          <w:i/>
          <w:color w:val="000000"/>
          <w:sz w:val="14"/>
          <w:szCs w:val="14"/>
          <w:vertAlign w:val="superscript"/>
          <w:lang w:val="el-GR" w:bidi="el-GR"/>
        </w:rPr>
      </w:pPr>
      <w:r>
        <w:rPr>
          <w:rFonts w:eastAsia="Effra Corp" w:cs="Arial" w:ascii="Effra Corp" w:hAnsi="Effra Corp"/>
          <w:i/>
          <w:color w:val="000000"/>
          <w:sz w:val="14"/>
          <w:szCs w:val="14"/>
          <w:vertAlign w:val="superscript"/>
          <w:lang w:val="el-GR" w:bidi="el-GR"/>
        </w:rPr>
        <w:t xml:space="preserve">1 </w:t>
      </w:r>
      <w:r>
        <w:rPr>
          <w:rFonts w:eastAsia="Effra Corp" w:cs="Arial" w:ascii="Effra Corp" w:hAnsi="Effra Corp"/>
          <w:i/>
          <w:color w:val="000000"/>
          <w:sz w:val="14"/>
          <w:szCs w:val="14"/>
          <w:lang w:val="el-GR" w:bidi="el-GR"/>
        </w:rPr>
        <w:t>Για λεπτομέρειες επί των Εναλλακτικών Δεικτών Μέτρησης Απόδοσης (ΕΔΜΑ), ανατρέξτε στις ενότητες «Εναλλακτικοί Δείκτες Μέτρησης Απόδοσης» και «Ορισμοί και συμφωνίες Εναλλακτικών Δεικτών Μέτρησης Απόδοσης (ΕΔΜΑ)».</w:t>
      </w:r>
      <w:r>
        <w:rPr>
          <w:rFonts w:eastAsia="Effra Corp" w:cs="Arial" w:ascii="Effra Corp" w:hAnsi="Effra Corp"/>
          <w:i/>
          <w:color w:val="000000"/>
          <w:sz w:val="14"/>
          <w:szCs w:val="14"/>
          <w:vertAlign w:val="superscript"/>
          <w:lang w:val="el-GR" w:bidi="el-GR"/>
        </w:rPr>
        <w:t xml:space="preserve"> </w:t>
      </w:r>
    </w:p>
    <w:p>
      <w:pPr>
        <w:pStyle w:val="Normal"/>
        <w:spacing w:before="40" w:after="0"/>
        <w:jc w:val="both"/>
        <w:rPr>
          <w:rFonts w:ascii="Effra Corp" w:hAnsi="Effra Corp" w:cs="Arial"/>
          <w:i/>
          <w:i/>
          <w:iCs/>
          <w:color w:val="000000"/>
          <w:sz w:val="14"/>
          <w:szCs w:val="14"/>
          <w:lang w:val="el-GR"/>
        </w:rPr>
      </w:pPr>
      <w:r>
        <w:rPr>
          <w:rFonts w:eastAsia="Effra Corp" w:cs="Arial" w:ascii="Effra Corp" w:hAnsi="Effra Corp"/>
          <w:i/>
          <w:color w:val="000000"/>
          <w:sz w:val="14"/>
          <w:szCs w:val="14"/>
          <w:vertAlign w:val="superscript"/>
          <w:lang w:val="el-GR" w:bidi="el-GR"/>
        </w:rPr>
        <w:t xml:space="preserve">2 </w:t>
      </w:r>
      <w:r>
        <w:rPr>
          <w:rFonts w:eastAsia="Effra Corp" w:cs="Arial" w:ascii="Effra Corp" w:hAnsi="Effra Corp"/>
          <w:i/>
          <w:color w:val="000000"/>
          <w:sz w:val="14"/>
          <w:szCs w:val="14"/>
          <w:lang w:val="el-GR" w:bidi="el-GR"/>
        </w:rPr>
        <w:t>Τα καθαρά κέρδη και τα συγκρίσιμα καθαρά κέρδη αναφέρονται στα καθαρά κέρδη και στα συγκρίσιμα καθαρά κέρδη μετά φόρων αναλογούντα στους ιδιοκτήτες της μητρικής εταιρείας.</w:t>
      </w:r>
    </w:p>
    <w:p>
      <w:pPr>
        <w:pStyle w:val="Normal"/>
        <w:jc w:val="both"/>
        <w:rPr>
          <w:rFonts w:ascii="Effra Corp" w:hAnsi="Effra Corp" w:cs="Arial"/>
          <w:b/>
          <w:i/>
          <w:i/>
          <w:sz w:val="16"/>
          <w:szCs w:val="16"/>
          <w:highlight w:val="yellow"/>
          <w:lang w:val="el-GR"/>
        </w:rPr>
      </w:pPr>
      <w:r>
        <w:rPr>
          <w:rFonts w:cs="Arial" w:ascii="Effra Corp" w:hAnsi="Effra Corp"/>
          <w:b/>
          <w:i/>
          <w:sz w:val="16"/>
          <w:szCs w:val="16"/>
          <w:highlight w:val="yellow"/>
          <w:lang w:val="el-GR"/>
        </w:rPr>
      </w:r>
    </w:p>
    <w:p>
      <w:pPr>
        <w:pStyle w:val="BodyText3"/>
        <w:shd w:val="clear" w:color="auto" w:fill="BFBFBF"/>
        <w:spacing w:before="0" w:after="120"/>
        <w:rPr>
          <w:rFonts w:ascii="Effra Corp" w:hAnsi="Effra Corp" w:cs="Arial"/>
          <w:b/>
          <w:sz w:val="21"/>
          <w:szCs w:val="21"/>
          <w:lang w:val="el-GR"/>
        </w:rPr>
      </w:pPr>
      <w:r>
        <w:rPr>
          <w:rFonts w:eastAsia="Effra Corp" w:cs="Arial" w:ascii="Effra Corp" w:hAnsi="Effra Corp"/>
          <w:b/>
          <w:sz w:val="21"/>
          <w:szCs w:val="21"/>
          <w:lang w:val="el-GR" w:bidi="el-GR"/>
        </w:rPr>
        <w:t>Επιχειρηματικές προοπτικές</w:t>
      </w:r>
    </w:p>
    <w:p>
      <w:pPr>
        <w:pStyle w:val="Normal"/>
        <w:spacing w:before="0" w:after="120"/>
        <w:jc w:val="both"/>
        <w:rPr>
          <w:rFonts w:ascii="Effra Corp" w:hAnsi="Effra Corp" w:eastAsia="Calibri"/>
          <w:sz w:val="21"/>
          <w:szCs w:val="21"/>
          <w:lang w:val="el-GR"/>
        </w:rPr>
      </w:pPr>
      <w:r>
        <w:rPr>
          <w:rFonts w:eastAsia="Calibri" w:cs="Effra Corp" w:ascii="Effra Corp" w:hAnsi="Effra Corp"/>
          <w:sz w:val="21"/>
          <w:szCs w:val="21"/>
          <w:lang w:val="el-GR" w:bidi="el-GR"/>
        </w:rPr>
        <w:t xml:space="preserve">Πετύχαμε ισχυρές επιδόσεις κατά το πρώτο εξάμηνο του έτους. Παρακολουθούμε στενά το ευρύτερο μακροοικονομικό και γεωπολιτικό περιβάλλον, το οποίο αναμένουμε ότι θα συνεχίσει να εμφανίζει προκλήσεις και να παραμένει απρόβλεπτο. Παρ’ όλα αυτά, διατηρούμε την εμπιστοσύνη στο χαρτοφυλάκιο προϊόντων μας 24/7 κατανάλωσης, στις εξειδικευμένες δυνατότητές μας, στους ανθρώπους μας και στις ευκαιρίες ανάπτυξης στις ποικίλες αγορές μας και αναβαθμίζουμε τις χρηματοοικονομικές μας κατευθύνσεις για το 2026 ως εξής: </w:t>
      </w:r>
    </w:p>
    <w:p>
      <w:pPr>
        <w:pStyle w:val="ListParagraph"/>
        <w:numPr>
          <w:ilvl w:val="0"/>
          <w:numId w:val="10"/>
        </w:numPr>
        <w:spacing w:before="0" w:after="120"/>
        <w:contextualSpacing/>
        <w:jc w:val="both"/>
        <w:rPr>
          <w:rFonts w:ascii="Effra Corp" w:hAnsi="Effra Corp" w:eastAsia="Calibri" w:cs="Effra Corp"/>
          <w:sz w:val="21"/>
          <w:szCs w:val="21"/>
          <w:lang w:val="el-GR" w:bidi="el-GR"/>
        </w:rPr>
      </w:pPr>
      <w:r>
        <w:rPr>
          <w:rFonts w:eastAsia="Calibri" w:cs="Effra Corp" w:ascii="Effra Corp" w:hAnsi="Effra Corp"/>
          <w:sz w:val="21"/>
          <w:szCs w:val="21"/>
          <w:lang w:bidi="el-GR"/>
        </w:rPr>
        <w:t>H</w:t>
      </w:r>
      <w:r>
        <w:rPr>
          <w:rFonts w:eastAsia="Calibri" w:cs="Effra Corp" w:ascii="Effra Corp" w:hAnsi="Effra Corp"/>
          <w:sz w:val="21"/>
          <w:szCs w:val="21"/>
          <w:lang w:val="el-GR" w:bidi="el-GR"/>
        </w:rPr>
        <w:t xml:space="preserve"> αύξηση των καθαρών εσόδων από πωλήσεις σε οργανική βάση αναμένεται πλέον</w:t>
      </w:r>
      <w:r>
        <w:rPr>
          <w:rFonts w:eastAsia="Effra Corp" w:cs="Arial" w:ascii="Effra Corp" w:hAnsi="Effra Corp"/>
          <w:color w:val="000000"/>
          <w:spacing w:val="-2"/>
          <w:sz w:val="21"/>
          <w:szCs w:val="21"/>
          <w:lang w:val="el-GR" w:bidi="el-GR"/>
        </w:rPr>
        <w:t xml:space="preserve"> να διαμορφωθεί</w:t>
      </w:r>
      <w:r>
        <w:rPr>
          <w:rFonts w:eastAsia="Calibri" w:cs="Effra Corp" w:ascii="Effra Corp" w:hAnsi="Effra Corp"/>
          <w:sz w:val="21"/>
          <w:szCs w:val="21"/>
          <w:lang w:val="el-GR" w:bidi="el-GR"/>
        </w:rPr>
        <w:t xml:space="preserve"> στο ανώτερο όριο του εύρους 6% με 7%.</w:t>
      </w:r>
    </w:p>
    <w:p>
      <w:pPr>
        <w:pStyle w:val="ListParagraph"/>
        <w:numPr>
          <w:ilvl w:val="0"/>
          <w:numId w:val="10"/>
        </w:numPr>
        <w:ind w:left="714" w:hanging="357"/>
        <w:jc w:val="both"/>
        <w:rPr>
          <w:rFonts w:ascii="Effra Corp" w:hAnsi="Effra Corp" w:eastAsia="Calibri"/>
          <w:sz w:val="21"/>
          <w:szCs w:val="21"/>
          <w:lang w:val="el-GR"/>
        </w:rPr>
      </w:pPr>
      <w:r>
        <w:rPr>
          <w:rFonts w:eastAsia="Calibri" w:cs="Effra Corp" w:ascii="Effra Corp" w:hAnsi="Effra Corp"/>
          <w:sz w:val="21"/>
          <w:szCs w:val="21"/>
          <w:lang w:val="el-GR" w:bidi="el-GR"/>
        </w:rPr>
        <w:t>Η α</w:t>
      </w:r>
      <w:r>
        <w:rPr>
          <w:rFonts w:eastAsia="Effra Corp" w:cs="Arial" w:ascii="Effra Corp" w:hAnsi="Effra Corp"/>
          <w:color w:val="000000"/>
          <w:spacing w:val="-2"/>
          <w:sz w:val="21"/>
          <w:szCs w:val="21"/>
          <w:lang w:val="el-GR" w:bidi="el-GR"/>
        </w:rPr>
        <w:t xml:space="preserve">ύξηση των λειτουργικών κερδών σε οργανική βάση αναμένεται πλέον να διαμορφωθεί στο εύρος 8% με 10% </w:t>
      </w:r>
      <w:r>
        <w:rPr>
          <w:rFonts w:eastAsia="Calibri" w:cs="Effra Corp" w:ascii="Effra Corp" w:hAnsi="Effra Corp"/>
          <w:sz w:val="21"/>
          <w:szCs w:val="21"/>
          <w:lang w:val="el-GR" w:bidi="el-GR"/>
        </w:rPr>
        <w:t>(προηγουμένως στο εύρος 7% με 10%).</w:t>
      </w:r>
    </w:p>
    <w:p>
      <w:pPr>
        <w:pStyle w:val="Normal"/>
        <w:jc w:val="both"/>
        <w:rPr>
          <w:rFonts w:ascii="Effra Corp" w:hAnsi="Effra Corp" w:eastAsia="Calibri"/>
          <w:sz w:val="16"/>
          <w:szCs w:val="16"/>
          <w:highlight w:val="yellow"/>
          <w:lang w:val="el-GR"/>
        </w:rPr>
      </w:pPr>
      <w:r>
        <w:rPr>
          <w:rFonts w:eastAsia="Calibri" w:ascii="Effra Corp" w:hAnsi="Effra Corp"/>
          <w:sz w:val="16"/>
          <w:szCs w:val="16"/>
          <w:highlight w:val="yellow"/>
          <w:lang w:val="el-GR"/>
        </w:rPr>
      </w:r>
    </w:p>
    <w:p>
      <w:pPr>
        <w:pStyle w:val="BodyText3"/>
        <w:shd w:val="clear" w:color="auto" w:fill="BFBFBF"/>
        <w:spacing w:before="0" w:after="120"/>
        <w:rPr>
          <w:rFonts w:ascii="Effra Corp" w:hAnsi="Effra Corp" w:cs="Arial"/>
          <w:b/>
          <w:sz w:val="21"/>
          <w:szCs w:val="21"/>
          <w:lang w:val="el-GR"/>
        </w:rPr>
      </w:pPr>
      <w:r>
        <w:rPr>
          <w:rFonts w:eastAsia="Effra Corp" w:cs="Arial" w:ascii="Effra Corp" w:hAnsi="Effra Corp"/>
          <w:b/>
          <w:sz w:val="21"/>
          <w:szCs w:val="21"/>
          <w:lang w:val="el-GR" w:bidi="el-GR"/>
        </w:rPr>
        <w:t>Τεχνική ανάλυση 2026</w:t>
      </w:r>
    </w:p>
    <w:p>
      <w:pPr>
        <w:pStyle w:val="Normal"/>
        <w:spacing w:before="0" w:after="120"/>
        <w:jc w:val="both"/>
        <w:rPr>
          <w:rFonts w:ascii="Effra Corp" w:hAnsi="Effra Corp" w:eastAsia="Effra Corp" w:cs="Arial"/>
          <w:bCs/>
          <w:color w:val="000000"/>
          <w:spacing w:val="-2"/>
          <w:sz w:val="21"/>
          <w:szCs w:val="21"/>
          <w:lang w:val="el-GR" w:bidi="el-GR"/>
        </w:rPr>
      </w:pPr>
      <w:r>
        <w:rPr>
          <w:rFonts w:eastAsia="Effra Corp" w:cs="Arial" w:ascii="Effra Corp" w:hAnsi="Effra Corp"/>
          <w:bCs/>
          <w:color w:val="000000"/>
          <w:spacing w:val="-2"/>
          <w:sz w:val="21"/>
          <w:szCs w:val="21"/>
          <w:lang w:val="el-GR" w:bidi="el-GR"/>
        </w:rPr>
        <w:t>Ενημερώσαμε τμήμα της τεχνικής μας ανάλυσης, για το 2026, ως εξής:</w:t>
      </w:r>
    </w:p>
    <w:p>
      <w:pPr>
        <w:pStyle w:val="Normal"/>
        <w:spacing w:before="0" w:after="120"/>
        <w:jc w:val="both"/>
        <w:rPr>
          <w:rFonts w:ascii="Effra Corp" w:hAnsi="Effra Corp" w:cs="Arial"/>
          <w:color w:val="000000"/>
          <w:spacing w:val="-2"/>
          <w:sz w:val="21"/>
          <w:szCs w:val="21"/>
          <w:lang w:val="el-GR" w:eastAsia="el-GR" w:bidi="dv-MV"/>
        </w:rPr>
      </w:pPr>
      <w:r>
        <w:rPr>
          <w:rFonts w:eastAsia="Effra Corp" w:cs="Arial" w:ascii="Effra Corp" w:hAnsi="Effra Corp"/>
          <w:b/>
          <w:color w:val="000000"/>
          <w:spacing w:val="-2"/>
          <w:sz w:val="21"/>
          <w:szCs w:val="21"/>
          <w:lang w:val="el-GR" w:bidi="el-GR"/>
        </w:rPr>
        <w:t>Συναλλαγματικές ισοτιμίες:</w:t>
      </w:r>
      <w:r>
        <w:rPr>
          <w:rFonts w:eastAsia="Effra Corp" w:cs="Arial" w:ascii="Effra Corp" w:hAnsi="Effra Corp"/>
          <w:color w:val="000000"/>
          <w:spacing w:val="-2"/>
          <w:sz w:val="21"/>
          <w:szCs w:val="21"/>
          <w:lang w:val="el-GR" w:bidi="el-GR"/>
        </w:rPr>
        <w:t xml:space="preserve"> </w:t>
      </w:r>
      <w:r>
        <w:rPr>
          <w:rFonts w:eastAsia="Effra Corp" w:cs="Effra Corp" w:ascii="Effra Corp" w:hAnsi="Effra Corp"/>
          <w:spacing w:val="-2"/>
          <w:sz w:val="21"/>
          <w:lang w:val="el-GR" w:bidi="el-GR"/>
        </w:rPr>
        <w:t>Αναμένουμε ότι η επίδραση στα συγκρίσιμα λειτουργικά κέρδη, από συναλλαγματικές διαφορές μετατροπής των αποτελεσμάτων στο νόμισμα αναφοράς του Ομίλου, θα είναι θετική στα επίπεδα των €0-10 εκατ. (</w:t>
      </w:r>
      <w:r>
        <w:rPr>
          <w:rFonts w:eastAsia="Calibri" w:cs="Effra Corp" w:ascii="Effra Corp" w:hAnsi="Effra Corp"/>
          <w:sz w:val="21"/>
          <w:szCs w:val="21"/>
          <w:lang w:val="el-GR" w:bidi="el-GR"/>
        </w:rPr>
        <w:t xml:space="preserve">προηγουμένως αρνητική επίδραση </w:t>
      </w:r>
      <w:r>
        <w:rPr>
          <w:rFonts w:eastAsia="Effra Corp" w:cs="Arial" w:ascii="Effra Corp" w:hAnsi="Effra Corp"/>
          <w:color w:val="000000"/>
          <w:spacing w:val="-2"/>
          <w:sz w:val="21"/>
          <w:szCs w:val="21"/>
          <w:lang w:val="el-GR" w:bidi="el-GR"/>
        </w:rPr>
        <w:t>στα επίπεδα των €0-30</w:t>
      </w:r>
      <w:r>
        <w:rPr>
          <w:rFonts w:eastAsia="Effra Corp" w:cs="Arial" w:ascii="Effra Corp" w:hAnsi="Effra Corp"/>
          <w:color w:val="000000"/>
          <w:spacing w:val="-2"/>
          <w:sz w:val="21"/>
          <w:szCs w:val="21"/>
          <w:lang w:bidi="el-GR"/>
        </w:rPr>
        <w:t> </w:t>
      </w:r>
      <w:r>
        <w:rPr>
          <w:rFonts w:eastAsia="Effra Corp" w:cs="Arial" w:ascii="Effra Corp" w:hAnsi="Effra Corp"/>
          <w:color w:val="000000"/>
          <w:spacing w:val="-2"/>
          <w:sz w:val="21"/>
          <w:szCs w:val="21"/>
          <w:lang w:val="el-GR" w:bidi="el-GR"/>
        </w:rPr>
        <w:t xml:space="preserve"> εκατ.).</w:t>
      </w:r>
    </w:p>
    <w:p>
      <w:pPr>
        <w:pStyle w:val="Normal"/>
        <w:spacing w:before="0" w:after="120"/>
        <w:jc w:val="both"/>
        <w:rPr>
          <w:rFonts w:ascii="Effra Corp" w:hAnsi="Effra Corp" w:cs="Arial"/>
          <w:color w:val="000000"/>
          <w:spacing w:val="-2"/>
          <w:sz w:val="21"/>
          <w:szCs w:val="21"/>
          <w:lang w:val="el-GR" w:eastAsia="el-GR" w:bidi="dv-MV"/>
        </w:rPr>
      </w:pPr>
      <w:r>
        <w:rPr>
          <w:rFonts w:eastAsia="Effra Corp" w:cs="Arial" w:ascii="Effra Corp" w:hAnsi="Effra Corp"/>
          <w:b/>
          <w:color w:val="000000"/>
          <w:spacing w:val="-2"/>
          <w:sz w:val="21"/>
          <w:szCs w:val="21"/>
          <w:lang w:val="el-GR" w:bidi="el-GR"/>
        </w:rPr>
        <w:t>Έξοδα αναδιάρθρωσης:</w:t>
      </w:r>
      <w:r>
        <w:rPr>
          <w:rFonts w:eastAsia="Effra Corp" w:cs="Arial" w:ascii="Effra Corp" w:hAnsi="Effra Corp"/>
          <w:color w:val="000000"/>
          <w:spacing w:val="-2"/>
          <w:sz w:val="21"/>
          <w:szCs w:val="21"/>
          <w:lang w:val="el-GR" w:bidi="el-GR"/>
        </w:rPr>
        <w:t xml:space="preserve"> Δεν αναμένουμε σημαντικά έξοδα αναδιάρθρωσης (χωρίς μεταβολή). </w:t>
      </w:r>
    </w:p>
    <w:p>
      <w:pPr>
        <w:pStyle w:val="Normal"/>
        <w:spacing w:before="0" w:after="120"/>
        <w:jc w:val="both"/>
        <w:rPr>
          <w:rFonts w:ascii="Effra Corp" w:hAnsi="Effra Corp" w:cs="Arial"/>
          <w:color w:val="000000"/>
          <w:spacing w:val="-2"/>
          <w:sz w:val="21"/>
          <w:szCs w:val="21"/>
          <w:lang w:val="el-GR" w:eastAsia="el-GR" w:bidi="dv-MV"/>
        </w:rPr>
      </w:pPr>
      <w:r>
        <w:rPr>
          <w:rFonts w:eastAsia="Effra Corp" w:cs="Arial" w:ascii="Effra Corp" w:hAnsi="Effra Corp"/>
          <w:b/>
          <w:color w:val="000000"/>
          <w:spacing w:val="-2"/>
          <w:sz w:val="21"/>
          <w:szCs w:val="21"/>
          <w:lang w:val="el-GR" w:bidi="el-GR"/>
        </w:rPr>
        <w:t>Φόροι:</w:t>
      </w:r>
      <w:r>
        <w:rPr>
          <w:rFonts w:eastAsia="Effra Corp" w:cs="Arial" w:ascii="Effra Corp" w:hAnsi="Effra Corp"/>
          <w:color w:val="000000"/>
          <w:spacing w:val="-2"/>
          <w:sz w:val="21"/>
          <w:szCs w:val="21"/>
          <w:lang w:val="el-GR" w:bidi="el-GR"/>
        </w:rPr>
        <w:t xml:space="preserve"> Αναμένουμε ότι ο συγκρίσιμος πραγματικός φορολογικός συντελεστής θα διαμορφωθεί μεταξύ 26% και 28% (χωρίς μεταβολή).</w:t>
      </w:r>
    </w:p>
    <w:p>
      <w:pPr>
        <w:pStyle w:val="Normal"/>
        <w:jc w:val="both"/>
        <w:rPr>
          <w:rFonts w:ascii="Effra Corp" w:hAnsi="Effra Corp" w:eastAsia="Effra Corp" w:cs="Arial"/>
          <w:sz w:val="21"/>
          <w:szCs w:val="21"/>
          <w:lang w:val="el-GR" w:bidi="el-GR"/>
        </w:rPr>
      </w:pPr>
      <w:r>
        <w:rPr>
          <w:rFonts w:eastAsia="Effra Corp" w:cs="Arial" w:ascii="Effra Corp" w:hAnsi="Effra Corp"/>
          <w:b/>
          <w:color w:val="000000"/>
          <w:spacing w:val="-2"/>
          <w:sz w:val="21"/>
          <w:szCs w:val="21"/>
          <w:lang w:val="el-GR" w:bidi="el-GR"/>
        </w:rPr>
        <w:t>Χρηματοοικονομικά έξοδα:</w:t>
      </w:r>
      <w:r>
        <w:rPr>
          <w:rFonts w:eastAsia="Effra Corp" w:cs="Arial" w:ascii="Effra Corp" w:hAnsi="Effra Corp"/>
          <w:color w:val="000000"/>
          <w:spacing w:val="-2"/>
          <w:sz w:val="21"/>
          <w:szCs w:val="21"/>
          <w:lang w:val="el-GR" w:bidi="el-GR"/>
        </w:rPr>
        <w:t xml:space="preserve"> Αναμένουμε ότι τα καθαρά χρηματοοικονομικά έξοδα θα ανέλθουν στα επίπεδα των €40-50</w:t>
      </w:r>
      <w:r>
        <w:rPr>
          <w:rFonts w:eastAsia="Effra Corp" w:cs="Arial" w:ascii="Effra Corp" w:hAnsi="Effra Corp"/>
          <w:color w:val="000000"/>
          <w:spacing w:val="-2"/>
          <w:sz w:val="21"/>
          <w:szCs w:val="21"/>
          <w:lang w:bidi="el-GR"/>
        </w:rPr>
        <w:t> </w:t>
      </w:r>
      <w:r>
        <w:rPr>
          <w:rFonts w:eastAsia="Effra Corp" w:cs="Arial" w:ascii="Effra Corp" w:hAnsi="Effra Corp"/>
          <w:color w:val="000000"/>
          <w:spacing w:val="-2"/>
          <w:sz w:val="21"/>
          <w:szCs w:val="21"/>
          <w:lang w:val="el-GR" w:bidi="el-GR"/>
        </w:rPr>
        <w:t xml:space="preserve"> εκατ. </w:t>
      </w:r>
      <w:r>
        <w:rPr>
          <w:rFonts w:eastAsia="Calibri" w:cs="Effra Corp" w:ascii="Effra Corp" w:hAnsi="Effra Corp"/>
          <w:sz w:val="21"/>
          <w:szCs w:val="21"/>
          <w:lang w:val="el-GR" w:bidi="el-GR"/>
        </w:rPr>
        <w:t xml:space="preserve">(προηγουμένως </w:t>
      </w:r>
      <w:r>
        <w:rPr>
          <w:rFonts w:eastAsia="Effra Corp" w:cs="Arial" w:ascii="Effra Corp" w:hAnsi="Effra Corp"/>
          <w:color w:val="000000"/>
          <w:spacing w:val="-2"/>
          <w:sz w:val="21"/>
          <w:szCs w:val="21"/>
          <w:lang w:val="el-GR" w:bidi="el-GR"/>
        </w:rPr>
        <w:t>στα επίπεδα των €45-65</w:t>
      </w:r>
      <w:r>
        <w:rPr>
          <w:rFonts w:eastAsia="Effra Corp" w:cs="Arial" w:ascii="Effra Corp" w:hAnsi="Effra Corp"/>
          <w:color w:val="000000"/>
          <w:spacing w:val="-2"/>
          <w:sz w:val="21"/>
          <w:szCs w:val="21"/>
          <w:lang w:bidi="el-GR"/>
        </w:rPr>
        <w:t> </w:t>
      </w:r>
      <w:r>
        <w:rPr>
          <w:rFonts w:eastAsia="Effra Corp" w:cs="Arial" w:ascii="Effra Corp" w:hAnsi="Effra Corp"/>
          <w:color w:val="000000"/>
          <w:spacing w:val="-2"/>
          <w:sz w:val="21"/>
          <w:szCs w:val="21"/>
          <w:lang w:val="el-GR" w:bidi="el-GR"/>
        </w:rPr>
        <w:t xml:space="preserve"> εκατ.).</w:t>
      </w:r>
    </w:p>
    <w:p>
      <w:pPr>
        <w:pStyle w:val="Normal"/>
        <w:rPr>
          <w:rFonts w:ascii="Effra Corp" w:hAnsi="Effra Corp" w:eastAsia="Effra Corp" w:cs="Arial"/>
          <w:sz w:val="16"/>
          <w:szCs w:val="16"/>
          <w:highlight w:val="yellow"/>
          <w:lang w:val="el-GR" w:bidi="el-GR"/>
        </w:rPr>
      </w:pPr>
      <w:r>
        <w:rPr>
          <w:rFonts w:eastAsia="Effra Corp" w:cs="Arial" w:ascii="Effra Corp" w:hAnsi="Effra Corp"/>
          <w:sz w:val="16"/>
          <w:szCs w:val="16"/>
          <w:highlight w:val="yellow"/>
          <w:lang w:val="el-GR" w:bidi="el-GR"/>
        </w:rPr>
      </w:r>
    </w:p>
    <w:p>
      <w:pPr>
        <w:pStyle w:val="Normal"/>
        <w:shd w:val="clear" w:color="auto" w:fill="BFBFBF"/>
        <w:spacing w:before="0" w:after="120"/>
        <w:jc w:val="both"/>
        <w:rPr>
          <w:rFonts w:ascii="Effra Corp" w:hAnsi="Effra Corp"/>
          <w:b/>
          <w:color w:val="000000"/>
          <w:sz w:val="21"/>
          <w:szCs w:val="21"/>
          <w:lang w:val="el-GR"/>
        </w:rPr>
      </w:pPr>
      <w:r>
        <w:rPr>
          <w:rFonts w:eastAsia="Effra Corp" w:cs="Effra Corp" w:ascii="Effra Corp" w:hAnsi="Effra Corp"/>
          <w:b/>
          <w:color w:val="000000"/>
          <w:sz w:val="21"/>
          <w:szCs w:val="21"/>
          <w:lang w:val="el-GR" w:bidi="el-GR"/>
        </w:rPr>
        <w:t>Αναπτυγμένες αγορές: Ελλάδα</w:t>
      </w:r>
    </w:p>
    <w:p>
      <w:pPr>
        <w:pStyle w:val="Normal"/>
        <w:spacing w:before="0" w:after="240"/>
        <w:jc w:val="both"/>
        <w:rPr>
          <w:rFonts w:ascii="Effra Corp" w:hAnsi="Effra Corp" w:eastAsia="Effra Corp" w:cs="Effra Corp"/>
          <w:sz w:val="21"/>
          <w:szCs w:val="21"/>
          <w:lang w:val="el-GR" w:bidi="el-GR"/>
        </w:rPr>
      </w:pPr>
      <w:r>
        <w:rPr>
          <w:rFonts w:eastAsia="Effra Corp" w:cs="Effra Corp" w:ascii="Effra Corp" w:hAnsi="Effra Corp"/>
          <w:sz w:val="21"/>
          <w:szCs w:val="21"/>
          <w:lang w:val="el-GR" w:bidi="el-GR"/>
        </w:rPr>
        <w:t xml:space="preserve">Στην Ελλάδα, ο όγκος πωλήσεων αυξήθηκε κατά μεσαίο μονοψήφιο ποσοστό. Στα ανθρακούχα αναψυκτικά ο όγκος πωλήσεων αυξήθηκε κατά μεσαίο μονοψήφιο ποσοστό, οδηγούμενος από τις επιδόσεις των </w:t>
      </w:r>
      <w:r>
        <w:rPr>
          <w:rFonts w:eastAsia="Effra Corp" w:cs="Effra Corp" w:ascii="Effra Corp" w:hAnsi="Effra Corp"/>
          <w:sz w:val="21"/>
          <w:szCs w:val="21"/>
          <w:lang w:bidi="el-GR"/>
        </w:rPr>
        <w:t>Coke</w:t>
      </w:r>
      <w:r>
        <w:rPr>
          <w:rFonts w:eastAsia="Effra Corp" w:cs="Effra Corp" w:ascii="Effra Corp" w:hAnsi="Effra Corp"/>
          <w:sz w:val="21"/>
          <w:szCs w:val="21"/>
          <w:lang w:val="el-GR" w:bidi="el-GR"/>
        </w:rPr>
        <w:t xml:space="preserve">, </w:t>
      </w:r>
      <w:r>
        <w:rPr>
          <w:rFonts w:eastAsia="Effra Corp" w:cs="Effra Corp" w:ascii="Effra Corp" w:hAnsi="Effra Corp"/>
          <w:sz w:val="21"/>
          <w:szCs w:val="21"/>
          <w:lang w:bidi="el-GR"/>
        </w:rPr>
        <w:t>Sprite</w:t>
      </w:r>
      <w:r>
        <w:rPr>
          <w:rFonts w:eastAsia="Effra Corp" w:cs="Effra Corp" w:ascii="Effra Corp" w:hAnsi="Effra Corp"/>
          <w:sz w:val="21"/>
          <w:szCs w:val="21"/>
          <w:lang w:val="el-GR" w:bidi="el-GR"/>
        </w:rPr>
        <w:t xml:space="preserve"> και ανθρακούχων αναψυκτικών για ενήλικες. Τα ποτά ενέργειας σημείωσαν ισχυρή διψήφια αύξηση και ο καφές σημείωσε αύξηση κατά υψηλό μονοψήφιο ποσοστό, κυρίως λόγω των επιδόσεων στο </w:t>
      </w:r>
      <w:r>
        <w:rPr>
          <w:rFonts w:eastAsia="Effra Corp" w:cs="Effra Corp" w:ascii="Effra Corp" w:hAnsi="Effra Corp"/>
          <w:color w:val="000000"/>
          <w:spacing w:val="-2"/>
          <w:sz w:val="20"/>
          <w:szCs w:val="20"/>
          <w:lang w:val="el-GR" w:bidi="el-GR"/>
        </w:rPr>
        <w:t>κανάλι της εκτός σπιτιού κατανάλωσης</w:t>
      </w:r>
      <w:r>
        <w:rPr>
          <w:rFonts w:eastAsia="Effra Corp" w:cs="Effra Corp" w:ascii="Effra Corp" w:hAnsi="Effra Corp"/>
          <w:sz w:val="21"/>
          <w:szCs w:val="21"/>
          <w:lang w:val="el-GR" w:bidi="el-GR"/>
        </w:rPr>
        <w:t>. Στα μη ανθρακούχα αναψυκτικά σημειώθηκε μεσαία μονοψήφια αύξηση, με τα ποτά για αθλούμενους</w:t>
      </w:r>
      <w:r>
        <w:rPr>
          <w:rFonts w:cs="Segoe UI" w:ascii="Segoe UI" w:hAnsi="Segoe UI"/>
          <w:sz w:val="21"/>
          <w:szCs w:val="21"/>
          <w:lang w:val="el-GR" w:eastAsia="en-US"/>
        </w:rPr>
        <w:t xml:space="preserve"> </w:t>
      </w:r>
      <w:r>
        <w:rPr>
          <w:rFonts w:eastAsia="Effra Corp" w:cs="Effra Corp" w:ascii="Effra Corp" w:hAnsi="Effra Corp"/>
          <w:sz w:val="21"/>
          <w:szCs w:val="21"/>
          <w:lang w:val="el-GR" w:bidi="el-GR"/>
        </w:rPr>
        <w:t>να καταγράφουν ισχυρή διψήφια ανάπτυξη παρά την υψηλή συγκριτική βάση.</w:t>
      </w:r>
    </w:p>
    <w:p>
      <w:pPr>
        <w:pStyle w:val="Normal"/>
        <w:shd w:val="clear" w:color="auto" w:fill="BFBFBF"/>
        <w:spacing w:before="0" w:after="120"/>
        <w:jc w:val="both"/>
        <w:rPr>
          <w:rFonts w:ascii="Effra Corp" w:hAnsi="Effra Corp"/>
          <w:b/>
          <w:sz w:val="21"/>
          <w:szCs w:val="21"/>
          <w:lang w:val="el-GR"/>
        </w:rPr>
      </w:pPr>
      <w:r>
        <w:rPr>
          <w:rFonts w:eastAsia="Effra Corp" w:cs="Effra Corp" w:ascii="Effra Corp" w:hAnsi="Effra Corp"/>
          <w:b/>
          <w:color w:val="000000"/>
          <w:sz w:val="21"/>
          <w:szCs w:val="21"/>
          <w:lang w:val="el-GR" w:bidi="el-GR"/>
        </w:rPr>
        <w:t>Πρόσκληση διαδικτυακής τηλεδιάσκεψης</w:t>
      </w:r>
    </w:p>
    <w:p>
      <w:pPr>
        <w:pStyle w:val="Normal"/>
        <w:jc w:val="both"/>
        <w:rPr>
          <w:rFonts w:ascii="Effra Corp" w:hAnsi="Effra Corp"/>
          <w:color w:val="000000"/>
          <w:sz w:val="21"/>
          <w:lang w:val="el-GR"/>
        </w:rPr>
      </w:pPr>
      <w:r>
        <w:rPr>
          <w:rFonts w:eastAsia="Effra Corp" w:cs="Effra Corp" w:ascii="Effra Corp" w:hAnsi="Effra Corp"/>
          <w:color w:val="000000"/>
          <w:sz w:val="21"/>
          <w:lang w:val="el-GR" w:bidi="el-GR"/>
        </w:rPr>
        <w:t xml:space="preserve">Η διοίκηση της </w:t>
      </w:r>
      <w:r>
        <w:rPr>
          <w:rFonts w:eastAsia="Effra Corp" w:cs="Effra Corp" w:ascii="Effra Corp" w:hAnsi="Effra Corp"/>
          <w:color w:val="000000"/>
          <w:sz w:val="21"/>
          <w:lang w:bidi="el-GR"/>
        </w:rPr>
        <w:t>Coca</w:t>
      </w:r>
      <w:r>
        <w:rPr>
          <w:rFonts w:eastAsia="Effra Corp" w:cs="Effra Corp" w:ascii="Effra Corp" w:hAnsi="Effra Corp"/>
          <w:color w:val="000000"/>
          <w:sz w:val="21"/>
          <w:lang w:val="el-GR" w:bidi="el-GR"/>
        </w:rPr>
        <w:t>-</w:t>
      </w:r>
      <w:r>
        <w:rPr>
          <w:rFonts w:eastAsia="Effra Corp" w:cs="Effra Corp" w:ascii="Effra Corp" w:hAnsi="Effra Corp"/>
          <w:color w:val="000000"/>
          <w:sz w:val="21"/>
          <w:lang w:bidi="el-GR"/>
        </w:rPr>
        <w:t>Cola HBC</w:t>
      </w:r>
      <w:r>
        <w:rPr>
          <w:rFonts w:eastAsia="Effra Corp" w:cs="Effra Corp" w:ascii="Effra Corp" w:hAnsi="Effra Corp"/>
          <w:color w:val="000000"/>
          <w:sz w:val="21"/>
          <w:lang w:val="el-GR" w:bidi="el-GR"/>
        </w:rPr>
        <w:t xml:space="preserve"> πρόκειται να διοργανώσει τηλεδιάσκεψη για επενδυτές και αναλυτές την Τετάρτη, 5 Αυγούστου 2026 και ώρα Λονδίνου 10:00</w:t>
      </w:r>
      <w:r>
        <w:rPr>
          <w:rFonts w:eastAsia="Effra Corp" w:cs="Effra Corp" w:ascii="Effra Corp" w:hAnsi="Effra Corp"/>
          <w:color w:val="000000"/>
          <w:sz w:val="21"/>
          <w:lang w:bidi="el-GR"/>
        </w:rPr>
        <w:t> </w:t>
      </w:r>
      <w:r>
        <w:rPr>
          <w:rFonts w:eastAsia="Effra Corp" w:cs="Effra Corp" w:ascii="Effra Corp" w:hAnsi="Effra Corp"/>
          <w:color w:val="000000"/>
          <w:sz w:val="21"/>
          <w:lang w:val="el-GR" w:bidi="el-GR"/>
        </w:rPr>
        <w:t xml:space="preserve">π.μ. Για να συμμετάσχετε στην τηλεδιάσκεψη ως ακροατές, συνδεθείτε μέσω της </w:t>
      </w:r>
      <w:hyperlink r:id="rId2">
        <w:r>
          <w:rPr>
            <w:rStyle w:val="Style5"/>
            <w:rFonts w:eastAsia="Effra Corp" w:cs="Arial" w:ascii="Effra Corp" w:hAnsi="Effra Corp"/>
            <w:sz w:val="22"/>
            <w:szCs w:val="22"/>
            <w:lang w:val="el-GR" w:bidi="el-GR"/>
          </w:rPr>
          <w:t>διαδικτυακής μετάδοσης</w:t>
        </w:r>
      </w:hyperlink>
      <w:r>
        <w:rPr>
          <w:rFonts w:eastAsia="Effra Corp" w:cs="Effra Corp" w:ascii="Effra Corp" w:hAnsi="Effra Corp"/>
          <w:color w:val="000000"/>
          <w:sz w:val="21"/>
          <w:szCs w:val="21"/>
          <w:lang w:val="el-GR" w:bidi="el-GR"/>
        </w:rPr>
        <w:t xml:space="preserve">. Αν σκοπεύετε να κάνετε κάποια ερώτηση, </w:t>
      </w:r>
      <w:hyperlink r:id="rId3">
        <w:r>
          <w:rPr>
            <w:rStyle w:val="Style5"/>
            <w:rFonts w:eastAsia="Effra Corp" w:cs="Arial" w:ascii="Effra Corp" w:hAnsi="Effra Corp"/>
            <w:sz w:val="22"/>
            <w:szCs w:val="22"/>
            <w:lang w:val="el-GR" w:bidi="el-GR"/>
          </w:rPr>
          <w:t>κάντε κλικ εδώ</w:t>
        </w:r>
      </w:hyperlink>
      <w:r>
        <w:rPr>
          <w:rFonts w:eastAsia="Effra Corp" w:cs="Effra Corp" w:ascii="Effra Corp" w:hAnsi="Effra Corp"/>
          <w:color w:val="000000"/>
          <w:sz w:val="21"/>
          <w:lang w:val="el-GR" w:bidi="el-GR"/>
        </w:rPr>
        <w:t xml:space="preserve"> για να εγγραφείτε και να βρείτε τα στοιχεία τηλεφωνικής κλήσης.</w:t>
      </w:r>
    </w:p>
    <w:p>
      <w:pPr>
        <w:pStyle w:val="Normal"/>
        <w:jc w:val="both"/>
        <w:rPr>
          <w:rFonts w:ascii="Effra Corp" w:hAnsi="Effra Corp"/>
          <w:b/>
          <w:color w:val="000000"/>
          <w:sz w:val="16"/>
          <w:szCs w:val="16"/>
          <w:lang w:val="el-GR"/>
        </w:rPr>
      </w:pPr>
      <w:r>
        <w:rPr>
          <w:rFonts w:ascii="Effra Corp" w:hAnsi="Effra Corp"/>
          <w:b/>
          <w:color w:val="000000"/>
          <w:sz w:val="16"/>
          <w:szCs w:val="16"/>
          <w:lang w:val="el-GR"/>
        </w:rPr>
      </w:r>
    </w:p>
    <w:p>
      <w:pPr>
        <w:pStyle w:val="Normal"/>
        <w:rPr>
          <w:rFonts w:ascii="Effra Corp" w:hAnsi="Effra Corp"/>
          <w:b/>
          <w:color w:val="000000"/>
          <w:sz w:val="21"/>
          <w:szCs w:val="21"/>
          <w:lang w:val="el-GR"/>
        </w:rPr>
      </w:pPr>
      <w:r>
        <w:rPr>
          <w:rFonts w:ascii="Effra Corp" w:hAnsi="Effra Corp"/>
          <w:b/>
          <w:color w:val="000000"/>
          <w:sz w:val="21"/>
          <w:szCs w:val="21"/>
          <w:lang w:val="el-GR"/>
        </w:rPr>
        <w:t>Επόμενη εκδήλωση</w:t>
      </w:r>
    </w:p>
    <w:p>
      <w:pPr>
        <w:pStyle w:val="Style19"/>
        <w:ind w:left="709" w:hanging="709"/>
        <w:rPr>
          <w:rFonts w:ascii="Effra Corp" w:hAnsi="Effra Corp"/>
          <w:b/>
          <w:bCs/>
          <w:color w:val="000000"/>
          <w:sz w:val="21"/>
          <w:szCs w:val="21"/>
          <w:u w:val="none"/>
          <w:lang w:val="el-GR"/>
        </w:rPr>
      </w:pPr>
      <w:r>
        <w:rPr>
          <w:rFonts w:ascii="Effra Corp" w:hAnsi="Effra Corp"/>
          <w:color w:val="000000"/>
          <w:sz w:val="21"/>
          <w:szCs w:val="21"/>
          <w:u w:val="none"/>
          <w:lang w:val="el-GR"/>
        </w:rPr>
        <w:t>4 Νοεμβρίου 2026</w:t>
      </w:r>
      <w:r>
        <w:rPr>
          <w:rFonts w:ascii="Effra Corp" w:hAnsi="Effra Corp"/>
          <w:color w:val="000000"/>
          <w:sz w:val="21"/>
          <w:szCs w:val="21"/>
          <w:u w:val="none"/>
        </w:rPr>
        <w:t>                                                     </w:t>
      </w:r>
      <w:r>
        <w:rPr>
          <w:rFonts w:ascii="Effra Corp" w:hAnsi="Effra Corp"/>
          <w:color w:val="000000"/>
          <w:sz w:val="21"/>
          <w:szCs w:val="21"/>
          <w:u w:val="none"/>
          <w:lang w:val="el-GR"/>
        </w:rPr>
        <w:t xml:space="preserve"> </w:t>
      </w:r>
      <w:r>
        <w:rPr>
          <w:rFonts w:ascii="Effra Corp" w:hAnsi="Effra Corp"/>
          <w:color w:val="000000"/>
          <w:sz w:val="21"/>
          <w:szCs w:val="21"/>
          <w:u w:val="none"/>
        </w:rPr>
        <w:t>            </w:t>
      </w:r>
      <w:r>
        <w:rPr>
          <w:rFonts w:ascii="Effra Corp" w:hAnsi="Effra Corp"/>
          <w:color w:val="000000"/>
          <w:sz w:val="21"/>
          <w:szCs w:val="21"/>
          <w:u w:val="none"/>
          <w:lang w:val="el-GR"/>
        </w:rPr>
        <w:t xml:space="preserve"> </w:t>
      </w:r>
      <w:r>
        <w:rPr>
          <w:rFonts w:ascii="Effra Corp" w:hAnsi="Effra Corp"/>
          <w:color w:val="000000"/>
          <w:sz w:val="21"/>
          <w:szCs w:val="21"/>
          <w:u w:val="none"/>
        </w:rPr>
        <w:t>                    </w:t>
      </w:r>
      <w:r>
        <w:rPr>
          <w:rFonts w:ascii="Effra Corp" w:hAnsi="Effra Corp"/>
          <w:color w:val="000000"/>
          <w:sz w:val="21"/>
          <w:szCs w:val="21"/>
          <w:u w:val="none"/>
          <w:lang w:val="el-GR"/>
        </w:rPr>
        <w:t xml:space="preserve">      </w:t>
      </w:r>
      <w:r>
        <w:rPr>
          <w:rFonts w:ascii="Effra Corp" w:hAnsi="Effra Corp"/>
          <w:sz w:val="21"/>
          <w:szCs w:val="21"/>
          <w:u w:val="none"/>
          <w:lang w:val="el-GR"/>
        </w:rPr>
        <w:t>Περιληπτική ενημέρωση τρίτου τριμήνου 2026</w:t>
      </w:r>
    </w:p>
    <w:p>
      <w:pPr>
        <w:pStyle w:val="Style19"/>
        <w:ind w:left="709" w:hanging="709"/>
        <w:rPr>
          <w:rFonts w:ascii="Effra Corp" w:hAnsi="Effra Corp"/>
          <w:b/>
          <w:color w:val="000000"/>
          <w:sz w:val="16"/>
          <w:szCs w:val="16"/>
          <w:lang w:val="el-GR"/>
        </w:rPr>
      </w:pPr>
      <w:r>
        <w:rPr>
          <w:rFonts w:ascii="Effra Corp" w:hAnsi="Effra Corp"/>
          <w:b/>
          <w:color w:val="000000"/>
          <w:sz w:val="16"/>
          <w:szCs w:val="16"/>
          <w:lang w:val="el-GR"/>
        </w:rPr>
      </w:r>
    </w:p>
    <w:p>
      <w:pPr>
        <w:pStyle w:val="Normal"/>
        <w:jc w:val="both"/>
        <w:rPr>
          <w:rFonts w:ascii="Effra Corp" w:hAnsi="Effra Corp"/>
          <w:b/>
          <w:sz w:val="21"/>
          <w:szCs w:val="21"/>
          <w:lang w:val="el-GR"/>
        </w:rPr>
      </w:pPr>
      <w:r>
        <w:rPr>
          <w:rFonts w:ascii="Effra Corp" w:hAnsi="Effra Corp"/>
          <w:b/>
          <w:sz w:val="21"/>
          <w:szCs w:val="21"/>
          <w:lang w:val="el-GR"/>
        </w:rPr>
        <w:t>Πληροφορίες επενδυτών</w:t>
      </w:r>
    </w:p>
    <w:p>
      <w:pPr>
        <w:pStyle w:val="Normal"/>
        <w:rPr>
          <w:rFonts w:ascii="Effra Corp" w:hAnsi="Effra Corp"/>
          <w:b/>
          <w:color w:val="000000"/>
          <w:sz w:val="21"/>
          <w:szCs w:val="21"/>
          <w:lang w:val="el-GR"/>
        </w:rPr>
      </w:pPr>
      <w:r>
        <w:rPr>
          <w:rFonts w:ascii="Effra Corp" w:hAnsi="Effra Corp"/>
          <w:b/>
          <w:color w:val="000000"/>
          <w:sz w:val="21"/>
          <w:szCs w:val="21"/>
          <w:lang w:val="el-GR"/>
        </w:rPr>
        <w:t xml:space="preserve">Όμιλος </w:t>
      </w:r>
      <w:r>
        <w:rPr>
          <w:rFonts w:ascii="Effra Corp" w:hAnsi="Effra Corp"/>
          <w:b/>
          <w:color w:val="000000"/>
          <w:sz w:val="21"/>
          <w:szCs w:val="21"/>
        </w:rPr>
        <w:t>Coca</w:t>
      </w:r>
      <w:r>
        <w:rPr>
          <w:rFonts w:ascii="Effra Corp" w:hAnsi="Effra Corp"/>
          <w:b/>
          <w:color w:val="000000"/>
          <w:sz w:val="21"/>
          <w:szCs w:val="21"/>
          <w:lang w:val="el-GR"/>
        </w:rPr>
        <w:t>-</w:t>
      </w:r>
      <w:r>
        <w:rPr>
          <w:rFonts w:ascii="Effra Corp" w:hAnsi="Effra Corp"/>
          <w:b/>
          <w:color w:val="000000"/>
          <w:sz w:val="21"/>
          <w:szCs w:val="21"/>
        </w:rPr>
        <w:t>Cola</w:t>
      </w:r>
      <w:r>
        <w:rPr>
          <w:rFonts w:ascii="Effra Corp" w:hAnsi="Effra Corp"/>
          <w:b/>
          <w:color w:val="000000"/>
          <w:sz w:val="21"/>
          <w:szCs w:val="21"/>
          <w:lang w:val="el-GR"/>
        </w:rPr>
        <w:t xml:space="preserve"> </w:t>
      </w:r>
      <w:r>
        <w:rPr>
          <w:rFonts w:ascii="Effra Corp" w:hAnsi="Effra Corp"/>
          <w:b/>
          <w:color w:val="000000"/>
          <w:sz w:val="21"/>
          <w:szCs w:val="21"/>
        </w:rPr>
        <w:t>HBC</w:t>
      </w:r>
      <w:r>
        <w:rPr>
          <w:rFonts w:ascii="Effra Corp" w:hAnsi="Effra Corp"/>
          <w:b/>
          <w:color w:val="000000"/>
          <w:sz w:val="21"/>
          <w:szCs w:val="21"/>
          <w:lang w:val="el-GR"/>
        </w:rPr>
        <w:t xml:space="preserve"> </w:t>
      </w:r>
    </w:p>
    <w:tbl>
      <w:tblPr>
        <w:tblW w:w="10155" w:type="dxa"/>
        <w:jc w:val="left"/>
        <w:tblInd w:w="-90" w:type="dxa"/>
        <w:tblLayout w:type="fixed"/>
        <w:tblCellMar>
          <w:top w:w="0" w:type="dxa"/>
          <w:left w:w="108" w:type="dxa"/>
          <w:bottom w:w="0" w:type="dxa"/>
          <w:right w:w="108" w:type="dxa"/>
        </w:tblCellMar>
        <w:tblLook w:firstRow="1" w:noVBand="1" w:lastRow="0" w:firstColumn="1" w:lastColumn="0" w:noHBand="0" w:val="04a0"/>
      </w:tblPr>
      <w:tblGrid>
        <w:gridCol w:w="4485"/>
        <w:gridCol w:w="5669"/>
      </w:tblGrid>
      <w:tr>
        <w:trPr>
          <w:trHeight w:val="230" w:hRule="atLeast"/>
        </w:trPr>
        <w:tc>
          <w:tcPr>
            <w:tcW w:w="4485" w:type="dxa"/>
            <w:tcBorders/>
          </w:tcPr>
          <w:p>
            <w:pPr>
              <w:pStyle w:val="Normal"/>
              <w:widowControl w:val="false"/>
              <w:rPr>
                <w:rFonts w:ascii="Effra Corp" w:hAnsi="Effra Corp"/>
                <w:color w:val="000000"/>
                <w:sz w:val="21"/>
                <w:szCs w:val="21"/>
                <w:u w:val="single"/>
              </w:rPr>
            </w:pPr>
            <w:r>
              <w:rPr>
                <w:rFonts w:ascii="Effra Corp" w:hAnsi="Effra Corp"/>
                <w:color w:val="000000"/>
                <w:sz w:val="21"/>
                <w:szCs w:val="21"/>
                <w:u w:val="single"/>
                <w:lang w:val="el-GR"/>
              </w:rPr>
              <w:t>Επενδυτές και αναλυτές</w:t>
            </w:r>
            <w:r>
              <w:rPr>
                <w:rFonts w:ascii="Effra Corp" w:hAnsi="Effra Corp"/>
                <w:color w:val="000000"/>
                <w:sz w:val="21"/>
                <w:szCs w:val="21"/>
                <w:u w:val="single"/>
              </w:rPr>
              <w:t>:</w:t>
            </w:r>
          </w:p>
        </w:tc>
        <w:tc>
          <w:tcPr>
            <w:tcW w:w="5669" w:type="dxa"/>
            <w:tcBorders/>
          </w:tcPr>
          <w:p>
            <w:pPr>
              <w:pStyle w:val="Normal"/>
              <w:widowControl w:val="false"/>
              <w:rPr>
                <w:rFonts w:ascii="Effra Corp" w:hAnsi="Effra Corp"/>
                <w:color w:val="000000"/>
                <w:sz w:val="21"/>
                <w:szCs w:val="21"/>
              </w:rPr>
            </w:pPr>
            <w:r>
              <w:rPr>
                <w:rFonts w:ascii="Effra Corp" w:hAnsi="Effra Corp"/>
                <w:color w:val="000000"/>
                <w:sz w:val="21"/>
                <w:szCs w:val="21"/>
              </w:rPr>
            </w:r>
          </w:p>
        </w:tc>
      </w:tr>
      <w:tr>
        <w:trPr>
          <w:trHeight w:val="73" w:hRule="atLeast"/>
        </w:trPr>
        <w:tc>
          <w:tcPr>
            <w:tcW w:w="4485" w:type="dxa"/>
            <w:tcBorders/>
          </w:tcPr>
          <w:p>
            <w:pPr>
              <w:pStyle w:val="Normal"/>
              <w:widowControl w:val="false"/>
              <w:rPr>
                <w:rFonts w:ascii="Effra Corp" w:hAnsi="Effra Corp"/>
                <w:color w:val="000000"/>
                <w:sz w:val="16"/>
                <w:szCs w:val="16"/>
              </w:rPr>
            </w:pPr>
            <w:r>
              <w:rPr>
                <w:rFonts w:ascii="Effra Corp" w:hAnsi="Effra Corp"/>
                <w:color w:val="000000"/>
                <w:sz w:val="16"/>
                <w:szCs w:val="16"/>
              </w:rPr>
            </w:r>
          </w:p>
        </w:tc>
        <w:tc>
          <w:tcPr>
            <w:tcW w:w="5669" w:type="dxa"/>
            <w:tcBorders/>
          </w:tcPr>
          <w:p>
            <w:pPr>
              <w:pStyle w:val="Normal"/>
              <w:widowControl w:val="false"/>
              <w:jc w:val="right"/>
              <w:rPr>
                <w:rFonts w:ascii="Effra Corp" w:hAnsi="Effra Corp"/>
                <w:color w:val="000000"/>
                <w:sz w:val="16"/>
                <w:szCs w:val="16"/>
              </w:rPr>
            </w:pPr>
            <w:r>
              <w:rPr>
                <w:rFonts w:ascii="Effra Corp" w:hAnsi="Effra Corp"/>
                <w:color w:val="000000"/>
                <w:sz w:val="16"/>
                <w:szCs w:val="16"/>
              </w:rPr>
            </w:r>
          </w:p>
        </w:tc>
      </w:tr>
      <w:tr>
        <w:trPr>
          <w:trHeight w:val="73" w:hRule="atLeast"/>
        </w:trPr>
        <w:tc>
          <w:tcPr>
            <w:tcW w:w="4485" w:type="dxa"/>
            <w:tcBorders/>
          </w:tcPr>
          <w:p>
            <w:pPr>
              <w:pStyle w:val="Normal"/>
              <w:widowControl w:val="false"/>
              <w:rPr>
                <w:rFonts w:ascii="Effra Corp" w:hAnsi="Effra Corp" w:cs="Arial"/>
                <w:color w:val="000000"/>
                <w:sz w:val="21"/>
                <w:szCs w:val="21"/>
              </w:rPr>
            </w:pPr>
            <w:r>
              <w:rPr>
                <w:rFonts w:cs="Arial" w:ascii="Effra Corp" w:hAnsi="Effra Corp"/>
                <w:color w:val="000000"/>
                <w:sz w:val="21"/>
                <w:szCs w:val="21"/>
              </w:rPr>
              <w:t>Jemima Benstead</w:t>
            </w:r>
          </w:p>
          <w:p>
            <w:pPr>
              <w:pStyle w:val="Normal"/>
              <w:widowControl w:val="false"/>
              <w:rPr>
                <w:rFonts w:ascii="Effra Corp" w:hAnsi="Effra Corp"/>
                <w:color w:val="000000"/>
                <w:sz w:val="21"/>
                <w:szCs w:val="21"/>
              </w:rPr>
            </w:pPr>
            <w:r>
              <w:rPr>
                <w:rFonts w:cs="Arial" w:ascii="Effra Corp" w:hAnsi="Effra Corp"/>
                <w:color w:val="000000"/>
                <w:sz w:val="21"/>
                <w:szCs w:val="21"/>
              </w:rPr>
              <w:t>Head of Investor Relations</w:t>
            </w:r>
          </w:p>
        </w:tc>
        <w:tc>
          <w:tcPr>
            <w:tcW w:w="5669" w:type="dxa"/>
            <w:tcBorders/>
          </w:tcPr>
          <w:p>
            <w:pPr>
              <w:pStyle w:val="Normal"/>
              <w:widowControl w:val="false"/>
              <w:jc w:val="right"/>
              <w:rPr>
                <w:rFonts w:ascii="Effra Corp" w:hAnsi="Effra Corp" w:cs="Arial"/>
                <w:color w:val="000000"/>
                <w:sz w:val="21"/>
                <w:szCs w:val="21"/>
                <w:lang w:val="el-GR"/>
              </w:rPr>
            </w:pPr>
            <w:r>
              <w:rPr>
                <w:rFonts w:cs="Arial" w:ascii="Effra Corp" w:hAnsi="Effra Corp"/>
                <w:color w:val="000000"/>
                <w:sz w:val="21"/>
                <w:szCs w:val="21"/>
                <w:lang w:val="el-GR"/>
              </w:rPr>
              <w:t>Τηλ: +</w:t>
            </w:r>
            <w:r>
              <w:rPr>
                <w:rFonts w:cs="Calibri" w:ascii="Effra Corp" w:hAnsi="Effra Corp" w:cstheme="minorHAnsi"/>
                <w:color w:val="212721"/>
                <w:sz w:val="21"/>
                <w:szCs w:val="21"/>
                <w:lang w:val="el-GR" w:eastAsia="en-GB"/>
              </w:rPr>
              <w:t>44 7740 535130</w:t>
            </w:r>
          </w:p>
          <w:p>
            <w:pPr>
              <w:pStyle w:val="Normal"/>
              <w:widowControl w:val="false"/>
              <w:jc w:val="right"/>
              <w:rPr>
                <w:rFonts w:ascii="Effra Corp" w:hAnsi="Effra Corp"/>
                <w:color w:val="000000"/>
                <w:sz w:val="21"/>
                <w:szCs w:val="21"/>
                <w:lang w:val="el-GR"/>
              </w:rPr>
            </w:pPr>
            <w:r>
              <w:rPr>
                <w:rFonts w:cs="Arial" w:ascii="Effra Corp" w:hAnsi="Effra Corp"/>
                <w:color w:val="000000"/>
                <w:sz w:val="21"/>
                <w:szCs w:val="21"/>
              </w:rPr>
              <w:t>jemima</w:t>
            </w:r>
            <w:r>
              <w:rPr>
                <w:rFonts w:cs="Arial" w:ascii="Effra Corp" w:hAnsi="Effra Corp"/>
                <w:color w:val="000000"/>
                <w:sz w:val="21"/>
                <w:szCs w:val="21"/>
                <w:lang w:val="el-GR"/>
              </w:rPr>
              <w:t>.</w:t>
            </w:r>
            <w:r>
              <w:rPr>
                <w:rFonts w:cs="Arial" w:ascii="Effra Corp" w:hAnsi="Effra Corp"/>
                <w:color w:val="000000"/>
                <w:sz w:val="21"/>
                <w:szCs w:val="21"/>
              </w:rPr>
              <w:t>benstead</w:t>
            </w:r>
            <w:r>
              <w:rPr>
                <w:rFonts w:cs="Arial" w:ascii="Effra Corp" w:hAnsi="Effra Corp"/>
                <w:color w:val="000000"/>
                <w:sz w:val="21"/>
                <w:szCs w:val="21"/>
                <w:lang w:val="el-GR"/>
              </w:rPr>
              <w:t>@</w:t>
            </w:r>
            <w:r>
              <w:rPr>
                <w:rFonts w:cs="Arial" w:ascii="Effra Corp" w:hAnsi="Effra Corp"/>
                <w:color w:val="000000"/>
                <w:sz w:val="21"/>
                <w:szCs w:val="21"/>
              </w:rPr>
              <w:t>cchellenic</w:t>
            </w:r>
            <w:r>
              <w:rPr>
                <w:rFonts w:cs="Arial" w:ascii="Effra Corp" w:hAnsi="Effra Corp"/>
                <w:color w:val="000000"/>
                <w:sz w:val="21"/>
                <w:szCs w:val="21"/>
                <w:lang w:val="el-GR"/>
              </w:rPr>
              <w:t>.</w:t>
            </w:r>
            <w:r>
              <w:rPr>
                <w:rFonts w:cs="Arial" w:ascii="Effra Corp" w:hAnsi="Effra Corp"/>
                <w:color w:val="000000"/>
                <w:sz w:val="21"/>
                <w:szCs w:val="21"/>
              </w:rPr>
              <w:t>com</w:t>
            </w:r>
          </w:p>
        </w:tc>
      </w:tr>
      <w:tr>
        <w:trPr>
          <w:trHeight w:val="73" w:hRule="atLeast"/>
        </w:trPr>
        <w:tc>
          <w:tcPr>
            <w:tcW w:w="4485" w:type="dxa"/>
            <w:tcBorders/>
          </w:tcPr>
          <w:p>
            <w:pPr>
              <w:pStyle w:val="Normal"/>
              <w:widowControl w:val="false"/>
              <w:rPr>
                <w:rFonts w:ascii="Effra Corp" w:hAnsi="Effra Corp"/>
                <w:color w:val="000000"/>
                <w:sz w:val="16"/>
                <w:szCs w:val="16"/>
                <w:lang w:val="el-GR"/>
              </w:rPr>
            </w:pPr>
            <w:r>
              <w:rPr>
                <w:rFonts w:ascii="Effra Corp" w:hAnsi="Effra Corp"/>
                <w:color w:val="000000"/>
                <w:sz w:val="16"/>
                <w:szCs w:val="16"/>
                <w:lang w:val="el-GR"/>
              </w:rPr>
            </w:r>
          </w:p>
        </w:tc>
        <w:tc>
          <w:tcPr>
            <w:tcW w:w="5669" w:type="dxa"/>
            <w:tcBorders/>
          </w:tcPr>
          <w:p>
            <w:pPr>
              <w:pStyle w:val="Normal"/>
              <w:widowControl w:val="false"/>
              <w:jc w:val="right"/>
              <w:rPr>
                <w:rFonts w:ascii="Effra Corp" w:hAnsi="Effra Corp"/>
                <w:color w:val="000000"/>
                <w:sz w:val="16"/>
                <w:szCs w:val="16"/>
                <w:lang w:val="el-GR"/>
              </w:rPr>
            </w:pPr>
            <w:r>
              <w:rPr>
                <w:rFonts w:ascii="Effra Corp" w:hAnsi="Effra Corp"/>
                <w:color w:val="000000"/>
                <w:sz w:val="16"/>
                <w:szCs w:val="16"/>
                <w:lang w:val="el-GR"/>
              </w:rPr>
            </w:r>
          </w:p>
        </w:tc>
      </w:tr>
      <w:tr>
        <w:trPr>
          <w:trHeight w:val="73" w:hRule="atLeast"/>
        </w:trPr>
        <w:tc>
          <w:tcPr>
            <w:tcW w:w="4485" w:type="dxa"/>
            <w:tcBorders/>
          </w:tcPr>
          <w:p>
            <w:pPr>
              <w:pStyle w:val="Normal"/>
              <w:widowControl w:val="false"/>
              <w:rPr>
                <w:rFonts w:ascii="Effra Corp" w:hAnsi="Effra Corp" w:cs="Arial"/>
                <w:color w:val="000000"/>
                <w:sz w:val="21"/>
                <w:szCs w:val="21"/>
              </w:rPr>
            </w:pPr>
            <w:r>
              <w:rPr>
                <w:rFonts w:cs="Arial" w:ascii="Effra Corp" w:hAnsi="Effra Corp"/>
                <w:color w:val="000000"/>
                <w:sz w:val="21"/>
                <w:szCs w:val="21"/>
                <w:lang w:val="el-GR"/>
              </w:rPr>
              <w:t>Ηλίας</w:t>
            </w:r>
            <w:r>
              <w:rPr>
                <w:rFonts w:cs="Arial" w:ascii="Effra Corp" w:hAnsi="Effra Corp"/>
                <w:color w:val="000000"/>
                <w:sz w:val="21"/>
                <w:szCs w:val="21"/>
              </w:rPr>
              <w:t xml:space="preserve"> </w:t>
            </w:r>
            <w:r>
              <w:rPr>
                <w:rFonts w:cs="Arial" w:ascii="Effra Corp" w:hAnsi="Effra Corp"/>
                <w:color w:val="000000"/>
                <w:sz w:val="21"/>
                <w:szCs w:val="21"/>
                <w:lang w:val="el-GR"/>
              </w:rPr>
              <w:t>Δαββέτας</w:t>
            </w:r>
          </w:p>
          <w:p>
            <w:pPr>
              <w:pStyle w:val="Normal"/>
              <w:widowControl w:val="false"/>
              <w:rPr>
                <w:rFonts w:ascii="Effra Corp" w:hAnsi="Effra Corp" w:cs="Arial"/>
                <w:color w:val="000000"/>
                <w:sz w:val="21"/>
                <w:szCs w:val="21"/>
              </w:rPr>
            </w:pPr>
            <w:r>
              <w:rPr>
                <w:rFonts w:cs="Arial" w:ascii="Effra Corp" w:hAnsi="Effra Corp"/>
                <w:color w:val="000000"/>
                <w:sz w:val="21"/>
                <w:szCs w:val="21"/>
              </w:rPr>
              <w:t>Investor Relations Manager</w:t>
            </w:r>
          </w:p>
        </w:tc>
        <w:tc>
          <w:tcPr>
            <w:tcW w:w="5669" w:type="dxa"/>
            <w:tcBorders/>
          </w:tcPr>
          <w:p>
            <w:pPr>
              <w:pStyle w:val="Normal"/>
              <w:widowControl w:val="false"/>
              <w:jc w:val="right"/>
              <w:rPr>
                <w:rFonts w:ascii="Effra Corp" w:hAnsi="Effra Corp" w:cs="Arial"/>
                <w:color w:val="000000"/>
                <w:sz w:val="21"/>
                <w:szCs w:val="21"/>
                <w:lang w:val="el-GR"/>
              </w:rPr>
            </w:pPr>
            <w:r>
              <w:rPr>
                <w:rFonts w:cs="Arial" w:ascii="Effra Corp" w:hAnsi="Effra Corp"/>
                <w:color w:val="000000"/>
                <w:sz w:val="21"/>
                <w:szCs w:val="21"/>
                <w:lang w:val="el-GR"/>
              </w:rPr>
              <w:t>Τηλ: +30 694 7568826</w:t>
            </w:r>
          </w:p>
          <w:p>
            <w:pPr>
              <w:pStyle w:val="Normal"/>
              <w:widowControl w:val="false"/>
              <w:jc w:val="right"/>
              <w:rPr>
                <w:rFonts w:ascii="Effra Corp" w:hAnsi="Effra Corp"/>
                <w:color w:val="000000"/>
                <w:sz w:val="21"/>
                <w:szCs w:val="21"/>
                <w:lang w:val="el-GR"/>
              </w:rPr>
            </w:pPr>
            <w:r>
              <w:rPr>
                <w:rFonts w:cs="Arial" w:ascii="Effra Corp" w:hAnsi="Effra Corp"/>
                <w:color w:val="000000"/>
                <w:sz w:val="21"/>
                <w:szCs w:val="21"/>
              </w:rPr>
              <w:t>elias</w:t>
            </w:r>
            <w:r>
              <w:rPr>
                <w:rFonts w:cs="Arial" w:ascii="Effra Corp" w:hAnsi="Effra Corp"/>
                <w:color w:val="000000"/>
                <w:sz w:val="21"/>
                <w:szCs w:val="21"/>
                <w:lang w:val="el-GR"/>
              </w:rPr>
              <w:t>.</w:t>
            </w:r>
            <w:r>
              <w:rPr>
                <w:rFonts w:cs="Arial" w:ascii="Effra Corp" w:hAnsi="Effra Corp"/>
                <w:color w:val="000000"/>
                <w:sz w:val="21"/>
                <w:szCs w:val="21"/>
              </w:rPr>
              <w:t>davvetas</w:t>
            </w:r>
            <w:r>
              <w:rPr>
                <w:rFonts w:cs="Arial" w:ascii="Effra Corp" w:hAnsi="Effra Corp"/>
                <w:color w:val="000000"/>
                <w:sz w:val="21"/>
                <w:szCs w:val="21"/>
                <w:lang w:val="el-GR"/>
              </w:rPr>
              <w:t>@</w:t>
            </w:r>
            <w:r>
              <w:rPr>
                <w:rFonts w:cs="Arial" w:ascii="Effra Corp" w:hAnsi="Effra Corp"/>
                <w:color w:val="000000"/>
                <w:sz w:val="21"/>
                <w:szCs w:val="21"/>
              </w:rPr>
              <w:t>cchellenic</w:t>
            </w:r>
            <w:r>
              <w:rPr>
                <w:rFonts w:cs="Arial" w:ascii="Effra Corp" w:hAnsi="Effra Corp"/>
                <w:color w:val="000000"/>
                <w:sz w:val="21"/>
                <w:szCs w:val="21"/>
                <w:lang w:val="el-GR"/>
              </w:rPr>
              <w:t>.</w:t>
            </w:r>
            <w:r>
              <w:rPr>
                <w:rFonts w:cs="Arial" w:ascii="Effra Corp" w:hAnsi="Effra Corp"/>
                <w:color w:val="000000"/>
                <w:sz w:val="21"/>
                <w:szCs w:val="21"/>
              </w:rPr>
              <w:t>com</w:t>
            </w:r>
          </w:p>
        </w:tc>
      </w:tr>
      <w:tr>
        <w:trPr>
          <w:trHeight w:val="73" w:hRule="atLeast"/>
        </w:trPr>
        <w:tc>
          <w:tcPr>
            <w:tcW w:w="4485" w:type="dxa"/>
            <w:tcBorders/>
          </w:tcPr>
          <w:p>
            <w:pPr>
              <w:pStyle w:val="Normal"/>
              <w:widowControl w:val="false"/>
              <w:rPr>
                <w:rFonts w:ascii="Effra Corp" w:hAnsi="Effra Corp" w:cs="Arial"/>
                <w:color w:val="000000"/>
                <w:sz w:val="16"/>
                <w:szCs w:val="16"/>
                <w:lang w:val="el-GR"/>
              </w:rPr>
            </w:pPr>
            <w:r>
              <w:rPr>
                <w:rFonts w:cs="Arial" w:ascii="Effra Corp" w:hAnsi="Effra Corp"/>
                <w:color w:val="000000"/>
                <w:sz w:val="16"/>
                <w:szCs w:val="16"/>
                <w:lang w:val="el-GR"/>
              </w:rPr>
            </w:r>
          </w:p>
        </w:tc>
        <w:tc>
          <w:tcPr>
            <w:tcW w:w="5669" w:type="dxa"/>
            <w:tcBorders/>
          </w:tcPr>
          <w:p>
            <w:pPr>
              <w:pStyle w:val="Normal"/>
              <w:widowControl w:val="false"/>
              <w:jc w:val="right"/>
              <w:rPr>
                <w:rFonts w:ascii="Effra Corp" w:hAnsi="Effra Corp" w:cs="Arial"/>
                <w:color w:val="000000"/>
                <w:sz w:val="16"/>
                <w:szCs w:val="16"/>
                <w:lang w:val="el-GR"/>
              </w:rPr>
            </w:pPr>
            <w:r>
              <w:rPr>
                <w:rFonts w:cs="Arial" w:ascii="Effra Corp" w:hAnsi="Effra Corp"/>
                <w:color w:val="000000"/>
                <w:sz w:val="16"/>
                <w:szCs w:val="16"/>
                <w:lang w:val="el-GR"/>
              </w:rPr>
            </w:r>
          </w:p>
        </w:tc>
      </w:tr>
      <w:tr>
        <w:trPr>
          <w:trHeight w:val="73" w:hRule="atLeast"/>
        </w:trPr>
        <w:tc>
          <w:tcPr>
            <w:tcW w:w="4485" w:type="dxa"/>
            <w:tcBorders/>
          </w:tcPr>
          <w:p>
            <w:pPr>
              <w:pStyle w:val="Normal"/>
              <w:widowControl w:val="false"/>
              <w:rPr>
                <w:rFonts w:ascii="Effra Corp" w:hAnsi="Effra Corp" w:cs="Arial"/>
                <w:color w:val="000000"/>
                <w:sz w:val="21"/>
                <w:szCs w:val="21"/>
              </w:rPr>
            </w:pPr>
            <w:r>
              <w:rPr>
                <w:rFonts w:cs="Arial" w:ascii="Effra Corp" w:hAnsi="Effra Corp"/>
                <w:color w:val="000000"/>
                <w:sz w:val="21"/>
                <w:szCs w:val="21"/>
              </w:rPr>
              <w:t>Matilde Durazzano</w:t>
            </w:r>
          </w:p>
          <w:p>
            <w:pPr>
              <w:pStyle w:val="Normal"/>
              <w:widowControl w:val="false"/>
              <w:rPr>
                <w:rFonts w:ascii="Effra Corp" w:hAnsi="Effra Corp" w:cs="Arial"/>
                <w:color w:val="000000"/>
                <w:sz w:val="21"/>
                <w:szCs w:val="21"/>
              </w:rPr>
            </w:pPr>
            <w:r>
              <w:rPr>
                <w:rFonts w:cs="Arial" w:ascii="Effra Corp" w:hAnsi="Effra Corp"/>
                <w:color w:val="000000"/>
                <w:sz w:val="21"/>
                <w:szCs w:val="21"/>
              </w:rPr>
              <w:t>Investor Relations Manager</w:t>
            </w:r>
          </w:p>
        </w:tc>
        <w:tc>
          <w:tcPr>
            <w:tcW w:w="5669" w:type="dxa"/>
            <w:tcBorders/>
          </w:tcPr>
          <w:p>
            <w:pPr>
              <w:pStyle w:val="Normal"/>
              <w:widowControl w:val="false"/>
              <w:jc w:val="right"/>
              <w:rPr>
                <w:rFonts w:ascii="Effra Corp" w:hAnsi="Effra Corp"/>
                <w:color w:val="000000" w:themeColor="text1"/>
                <w:sz w:val="21"/>
                <w:szCs w:val="21"/>
                <w:lang w:val="el-GR"/>
              </w:rPr>
            </w:pPr>
            <w:r>
              <w:rPr>
                <w:rFonts w:cs="Arial" w:ascii="Effra Corp" w:hAnsi="Effra Corp"/>
                <w:color w:val="000000"/>
                <w:sz w:val="21"/>
                <w:szCs w:val="21"/>
                <w:lang w:val="el-GR"/>
              </w:rPr>
              <w:t>Τηλ</w:t>
            </w:r>
            <w:r>
              <w:rPr>
                <w:rFonts w:ascii="Effra Corp" w:hAnsi="Effra Corp"/>
                <w:color w:val="000000" w:themeColor="text1"/>
                <w:sz w:val="21"/>
                <w:szCs w:val="21"/>
                <w:lang w:val="el-GR"/>
              </w:rPr>
              <w:t>: +44 7851 105884</w:t>
            </w:r>
          </w:p>
          <w:p>
            <w:pPr>
              <w:pStyle w:val="Normal"/>
              <w:widowControl w:val="false"/>
              <w:jc w:val="right"/>
              <w:rPr>
                <w:rFonts w:ascii="Effra Corp" w:hAnsi="Effra Corp" w:cs="Arial"/>
                <w:color w:val="000000"/>
                <w:sz w:val="21"/>
                <w:szCs w:val="21"/>
                <w:lang w:val="el-GR"/>
              </w:rPr>
            </w:pPr>
            <w:r>
              <w:rPr>
                <w:rFonts w:ascii="Effra Corp" w:hAnsi="Effra Corp"/>
                <w:color w:val="000000" w:themeColor="text1"/>
                <w:sz w:val="21"/>
                <w:szCs w:val="21"/>
              </w:rPr>
              <w:t>matilde</w:t>
            </w:r>
            <w:r>
              <w:rPr>
                <w:rFonts w:ascii="Effra Corp" w:hAnsi="Effra Corp"/>
                <w:color w:val="000000" w:themeColor="text1"/>
                <w:sz w:val="21"/>
                <w:szCs w:val="21"/>
                <w:lang w:val="el-GR"/>
              </w:rPr>
              <w:t>.</w:t>
            </w:r>
            <w:r>
              <w:rPr>
                <w:rFonts w:ascii="Effra Corp" w:hAnsi="Effra Corp"/>
                <w:color w:val="000000" w:themeColor="text1"/>
                <w:sz w:val="21"/>
                <w:szCs w:val="21"/>
              </w:rPr>
              <w:t>durazzano</w:t>
            </w:r>
            <w:r>
              <w:rPr>
                <w:rFonts w:ascii="Effra Corp" w:hAnsi="Effra Corp"/>
                <w:color w:val="000000" w:themeColor="text1"/>
                <w:sz w:val="21"/>
                <w:szCs w:val="21"/>
                <w:lang w:val="el-GR"/>
              </w:rPr>
              <w:t>@</w:t>
            </w:r>
            <w:r>
              <w:rPr>
                <w:rFonts w:ascii="Effra Corp" w:hAnsi="Effra Corp"/>
                <w:color w:val="000000" w:themeColor="text1"/>
                <w:sz w:val="21"/>
                <w:szCs w:val="21"/>
              </w:rPr>
              <w:t>cchellenic</w:t>
            </w:r>
            <w:r>
              <w:rPr>
                <w:rFonts w:ascii="Effra Corp" w:hAnsi="Effra Corp"/>
                <w:color w:val="000000" w:themeColor="text1"/>
                <w:sz w:val="21"/>
                <w:szCs w:val="21"/>
                <w:lang w:val="el-GR"/>
              </w:rPr>
              <w:t>.</w:t>
            </w:r>
            <w:r>
              <w:rPr>
                <w:rFonts w:ascii="Effra Corp" w:hAnsi="Effra Corp"/>
                <w:color w:val="000000" w:themeColor="text1"/>
                <w:sz w:val="21"/>
                <w:szCs w:val="21"/>
              </w:rPr>
              <w:t>com</w:t>
            </w:r>
          </w:p>
        </w:tc>
      </w:tr>
      <w:tr>
        <w:trPr>
          <w:trHeight w:val="73" w:hRule="atLeast"/>
        </w:trPr>
        <w:tc>
          <w:tcPr>
            <w:tcW w:w="4485" w:type="dxa"/>
            <w:tcBorders/>
          </w:tcPr>
          <w:p>
            <w:pPr>
              <w:pStyle w:val="Normal"/>
              <w:widowControl w:val="false"/>
              <w:ind w:left="-110" w:hanging="0"/>
              <w:rPr>
                <w:rFonts w:ascii="Effra Corp" w:hAnsi="Effra Corp" w:cs="Arial"/>
                <w:color w:val="000000" w:themeColor="text1"/>
                <w:sz w:val="16"/>
                <w:szCs w:val="16"/>
                <w:lang w:val="el-GR"/>
              </w:rPr>
            </w:pPr>
            <w:r>
              <w:rPr>
                <w:rFonts w:cs="Arial" w:ascii="Effra Corp" w:hAnsi="Effra Corp"/>
                <w:color w:val="000000" w:themeColor="text1"/>
                <w:sz w:val="16"/>
                <w:szCs w:val="16"/>
                <w:lang w:val="el-GR"/>
              </w:rPr>
            </w:r>
          </w:p>
        </w:tc>
        <w:tc>
          <w:tcPr>
            <w:tcW w:w="5669" w:type="dxa"/>
            <w:tcBorders/>
          </w:tcPr>
          <w:p>
            <w:pPr>
              <w:pStyle w:val="Normal"/>
              <w:widowControl w:val="false"/>
              <w:jc w:val="right"/>
              <w:rPr>
                <w:rFonts w:ascii="Effra Corp" w:hAnsi="Effra Corp"/>
                <w:color w:val="000000" w:themeColor="text1"/>
                <w:sz w:val="16"/>
                <w:szCs w:val="16"/>
                <w:lang w:val="el-GR"/>
              </w:rPr>
            </w:pPr>
            <w:r>
              <w:rPr>
                <w:rFonts w:ascii="Effra Corp" w:hAnsi="Effra Corp"/>
                <w:color w:val="000000" w:themeColor="text1"/>
                <w:sz w:val="16"/>
                <w:szCs w:val="16"/>
                <w:lang w:val="el-GR"/>
              </w:rPr>
            </w:r>
          </w:p>
        </w:tc>
      </w:tr>
      <w:tr>
        <w:trPr>
          <w:trHeight w:val="73" w:hRule="atLeast"/>
        </w:trPr>
        <w:tc>
          <w:tcPr>
            <w:tcW w:w="4485" w:type="dxa"/>
            <w:tcBorders/>
          </w:tcPr>
          <w:p>
            <w:pPr>
              <w:pStyle w:val="Normal"/>
              <w:widowControl w:val="false"/>
              <w:rPr>
                <w:rFonts w:ascii="Effra Corp" w:hAnsi="Effra Corp" w:cs="Arial"/>
                <w:color w:val="000000"/>
                <w:sz w:val="21"/>
                <w:szCs w:val="21"/>
              </w:rPr>
            </w:pPr>
            <w:r>
              <w:rPr>
                <w:rFonts w:cs="Arial" w:ascii="Effra Corp" w:hAnsi="Effra Corp"/>
                <w:color w:val="000000"/>
                <w:sz w:val="21"/>
                <w:szCs w:val="21"/>
              </w:rPr>
              <w:t>Elizabeth King</w:t>
            </w:r>
          </w:p>
          <w:p>
            <w:pPr>
              <w:pStyle w:val="Normal"/>
              <w:widowControl w:val="false"/>
              <w:rPr>
                <w:rFonts w:ascii="Effra Corp" w:hAnsi="Effra Corp" w:cs="Arial"/>
                <w:color w:val="000000" w:themeColor="text1"/>
                <w:sz w:val="21"/>
                <w:szCs w:val="21"/>
              </w:rPr>
            </w:pPr>
            <w:r>
              <w:rPr>
                <w:rFonts w:cs="Arial" w:ascii="Effra Corp" w:hAnsi="Effra Corp"/>
                <w:color w:val="000000"/>
                <w:sz w:val="21"/>
                <w:szCs w:val="21"/>
              </w:rPr>
              <w:t>Investor Relations Manager</w:t>
            </w:r>
          </w:p>
        </w:tc>
        <w:tc>
          <w:tcPr>
            <w:tcW w:w="5669" w:type="dxa"/>
            <w:tcBorders/>
          </w:tcPr>
          <w:p>
            <w:pPr>
              <w:pStyle w:val="Normal"/>
              <w:widowControl w:val="false"/>
              <w:jc w:val="right"/>
              <w:rPr>
                <w:rFonts w:ascii="Effra Corp" w:hAnsi="Effra Corp"/>
                <w:color w:val="000000" w:themeColor="text1"/>
                <w:sz w:val="21"/>
                <w:szCs w:val="21"/>
                <w:lang w:val="el-GR"/>
              </w:rPr>
            </w:pPr>
            <w:r>
              <w:rPr>
                <w:rFonts w:cs="Arial" w:ascii="Effra Corp" w:hAnsi="Effra Corp"/>
                <w:color w:val="000000"/>
                <w:sz w:val="21"/>
                <w:szCs w:val="21"/>
                <w:lang w:val="el-GR"/>
              </w:rPr>
              <w:t>Τηλ</w:t>
            </w:r>
            <w:r>
              <w:rPr>
                <w:rFonts w:ascii="Effra Corp" w:hAnsi="Effra Corp"/>
                <w:color w:val="000000" w:themeColor="text1"/>
                <w:sz w:val="21"/>
                <w:szCs w:val="21"/>
                <w:lang w:val="el-GR"/>
              </w:rPr>
              <w:t>: +44 7864 686582</w:t>
            </w:r>
          </w:p>
          <w:p>
            <w:pPr>
              <w:pStyle w:val="Normal"/>
              <w:widowControl w:val="false"/>
              <w:jc w:val="right"/>
              <w:rPr>
                <w:rFonts w:ascii="Effra Corp" w:hAnsi="Effra Corp"/>
                <w:color w:val="000000" w:themeColor="text1"/>
                <w:sz w:val="21"/>
                <w:szCs w:val="21"/>
                <w:lang w:val="el-GR"/>
              </w:rPr>
            </w:pPr>
            <w:r>
              <w:rPr>
                <w:rFonts w:ascii="Effra Corp" w:hAnsi="Effra Corp"/>
                <w:color w:val="000000" w:themeColor="text1"/>
                <w:sz w:val="21"/>
                <w:szCs w:val="21"/>
              </w:rPr>
              <w:t>elizabeth</w:t>
            </w:r>
            <w:r>
              <w:rPr>
                <w:rFonts w:ascii="Effra Corp" w:hAnsi="Effra Corp"/>
                <w:color w:val="000000" w:themeColor="text1"/>
                <w:sz w:val="21"/>
                <w:szCs w:val="21"/>
                <w:lang w:val="el-GR"/>
              </w:rPr>
              <w:t>.</w:t>
            </w:r>
            <w:r>
              <w:rPr>
                <w:rFonts w:ascii="Effra Corp" w:hAnsi="Effra Corp"/>
                <w:color w:val="000000" w:themeColor="text1"/>
                <w:sz w:val="21"/>
                <w:szCs w:val="21"/>
              </w:rPr>
              <w:t>king</w:t>
            </w:r>
            <w:r>
              <w:rPr>
                <w:rFonts w:ascii="Effra Corp" w:hAnsi="Effra Corp"/>
                <w:color w:val="000000" w:themeColor="text1"/>
                <w:sz w:val="21"/>
                <w:szCs w:val="21"/>
                <w:lang w:val="el-GR"/>
              </w:rPr>
              <w:t>@</w:t>
            </w:r>
            <w:r>
              <w:rPr>
                <w:rFonts w:ascii="Effra Corp" w:hAnsi="Effra Corp"/>
                <w:color w:val="000000" w:themeColor="text1"/>
                <w:sz w:val="21"/>
                <w:szCs w:val="21"/>
              </w:rPr>
              <w:t>cchellenic</w:t>
            </w:r>
            <w:r>
              <w:rPr>
                <w:rFonts w:ascii="Effra Corp" w:hAnsi="Effra Corp"/>
                <w:color w:val="000000" w:themeColor="text1"/>
                <w:sz w:val="21"/>
                <w:szCs w:val="21"/>
                <w:lang w:val="el-GR"/>
              </w:rPr>
              <w:t>.</w:t>
            </w:r>
            <w:r>
              <w:rPr>
                <w:rFonts w:ascii="Effra Corp" w:hAnsi="Effra Corp"/>
                <w:color w:val="000000" w:themeColor="text1"/>
                <w:sz w:val="21"/>
                <w:szCs w:val="21"/>
              </w:rPr>
              <w:t>com</w:t>
            </w:r>
          </w:p>
        </w:tc>
      </w:tr>
      <w:tr>
        <w:trPr>
          <w:trHeight w:val="73" w:hRule="atLeast"/>
        </w:trPr>
        <w:tc>
          <w:tcPr>
            <w:tcW w:w="4485" w:type="dxa"/>
            <w:tcBorders/>
          </w:tcPr>
          <w:p>
            <w:pPr>
              <w:pStyle w:val="Normal"/>
              <w:widowControl w:val="false"/>
              <w:ind w:left="-110" w:hanging="0"/>
              <w:rPr>
                <w:rFonts w:ascii="Effra Corp" w:hAnsi="Effra Corp" w:cs="Arial"/>
                <w:color w:val="000000" w:themeColor="text1"/>
                <w:sz w:val="16"/>
                <w:szCs w:val="16"/>
                <w:lang w:val="el-GR"/>
              </w:rPr>
            </w:pPr>
            <w:r>
              <w:rPr>
                <w:rFonts w:cs="Arial" w:ascii="Effra Corp" w:hAnsi="Effra Corp"/>
                <w:color w:val="000000" w:themeColor="text1"/>
                <w:sz w:val="16"/>
                <w:szCs w:val="16"/>
                <w:lang w:val="el-GR"/>
              </w:rPr>
            </w:r>
          </w:p>
        </w:tc>
        <w:tc>
          <w:tcPr>
            <w:tcW w:w="5669" w:type="dxa"/>
            <w:tcBorders/>
          </w:tcPr>
          <w:p>
            <w:pPr>
              <w:pStyle w:val="Normal"/>
              <w:widowControl w:val="false"/>
              <w:jc w:val="right"/>
              <w:rPr>
                <w:rFonts w:ascii="Effra Corp" w:hAnsi="Effra Corp"/>
                <w:color w:val="000000" w:themeColor="text1"/>
                <w:sz w:val="16"/>
                <w:szCs w:val="16"/>
                <w:lang w:val="el-GR"/>
              </w:rPr>
            </w:pPr>
            <w:r>
              <w:rPr>
                <w:rFonts w:ascii="Effra Corp" w:hAnsi="Effra Corp"/>
                <w:color w:val="000000" w:themeColor="text1"/>
                <w:sz w:val="16"/>
                <w:szCs w:val="16"/>
                <w:lang w:val="el-GR"/>
              </w:rPr>
            </w:r>
          </w:p>
        </w:tc>
      </w:tr>
      <w:tr>
        <w:trPr>
          <w:trHeight w:val="230" w:hRule="atLeast"/>
        </w:trPr>
        <w:tc>
          <w:tcPr>
            <w:tcW w:w="4485" w:type="dxa"/>
            <w:tcBorders/>
          </w:tcPr>
          <w:p>
            <w:pPr>
              <w:pStyle w:val="Normal"/>
              <w:widowControl w:val="false"/>
              <w:rPr>
                <w:rFonts w:ascii="Effra Corp" w:hAnsi="Effra Corp"/>
                <w:color w:val="000000"/>
                <w:sz w:val="21"/>
                <w:szCs w:val="21"/>
                <w:u w:val="single"/>
              </w:rPr>
            </w:pPr>
            <w:r>
              <w:rPr>
                <w:rFonts w:ascii="Effra Corp" w:hAnsi="Effra Corp"/>
                <w:color w:val="000000"/>
                <w:sz w:val="21"/>
                <w:szCs w:val="21"/>
                <w:u w:val="single"/>
              </w:rPr>
              <w:t xml:space="preserve">Media: </w:t>
            </w:r>
          </w:p>
        </w:tc>
        <w:tc>
          <w:tcPr>
            <w:tcW w:w="5669" w:type="dxa"/>
            <w:tcBorders/>
          </w:tcPr>
          <w:p>
            <w:pPr>
              <w:pStyle w:val="Normal"/>
              <w:widowControl w:val="false"/>
              <w:rPr>
                <w:rFonts w:ascii="Effra Corp" w:hAnsi="Effra Corp"/>
                <w:color w:val="000000"/>
                <w:sz w:val="21"/>
                <w:szCs w:val="21"/>
                <w:u w:val="single"/>
              </w:rPr>
            </w:pPr>
            <w:r>
              <w:rPr>
                <w:rFonts w:ascii="Effra Corp" w:hAnsi="Effra Corp"/>
                <w:color w:val="000000"/>
                <w:sz w:val="21"/>
                <w:szCs w:val="21"/>
                <w:u w:val="single"/>
              </w:rPr>
            </w:r>
          </w:p>
        </w:tc>
      </w:tr>
      <w:tr>
        <w:trPr>
          <w:trHeight w:val="451" w:hRule="atLeast"/>
        </w:trPr>
        <w:tc>
          <w:tcPr>
            <w:tcW w:w="4485" w:type="dxa"/>
            <w:tcBorders/>
          </w:tcPr>
          <w:p>
            <w:pPr>
              <w:pStyle w:val="Normal"/>
              <w:widowControl w:val="false"/>
              <w:rPr>
                <w:rFonts w:ascii="Effra Corp" w:hAnsi="Effra Corp"/>
                <w:color w:val="000000" w:themeColor="text1"/>
                <w:sz w:val="21"/>
                <w:szCs w:val="21"/>
              </w:rPr>
            </w:pPr>
            <w:r>
              <w:rPr>
                <w:rFonts w:ascii="Effra Corp" w:hAnsi="Effra Corp"/>
                <w:color w:val="000000" w:themeColor="text1"/>
                <w:sz w:val="21"/>
                <w:szCs w:val="21"/>
              </w:rPr>
              <w:t xml:space="preserve">Claire Evans </w:t>
            </w:r>
          </w:p>
          <w:p>
            <w:pPr>
              <w:pStyle w:val="Normal"/>
              <w:widowControl w:val="false"/>
              <w:rPr>
                <w:rFonts w:ascii="Effra Corp" w:hAnsi="Effra Corp"/>
                <w:color w:val="000000"/>
                <w:sz w:val="21"/>
                <w:szCs w:val="21"/>
                <w:u w:val="single"/>
              </w:rPr>
            </w:pPr>
            <w:r>
              <w:rPr>
                <w:rFonts w:ascii="Effra Corp" w:hAnsi="Effra Corp"/>
                <w:color w:val="000000" w:themeColor="text1"/>
                <w:sz w:val="21"/>
                <w:szCs w:val="21"/>
              </w:rPr>
              <w:t xml:space="preserve">Head of Corporate Communications </w:t>
            </w:r>
          </w:p>
        </w:tc>
        <w:tc>
          <w:tcPr>
            <w:tcW w:w="5669" w:type="dxa"/>
            <w:tcBorders/>
          </w:tcPr>
          <w:p>
            <w:pPr>
              <w:pStyle w:val="Normal"/>
              <w:widowControl w:val="false"/>
              <w:jc w:val="right"/>
              <w:rPr>
                <w:rFonts w:ascii="Effra Corp" w:hAnsi="Effra Corp" w:cs="Arial"/>
                <w:color w:val="000000" w:themeColor="text1"/>
                <w:sz w:val="21"/>
                <w:szCs w:val="21"/>
                <w:lang w:val="el-GR"/>
              </w:rPr>
            </w:pPr>
            <w:r>
              <w:rPr>
                <w:rFonts w:cs="Arial" w:ascii="Effra Corp" w:hAnsi="Effra Corp"/>
                <w:color w:val="000000"/>
                <w:sz w:val="21"/>
                <w:szCs w:val="21"/>
                <w:lang w:val="el-GR"/>
              </w:rPr>
              <w:t>Τηλ</w:t>
            </w:r>
            <w:r>
              <w:rPr>
                <w:rFonts w:cs="Arial" w:ascii="Effra Corp" w:hAnsi="Effra Corp"/>
                <w:color w:val="000000" w:themeColor="text1"/>
                <w:sz w:val="21"/>
                <w:szCs w:val="21"/>
                <w:lang w:val="el-GR"/>
              </w:rPr>
              <w:t>:</w:t>
            </w:r>
            <w:r>
              <w:rPr>
                <w:rFonts w:cs="Arial" w:ascii="Effra Corp" w:hAnsi="Effra Corp"/>
                <w:color w:val="000000" w:themeColor="text1"/>
                <w:sz w:val="21"/>
                <w:szCs w:val="21"/>
              </w:rPr>
              <w:t> </w:t>
            </w:r>
            <w:r>
              <w:rPr>
                <w:rFonts w:cs="Arial" w:ascii="Effra Corp" w:hAnsi="Effra Corp"/>
                <w:color w:val="000000" w:themeColor="text1"/>
                <w:sz w:val="21"/>
                <w:szCs w:val="21"/>
                <w:lang w:val="el-GR"/>
              </w:rPr>
              <w:t xml:space="preserve">+44 7896 054 972 </w:t>
            </w:r>
          </w:p>
          <w:p>
            <w:pPr>
              <w:pStyle w:val="Normal"/>
              <w:widowControl w:val="false"/>
              <w:jc w:val="right"/>
              <w:rPr>
                <w:rFonts w:ascii="Effra Corp" w:hAnsi="Effra Corp" w:cs="Arial"/>
                <w:color w:val="000000"/>
                <w:sz w:val="21"/>
                <w:szCs w:val="21"/>
                <w:lang w:val="el-GR"/>
              </w:rPr>
            </w:pPr>
            <w:hyperlink r:id="rId4">
              <w:r>
                <w:rPr>
                  <w:rFonts w:cs="Arial" w:ascii="Effra Corp" w:hAnsi="Effra Corp"/>
                  <w:color w:val="000000" w:themeColor="text1"/>
                  <w:sz w:val="21"/>
                  <w:szCs w:val="21"/>
                </w:rPr>
                <w:t>claire</w:t>
              </w:r>
              <w:r>
                <w:rPr>
                  <w:rFonts w:cs="Arial" w:ascii="Effra Corp" w:hAnsi="Effra Corp"/>
                  <w:color w:val="000000" w:themeColor="text1"/>
                  <w:sz w:val="21"/>
                  <w:szCs w:val="21"/>
                  <w:lang w:val="el-GR"/>
                </w:rPr>
                <w:t>.</w:t>
              </w:r>
              <w:r>
                <w:rPr>
                  <w:rFonts w:cs="Arial" w:ascii="Effra Corp" w:hAnsi="Effra Corp"/>
                  <w:color w:val="000000" w:themeColor="text1"/>
                  <w:sz w:val="21"/>
                  <w:szCs w:val="21"/>
                </w:rPr>
                <w:t>evans</w:t>
              </w:r>
              <w:r>
                <w:rPr>
                  <w:rFonts w:cs="Arial" w:ascii="Effra Corp" w:hAnsi="Effra Corp"/>
                  <w:color w:val="000000" w:themeColor="text1"/>
                  <w:sz w:val="21"/>
                  <w:szCs w:val="21"/>
                  <w:lang w:val="el-GR"/>
                </w:rPr>
                <w:t>@</w:t>
              </w:r>
              <w:r>
                <w:rPr>
                  <w:rFonts w:cs="Arial" w:ascii="Effra Corp" w:hAnsi="Effra Corp"/>
                  <w:color w:val="000000" w:themeColor="text1"/>
                  <w:sz w:val="21"/>
                  <w:szCs w:val="21"/>
                </w:rPr>
                <w:t>cchellenic</w:t>
              </w:r>
              <w:r>
                <w:rPr>
                  <w:rFonts w:cs="Arial" w:ascii="Effra Corp" w:hAnsi="Effra Corp"/>
                  <w:color w:val="000000" w:themeColor="text1"/>
                  <w:sz w:val="21"/>
                  <w:szCs w:val="21"/>
                  <w:lang w:val="el-GR"/>
                </w:rPr>
                <w:t>.</w:t>
              </w:r>
              <w:r>
                <w:rPr>
                  <w:rFonts w:cs="Arial" w:ascii="Effra Corp" w:hAnsi="Effra Corp"/>
                  <w:color w:val="000000" w:themeColor="text1"/>
                  <w:sz w:val="21"/>
                  <w:szCs w:val="21"/>
                </w:rPr>
                <w:t>com</w:t>
              </w:r>
            </w:hyperlink>
          </w:p>
        </w:tc>
      </w:tr>
      <w:tr>
        <w:trPr>
          <w:trHeight w:val="193" w:hRule="atLeast"/>
        </w:trPr>
        <w:tc>
          <w:tcPr>
            <w:tcW w:w="4485" w:type="dxa"/>
            <w:tcBorders/>
          </w:tcPr>
          <w:p>
            <w:pPr>
              <w:pStyle w:val="Normal"/>
              <w:widowControl w:val="false"/>
              <w:rPr>
                <w:rFonts w:ascii="Effra Corp" w:hAnsi="Effra Corp"/>
                <w:color w:val="000000" w:themeColor="text1"/>
                <w:sz w:val="16"/>
                <w:szCs w:val="16"/>
                <w:lang w:val="el-GR"/>
              </w:rPr>
            </w:pPr>
            <w:r>
              <w:rPr>
                <w:rFonts w:ascii="Effra Corp" w:hAnsi="Effra Corp"/>
                <w:color w:val="000000" w:themeColor="text1"/>
                <w:sz w:val="16"/>
                <w:szCs w:val="16"/>
                <w:lang w:val="el-GR"/>
              </w:rPr>
            </w:r>
          </w:p>
        </w:tc>
        <w:tc>
          <w:tcPr>
            <w:tcW w:w="5669" w:type="dxa"/>
            <w:tcBorders/>
          </w:tcPr>
          <w:p>
            <w:pPr>
              <w:pStyle w:val="Normal"/>
              <w:widowControl w:val="false"/>
              <w:jc w:val="right"/>
              <w:rPr>
                <w:rFonts w:ascii="Effra Corp" w:hAnsi="Effra Corp" w:cs="Arial"/>
                <w:color w:val="000000" w:themeColor="text1"/>
                <w:sz w:val="16"/>
                <w:szCs w:val="16"/>
                <w:lang w:val="el-GR"/>
              </w:rPr>
            </w:pPr>
            <w:r>
              <w:rPr>
                <w:rFonts w:cs="Arial" w:ascii="Effra Corp" w:hAnsi="Effra Corp"/>
                <w:color w:val="000000" w:themeColor="text1"/>
                <w:sz w:val="16"/>
                <w:szCs w:val="16"/>
                <w:lang w:val="el-GR"/>
              </w:rPr>
            </w:r>
          </w:p>
        </w:tc>
      </w:tr>
      <w:tr>
        <w:trPr>
          <w:trHeight w:val="451" w:hRule="atLeast"/>
        </w:trPr>
        <w:tc>
          <w:tcPr>
            <w:tcW w:w="4485" w:type="dxa"/>
            <w:tcBorders/>
            <w:vAlign w:val="bottom"/>
          </w:tcPr>
          <w:p>
            <w:pPr>
              <w:pStyle w:val="Normal"/>
              <w:widowControl w:val="false"/>
              <w:rPr>
                <w:rFonts w:ascii="Effra Corp" w:hAnsi="Effra Corp"/>
                <w:color w:val="000000"/>
                <w:sz w:val="21"/>
                <w:szCs w:val="21"/>
                <w:u w:val="single"/>
                <w:lang w:val="el-GR"/>
              </w:rPr>
            </w:pPr>
            <w:r>
              <w:rPr>
                <w:rFonts w:eastAsia="Effra Corp" w:cs="Effra Corp" w:ascii="Effra Corp" w:hAnsi="Effra Corp"/>
                <w:color w:val="000000"/>
                <w:sz w:val="21"/>
                <w:szCs w:val="21"/>
                <w:u w:val="single"/>
                <w:lang w:val="el-GR" w:bidi="el-GR"/>
              </w:rPr>
              <w:t>Υπεύθυνη επικοινωνίας για τα ελληνικά ΜΜΕ:</w:t>
            </w:r>
          </w:p>
          <w:p>
            <w:pPr>
              <w:pStyle w:val="Normal"/>
              <w:widowControl w:val="false"/>
              <w:rPr>
                <w:rFonts w:ascii="Effra Corp" w:hAnsi="Effra Corp"/>
                <w:b/>
                <w:color w:val="000000"/>
                <w:sz w:val="21"/>
                <w:szCs w:val="21"/>
                <w:lang w:val="en-GB"/>
              </w:rPr>
            </w:pPr>
            <w:r>
              <w:rPr>
                <w:rFonts w:eastAsia="Effra Corp" w:cs="Effra Corp" w:ascii="Effra Corp" w:hAnsi="Effra Corp"/>
                <w:b/>
                <w:color w:val="000000"/>
                <w:sz w:val="21"/>
                <w:szCs w:val="21"/>
                <w:lang w:bidi="el-GR"/>
              </w:rPr>
              <w:t>V+O Communications</w:t>
            </w:r>
          </w:p>
          <w:p>
            <w:pPr>
              <w:pStyle w:val="Normal"/>
              <w:widowControl w:val="false"/>
              <w:rPr>
                <w:rFonts w:ascii="Effra Corp" w:hAnsi="Effra Corp"/>
                <w:color w:val="000000"/>
                <w:sz w:val="21"/>
                <w:szCs w:val="21"/>
              </w:rPr>
            </w:pPr>
            <w:r>
              <w:rPr>
                <w:rFonts w:eastAsia="Effra Corp" w:cs="Effra Corp" w:ascii="Effra Corp" w:hAnsi="Effra Corp"/>
                <w:color w:val="000000"/>
                <w:sz w:val="21"/>
                <w:szCs w:val="21"/>
                <w:lang w:val="el-GR" w:bidi="el-GR"/>
              </w:rPr>
              <w:t>Σόνια</w:t>
            </w:r>
            <w:r>
              <w:rPr>
                <w:rFonts w:eastAsia="Effra Corp" w:cs="Effra Corp" w:ascii="Effra Corp" w:hAnsi="Effra Corp"/>
                <w:color w:val="000000"/>
                <w:sz w:val="21"/>
                <w:szCs w:val="21"/>
                <w:lang w:bidi="el-GR"/>
              </w:rPr>
              <w:t xml:space="preserve"> </w:t>
            </w:r>
            <w:r>
              <w:rPr>
                <w:rFonts w:eastAsia="Effra Corp" w:cs="Effra Corp" w:ascii="Effra Corp" w:hAnsi="Effra Corp"/>
                <w:color w:val="000000"/>
                <w:sz w:val="21"/>
                <w:szCs w:val="21"/>
                <w:lang w:val="el-GR" w:bidi="el-GR"/>
              </w:rPr>
              <w:t>Μάνεση</w:t>
            </w:r>
          </w:p>
        </w:tc>
        <w:tc>
          <w:tcPr>
            <w:tcW w:w="5669" w:type="dxa"/>
            <w:tcBorders/>
            <w:vAlign w:val="bottom"/>
          </w:tcPr>
          <w:p>
            <w:pPr>
              <w:pStyle w:val="Normal"/>
              <w:widowControl w:val="false"/>
              <w:jc w:val="right"/>
              <w:rPr>
                <w:rFonts w:ascii="Effra Corp" w:hAnsi="Effra Corp" w:cs="Arial"/>
                <w:color w:val="000000"/>
                <w:sz w:val="21"/>
                <w:szCs w:val="21"/>
              </w:rPr>
            </w:pPr>
            <w:r>
              <w:rPr>
                <w:rFonts w:cs="Arial" w:ascii="Effra Corp" w:hAnsi="Effra Corp"/>
                <w:color w:val="000000"/>
                <w:sz w:val="21"/>
                <w:szCs w:val="21"/>
                <w:lang w:val="el-GR"/>
              </w:rPr>
              <w:t>Τηλ</w:t>
            </w:r>
            <w:r>
              <w:rPr>
                <w:rFonts w:cs="Arial" w:ascii="Effra Corp" w:hAnsi="Effra Corp"/>
                <w:color w:val="000000"/>
                <w:sz w:val="21"/>
                <w:szCs w:val="21"/>
              </w:rPr>
              <w:t>: +30 694 454 8914</w:t>
            </w:r>
          </w:p>
          <w:p>
            <w:pPr>
              <w:pStyle w:val="Normal"/>
              <w:widowControl w:val="false"/>
              <w:jc w:val="right"/>
              <w:rPr>
                <w:rFonts w:ascii="Effra Corp" w:hAnsi="Effra Corp" w:cs="Arial"/>
                <w:color w:val="000000"/>
                <w:sz w:val="21"/>
                <w:szCs w:val="21"/>
              </w:rPr>
            </w:pPr>
            <w:r>
              <w:rPr>
                <w:rFonts w:cs="Arial" w:ascii="Effra Corp" w:hAnsi="Effra Corp"/>
                <w:color w:val="000000"/>
                <w:sz w:val="21"/>
                <w:szCs w:val="21"/>
              </w:rPr>
              <w:t>sm@vando.gr</w:t>
            </w:r>
          </w:p>
        </w:tc>
      </w:tr>
    </w:tbl>
    <w:p>
      <w:pPr>
        <w:pStyle w:val="Normal"/>
        <w:spacing w:before="0" w:after="120"/>
        <w:jc w:val="both"/>
        <w:rPr>
          <w:rFonts w:ascii="Effra Corp" w:hAnsi="Effra Corp"/>
          <w:b/>
          <w:color w:val="000000"/>
          <w:sz w:val="16"/>
          <w:szCs w:val="16"/>
        </w:rPr>
      </w:pPr>
      <w:r>
        <w:rPr>
          <w:rFonts w:ascii="Effra Corp" w:hAnsi="Effra Corp"/>
          <w:b/>
          <w:color w:val="000000"/>
          <w:sz w:val="16"/>
          <w:szCs w:val="16"/>
        </w:rPr>
      </w:r>
    </w:p>
    <w:p>
      <w:pPr>
        <w:pStyle w:val="Normal"/>
        <w:shd w:val="clear" w:color="auto" w:fill="BFBFBF"/>
        <w:jc w:val="both"/>
        <w:rPr>
          <w:rFonts w:ascii="Effra Corp" w:hAnsi="Effra Corp"/>
          <w:b/>
          <w:sz w:val="21"/>
          <w:szCs w:val="21"/>
          <w:lang w:val="el-GR" w:eastAsia="en-US"/>
        </w:rPr>
      </w:pPr>
      <w:r>
        <w:rPr>
          <w:rFonts w:ascii="Effra Corp" w:hAnsi="Effra Corp"/>
          <w:b/>
          <w:color w:val="000000"/>
          <w:sz w:val="21"/>
          <w:szCs w:val="21"/>
          <w:lang w:val="el-GR"/>
        </w:rPr>
        <w:t xml:space="preserve">Όμιλος </w:t>
      </w:r>
      <w:r>
        <w:rPr>
          <w:rFonts w:ascii="Effra Corp" w:hAnsi="Effra Corp"/>
          <w:b/>
          <w:color w:val="000000"/>
          <w:sz w:val="21"/>
          <w:szCs w:val="21"/>
        </w:rPr>
        <w:t>Coca</w:t>
      </w:r>
      <w:r>
        <w:rPr>
          <w:rFonts w:ascii="Effra Corp" w:hAnsi="Effra Corp"/>
          <w:b/>
          <w:color w:val="000000"/>
          <w:sz w:val="21"/>
          <w:szCs w:val="21"/>
          <w:lang w:val="el-GR"/>
        </w:rPr>
        <w:t>-</w:t>
      </w:r>
      <w:r>
        <w:rPr>
          <w:rFonts w:ascii="Effra Corp" w:hAnsi="Effra Corp"/>
          <w:b/>
          <w:color w:val="000000"/>
          <w:sz w:val="21"/>
          <w:szCs w:val="21"/>
        </w:rPr>
        <w:t>Cola</w:t>
      </w:r>
      <w:r>
        <w:rPr>
          <w:rFonts w:ascii="Effra Corp" w:hAnsi="Effra Corp"/>
          <w:b/>
          <w:color w:val="000000"/>
          <w:sz w:val="21"/>
          <w:szCs w:val="21"/>
          <w:lang w:val="el-GR"/>
        </w:rPr>
        <w:t xml:space="preserve"> </w:t>
      </w:r>
      <w:r>
        <w:rPr>
          <w:rFonts w:ascii="Effra Corp" w:hAnsi="Effra Corp"/>
          <w:b/>
          <w:color w:val="000000"/>
          <w:sz w:val="21"/>
          <w:szCs w:val="21"/>
        </w:rPr>
        <w:t>HBC</w:t>
      </w:r>
    </w:p>
    <w:p>
      <w:pPr>
        <w:pStyle w:val="Style19"/>
        <w:spacing w:before="80" w:after="120"/>
        <w:rPr>
          <w:rFonts w:ascii="Effra Corp" w:hAnsi="Effra Corp"/>
          <w:sz w:val="21"/>
          <w:szCs w:val="21"/>
          <w:u w:val="none"/>
          <w:lang w:val="el-GR"/>
        </w:rPr>
      </w:pPr>
      <w:r>
        <w:rPr>
          <w:rFonts w:ascii="Effra Corp" w:hAnsi="Effra Corp"/>
          <w:sz w:val="21"/>
          <w:szCs w:val="21"/>
          <w:u w:val="none"/>
          <w:lang w:val="el-GR"/>
        </w:rPr>
        <w:t xml:space="preserve">Η </w:t>
      </w:r>
      <w:r>
        <w:rPr>
          <w:rFonts w:ascii="Effra Corp" w:hAnsi="Effra Corp"/>
          <w:sz w:val="21"/>
          <w:szCs w:val="21"/>
          <w:u w:val="none"/>
        </w:rPr>
        <w:t>Coca</w:t>
      </w:r>
      <w:r>
        <w:rPr>
          <w:rFonts w:ascii="Effra Corp" w:hAnsi="Effra Corp"/>
          <w:sz w:val="21"/>
          <w:szCs w:val="21"/>
          <w:u w:val="none"/>
          <w:lang w:val="el-GR"/>
        </w:rPr>
        <w:t>-</w:t>
      </w:r>
      <w:r>
        <w:rPr>
          <w:rFonts w:ascii="Effra Corp" w:hAnsi="Effra Corp"/>
          <w:sz w:val="21"/>
          <w:szCs w:val="21"/>
          <w:u w:val="none"/>
        </w:rPr>
        <w:t>Cola</w:t>
      </w:r>
      <w:r>
        <w:rPr>
          <w:rFonts w:ascii="Effra Corp" w:hAnsi="Effra Corp"/>
          <w:sz w:val="21"/>
          <w:szCs w:val="21"/>
          <w:u w:val="none"/>
          <w:lang w:val="el-GR"/>
        </w:rPr>
        <w:t xml:space="preserve"> </w:t>
      </w:r>
      <w:r>
        <w:rPr>
          <w:rFonts w:ascii="Effra Corp" w:hAnsi="Effra Corp"/>
          <w:sz w:val="21"/>
          <w:szCs w:val="21"/>
          <w:u w:val="none"/>
        </w:rPr>
        <w:t>HBC</w:t>
      </w:r>
      <w:r>
        <w:rPr>
          <w:rFonts w:ascii="Effra Corp" w:hAnsi="Effra Corp"/>
          <w:sz w:val="21"/>
          <w:szCs w:val="21"/>
          <w:u w:val="none"/>
          <w:lang w:val="el-GR"/>
        </w:rPr>
        <w:t xml:space="preserve"> είναι Όμιλος παραγωγής καταναλωτικών προϊόντων και στρατηγικός εταίρος εμφιάλωσης της </w:t>
      </w:r>
      <w:r>
        <w:rPr>
          <w:rFonts w:ascii="Effra Corp" w:hAnsi="Effra Corp"/>
          <w:sz w:val="21"/>
          <w:szCs w:val="21"/>
          <w:u w:val="none"/>
        </w:rPr>
        <w:t>The</w:t>
      </w:r>
      <w:r>
        <w:rPr>
          <w:rFonts w:ascii="Effra Corp" w:hAnsi="Effra Corp"/>
          <w:sz w:val="21"/>
          <w:szCs w:val="21"/>
          <w:u w:val="none"/>
          <w:lang w:val="el-GR"/>
        </w:rPr>
        <w:t xml:space="preserve"> </w:t>
      </w:r>
      <w:r>
        <w:rPr>
          <w:rFonts w:ascii="Effra Corp" w:hAnsi="Effra Corp"/>
          <w:sz w:val="21"/>
          <w:szCs w:val="21"/>
          <w:u w:val="none"/>
        </w:rPr>
        <w:t>Coca</w:t>
      </w:r>
      <w:r>
        <w:rPr>
          <w:rFonts w:ascii="Effra Corp" w:hAnsi="Effra Corp"/>
          <w:sz w:val="21"/>
          <w:szCs w:val="21"/>
          <w:u w:val="none"/>
          <w:lang w:val="el-GR"/>
        </w:rPr>
        <w:t>-</w:t>
      </w:r>
      <w:r>
        <w:rPr>
          <w:rFonts w:ascii="Effra Corp" w:hAnsi="Effra Corp"/>
          <w:sz w:val="21"/>
          <w:szCs w:val="21"/>
          <w:u w:val="none"/>
        </w:rPr>
        <w:t>Cola</w:t>
      </w:r>
      <w:r>
        <w:rPr>
          <w:rFonts w:ascii="Effra Corp" w:hAnsi="Effra Corp"/>
          <w:sz w:val="21"/>
          <w:szCs w:val="21"/>
          <w:u w:val="none"/>
          <w:lang w:val="el-GR"/>
        </w:rPr>
        <w:t xml:space="preserve"> </w:t>
      </w:r>
      <w:r>
        <w:rPr>
          <w:rFonts w:ascii="Effra Corp" w:hAnsi="Effra Corp"/>
          <w:sz w:val="21"/>
          <w:szCs w:val="21"/>
          <w:u w:val="none"/>
        </w:rPr>
        <w:t>Company</w:t>
      </w:r>
      <w:r>
        <w:rPr>
          <w:rFonts w:ascii="Effra Corp" w:hAnsi="Effra Corp"/>
          <w:sz w:val="21"/>
          <w:szCs w:val="21"/>
          <w:u w:val="none"/>
          <w:lang w:val="el-GR"/>
        </w:rPr>
        <w:t xml:space="preserve">. Προσφέρουμε την ευκαιρία για στιγμές που μας αναζωογονούν όλους, δημιουργώντας παράλληλα αξία για τους κοινωνικούς εταίρους μας και υποστηρίζοντας την κοινωνικοοικονομική ανάπτυξη των κοινοτήτων στις οποίες δραστηριοποιούμαστε. Με όραμα να γίνουμε ο κορυφαίος συνεργάτης στα ποτά 24ωρης/7ήμερης κατανάλωσης, προσφέρουμε ποτά για κάθε περίσταση και κάθε στιγμή της ημέρας. Συνεργαζόμαστε με τους πελάτες μας για να εξυπηρετήσουμε 760 εκατομμύρια καταναλωτές σε μια εκτεταμένη γεωγραφική περιοχή 29 χωρών. Το χαρτοφυλάκιό μας είναι ένα από τα πιο ισχυρά, τα πιο πλούσια και τα πιο ευέλικτα στη βιομηχανία ποτών και αναψυκτικών, με κορυφαία σήματα στις κατηγορίες των ανθρακούχων αναψυκτικών, των ανθρακούχων αναψυκτικών για ενήλικες, των χυμών, του εμφιαλωμένου νερού, των ποτών για αθλούμενους, των ποτών ενέργειας, του έτοιμου προς κατανάλωση τσαγιού, του καφέ και των </w:t>
      </w:r>
      <w:r>
        <w:rPr>
          <w:rFonts w:ascii="Effra Corp" w:hAnsi="Effra Corp"/>
          <w:sz w:val="21"/>
          <w:szCs w:val="21"/>
          <w:u w:val="none"/>
        </w:rPr>
        <w:t>premium</w:t>
      </w:r>
      <w:r>
        <w:rPr>
          <w:rFonts w:ascii="Effra Corp" w:hAnsi="Effra Corp"/>
          <w:sz w:val="21"/>
          <w:szCs w:val="21"/>
          <w:u w:val="none"/>
          <w:lang w:val="el-GR"/>
        </w:rPr>
        <w:t xml:space="preserve"> σημάτων αλκοολούχων ποτών, με τα σνακς ως πρόσθετη επιλογή. Σε αυτά περιλαμβάνονται οι επωνυμίες </w:t>
      </w:r>
      <w:r>
        <w:rPr>
          <w:rFonts w:ascii="Effra Corp" w:hAnsi="Effra Corp"/>
          <w:sz w:val="21"/>
          <w:szCs w:val="21"/>
          <w:u w:val="none"/>
        </w:rPr>
        <w:t>Coca</w:t>
      </w:r>
      <w:r>
        <w:rPr>
          <w:rFonts w:ascii="Effra Corp" w:hAnsi="Effra Corp"/>
          <w:sz w:val="21"/>
          <w:szCs w:val="21"/>
          <w:u w:val="none"/>
          <w:lang w:val="el-GR"/>
        </w:rPr>
        <w:t>-</w:t>
      </w:r>
      <w:r>
        <w:rPr>
          <w:rFonts w:ascii="Effra Corp" w:hAnsi="Effra Corp"/>
          <w:sz w:val="21"/>
          <w:szCs w:val="21"/>
          <w:u w:val="none"/>
        </w:rPr>
        <w:t>Cola</w:t>
      </w:r>
      <w:r>
        <w:rPr>
          <w:rFonts w:ascii="Effra Corp" w:hAnsi="Effra Corp"/>
          <w:sz w:val="21"/>
          <w:szCs w:val="21"/>
          <w:u w:val="none"/>
          <w:lang w:val="el-GR"/>
        </w:rPr>
        <w:t xml:space="preserve">, </w:t>
      </w:r>
      <w:r>
        <w:rPr>
          <w:rFonts w:ascii="Effra Corp" w:hAnsi="Effra Corp"/>
          <w:sz w:val="21"/>
          <w:szCs w:val="21"/>
          <w:u w:val="none"/>
        </w:rPr>
        <w:t>Coca</w:t>
      </w:r>
      <w:r>
        <w:rPr>
          <w:rFonts w:ascii="Effra Corp" w:hAnsi="Effra Corp"/>
          <w:sz w:val="21"/>
          <w:szCs w:val="21"/>
          <w:u w:val="none"/>
          <w:lang w:val="el-GR"/>
        </w:rPr>
        <w:t>-</w:t>
      </w:r>
      <w:r>
        <w:rPr>
          <w:rFonts w:ascii="Effra Corp" w:hAnsi="Effra Corp"/>
          <w:sz w:val="21"/>
          <w:szCs w:val="21"/>
          <w:u w:val="none"/>
        </w:rPr>
        <w:t>Cola</w:t>
      </w:r>
      <w:r>
        <w:rPr>
          <w:rFonts w:ascii="Effra Corp" w:hAnsi="Effra Corp"/>
          <w:sz w:val="21"/>
          <w:szCs w:val="21"/>
          <w:u w:val="none"/>
          <w:lang w:val="el-GR"/>
        </w:rPr>
        <w:t xml:space="preserve"> </w:t>
      </w:r>
      <w:r>
        <w:rPr>
          <w:rFonts w:ascii="Effra Corp" w:hAnsi="Effra Corp"/>
          <w:sz w:val="21"/>
          <w:szCs w:val="21"/>
          <w:u w:val="none"/>
        </w:rPr>
        <w:t>Zero</w:t>
      </w:r>
      <w:r>
        <w:rPr>
          <w:rFonts w:ascii="Effra Corp" w:hAnsi="Effra Corp"/>
          <w:sz w:val="21"/>
          <w:szCs w:val="21"/>
          <w:u w:val="none"/>
          <w:lang w:val="el-GR"/>
        </w:rPr>
        <w:t xml:space="preserve"> </w:t>
      </w:r>
      <w:r>
        <w:rPr>
          <w:rFonts w:ascii="Effra Corp" w:hAnsi="Effra Corp"/>
          <w:sz w:val="21"/>
          <w:szCs w:val="21"/>
          <w:u w:val="none"/>
        </w:rPr>
        <w:t>Sugar</w:t>
      </w:r>
      <w:r>
        <w:rPr>
          <w:rFonts w:ascii="Effra Corp" w:hAnsi="Effra Corp"/>
          <w:sz w:val="21"/>
          <w:szCs w:val="21"/>
          <w:u w:val="none"/>
          <w:lang w:val="el-GR"/>
        </w:rPr>
        <w:t xml:space="preserve">, </w:t>
      </w:r>
      <w:r>
        <w:rPr>
          <w:rFonts w:ascii="Effra Corp" w:hAnsi="Effra Corp"/>
          <w:sz w:val="21"/>
          <w:szCs w:val="21"/>
          <w:u w:val="none"/>
        </w:rPr>
        <w:t>Fanta</w:t>
      </w:r>
      <w:r>
        <w:rPr>
          <w:rFonts w:ascii="Effra Corp" w:hAnsi="Effra Corp"/>
          <w:sz w:val="21"/>
          <w:szCs w:val="21"/>
          <w:u w:val="none"/>
          <w:lang w:val="el-GR"/>
        </w:rPr>
        <w:t xml:space="preserve">, </w:t>
      </w:r>
      <w:r>
        <w:rPr>
          <w:rFonts w:ascii="Effra Corp" w:hAnsi="Effra Corp"/>
          <w:sz w:val="21"/>
          <w:szCs w:val="21"/>
          <w:u w:val="none"/>
        </w:rPr>
        <w:t>Sprite</w:t>
      </w:r>
      <w:r>
        <w:rPr>
          <w:rFonts w:ascii="Effra Corp" w:hAnsi="Effra Corp"/>
          <w:sz w:val="21"/>
          <w:szCs w:val="21"/>
          <w:u w:val="none"/>
          <w:lang w:val="el-GR"/>
        </w:rPr>
        <w:t xml:space="preserve">, </w:t>
      </w:r>
      <w:r>
        <w:rPr>
          <w:rFonts w:ascii="Effra Corp" w:hAnsi="Effra Corp"/>
          <w:sz w:val="21"/>
          <w:szCs w:val="21"/>
          <w:u w:val="none"/>
        </w:rPr>
        <w:t>Schweppes</w:t>
      </w:r>
      <w:r>
        <w:rPr>
          <w:rFonts w:ascii="Effra Corp" w:hAnsi="Effra Corp"/>
          <w:sz w:val="21"/>
          <w:szCs w:val="21"/>
          <w:u w:val="none"/>
          <w:lang w:val="el-GR"/>
        </w:rPr>
        <w:t xml:space="preserve">, </w:t>
      </w:r>
      <w:r>
        <w:rPr>
          <w:rFonts w:ascii="Effra Corp" w:hAnsi="Effra Corp"/>
          <w:sz w:val="21"/>
          <w:szCs w:val="21"/>
          <w:u w:val="none"/>
        </w:rPr>
        <w:t>Kinley</w:t>
      </w:r>
      <w:r>
        <w:rPr>
          <w:rFonts w:ascii="Effra Corp" w:hAnsi="Effra Corp"/>
          <w:sz w:val="21"/>
          <w:szCs w:val="21"/>
          <w:u w:val="none"/>
          <w:lang w:val="el-GR"/>
        </w:rPr>
        <w:t xml:space="preserve">, </w:t>
      </w:r>
      <w:r>
        <w:rPr>
          <w:rFonts w:ascii="Effra Corp" w:hAnsi="Effra Corp"/>
          <w:sz w:val="21"/>
          <w:szCs w:val="21"/>
          <w:u w:val="none"/>
        </w:rPr>
        <w:t>Costa</w:t>
      </w:r>
      <w:r>
        <w:rPr>
          <w:rFonts w:ascii="Effra Corp" w:hAnsi="Effra Corp"/>
          <w:sz w:val="21"/>
          <w:szCs w:val="21"/>
          <w:u w:val="none"/>
          <w:lang w:val="el-GR"/>
        </w:rPr>
        <w:t xml:space="preserve"> </w:t>
      </w:r>
      <w:r>
        <w:rPr>
          <w:rFonts w:ascii="Effra Corp" w:hAnsi="Effra Corp"/>
          <w:sz w:val="21"/>
          <w:szCs w:val="21"/>
          <w:u w:val="none"/>
        </w:rPr>
        <w:t>Coffee</w:t>
      </w:r>
      <w:r>
        <w:rPr>
          <w:rFonts w:ascii="Effra Corp" w:hAnsi="Effra Corp"/>
          <w:sz w:val="21"/>
          <w:szCs w:val="21"/>
          <w:u w:val="none"/>
          <w:lang w:val="el-GR"/>
        </w:rPr>
        <w:t xml:space="preserve">, </w:t>
      </w:r>
      <w:r>
        <w:rPr>
          <w:rFonts w:ascii="Effra Corp" w:hAnsi="Effra Corp"/>
          <w:sz w:val="21"/>
          <w:szCs w:val="21"/>
          <w:u w:val="none"/>
        </w:rPr>
        <w:t>Caff</w:t>
      </w:r>
      <w:r>
        <w:rPr>
          <w:rFonts w:ascii="Effra Corp" w:hAnsi="Effra Corp"/>
          <w:sz w:val="21"/>
          <w:szCs w:val="21"/>
          <w:u w:val="none"/>
          <w:lang w:val="el-GR"/>
        </w:rPr>
        <w:t xml:space="preserve">è </w:t>
      </w:r>
      <w:r>
        <w:rPr>
          <w:rFonts w:ascii="Effra Corp" w:hAnsi="Effra Corp"/>
          <w:sz w:val="21"/>
          <w:szCs w:val="21"/>
          <w:u w:val="none"/>
        </w:rPr>
        <w:t>Vergnano</w:t>
      </w:r>
      <w:r>
        <w:rPr>
          <w:rFonts w:ascii="Effra Corp" w:hAnsi="Effra Corp"/>
          <w:sz w:val="21"/>
          <w:szCs w:val="21"/>
          <w:u w:val="none"/>
          <w:lang w:val="el-GR"/>
        </w:rPr>
        <w:t xml:space="preserve">, </w:t>
      </w:r>
      <w:r>
        <w:rPr>
          <w:rFonts w:ascii="Effra Corp" w:hAnsi="Effra Corp"/>
          <w:sz w:val="21"/>
          <w:szCs w:val="21"/>
          <w:u w:val="none"/>
        </w:rPr>
        <w:t>Valser</w:t>
      </w:r>
      <w:r>
        <w:rPr>
          <w:rFonts w:ascii="Effra Corp" w:hAnsi="Effra Corp"/>
          <w:sz w:val="21"/>
          <w:szCs w:val="21"/>
          <w:u w:val="none"/>
          <w:lang w:val="el-GR"/>
        </w:rPr>
        <w:t xml:space="preserve">, </w:t>
      </w:r>
      <w:r>
        <w:rPr>
          <w:rFonts w:ascii="Effra Corp" w:hAnsi="Effra Corp"/>
          <w:sz w:val="21"/>
          <w:szCs w:val="21"/>
          <w:u w:val="none"/>
        </w:rPr>
        <w:t>FuzeTea</w:t>
      </w:r>
      <w:r>
        <w:rPr>
          <w:rFonts w:ascii="Effra Corp" w:hAnsi="Effra Corp"/>
          <w:sz w:val="21"/>
          <w:szCs w:val="21"/>
          <w:u w:val="none"/>
          <w:lang w:val="el-GR"/>
        </w:rPr>
        <w:t xml:space="preserve">, </w:t>
      </w:r>
      <w:r>
        <w:rPr>
          <w:rFonts w:ascii="Effra Corp" w:hAnsi="Effra Corp"/>
          <w:sz w:val="21"/>
          <w:szCs w:val="21"/>
          <w:u w:val="none"/>
        </w:rPr>
        <w:t>Powerade</w:t>
      </w:r>
      <w:r>
        <w:rPr>
          <w:rFonts w:ascii="Effra Corp" w:hAnsi="Effra Corp"/>
          <w:sz w:val="21"/>
          <w:szCs w:val="21"/>
          <w:u w:val="none"/>
          <w:lang w:val="el-GR"/>
        </w:rPr>
        <w:t xml:space="preserve">, </w:t>
      </w:r>
      <w:r>
        <w:rPr>
          <w:rFonts w:ascii="Effra Corp" w:hAnsi="Effra Corp"/>
          <w:sz w:val="21"/>
          <w:szCs w:val="21"/>
          <w:u w:val="none"/>
        </w:rPr>
        <w:t>Cappy</w:t>
      </w:r>
      <w:r>
        <w:rPr>
          <w:rFonts w:ascii="Effra Corp" w:hAnsi="Effra Corp"/>
          <w:sz w:val="21"/>
          <w:szCs w:val="21"/>
          <w:u w:val="none"/>
          <w:lang w:val="el-GR"/>
        </w:rPr>
        <w:t xml:space="preserve">, </w:t>
      </w:r>
      <w:r>
        <w:rPr>
          <w:rFonts w:ascii="Effra Corp" w:hAnsi="Effra Corp"/>
          <w:sz w:val="21"/>
          <w:szCs w:val="21"/>
          <w:u w:val="none"/>
        </w:rPr>
        <w:t>Monster</w:t>
      </w:r>
      <w:r>
        <w:rPr>
          <w:rFonts w:ascii="Effra Corp" w:hAnsi="Effra Corp"/>
          <w:sz w:val="21"/>
          <w:szCs w:val="21"/>
          <w:u w:val="none"/>
          <w:lang w:val="el-GR"/>
        </w:rPr>
        <w:t xml:space="preserve"> </w:t>
      </w:r>
      <w:r>
        <w:rPr>
          <w:rFonts w:ascii="Effra Corp" w:hAnsi="Effra Corp"/>
          <w:sz w:val="21"/>
          <w:szCs w:val="21"/>
          <w:u w:val="none"/>
        </w:rPr>
        <w:t>Energy</w:t>
      </w:r>
      <w:r>
        <w:rPr>
          <w:rFonts w:ascii="Effra Corp" w:hAnsi="Effra Corp"/>
          <w:sz w:val="21"/>
          <w:szCs w:val="21"/>
          <w:u w:val="none"/>
          <w:lang w:val="el-GR"/>
        </w:rPr>
        <w:t xml:space="preserve">, </w:t>
      </w:r>
      <w:r>
        <w:rPr>
          <w:rFonts w:ascii="Effra Corp" w:hAnsi="Effra Corp"/>
          <w:sz w:val="21"/>
          <w:szCs w:val="21"/>
          <w:u w:val="none"/>
        </w:rPr>
        <w:t>Finlandia</w:t>
      </w:r>
      <w:r>
        <w:rPr>
          <w:rFonts w:ascii="Effra Corp" w:hAnsi="Effra Corp"/>
          <w:sz w:val="21"/>
          <w:szCs w:val="21"/>
          <w:u w:val="none"/>
          <w:lang w:val="el-GR"/>
        </w:rPr>
        <w:t xml:space="preserve"> </w:t>
      </w:r>
      <w:r>
        <w:rPr>
          <w:rFonts w:ascii="Effra Corp" w:hAnsi="Effra Corp"/>
          <w:sz w:val="21"/>
          <w:szCs w:val="21"/>
          <w:u w:val="none"/>
        </w:rPr>
        <w:t>Vodka</w:t>
      </w:r>
      <w:r>
        <w:rPr>
          <w:rFonts w:ascii="Effra Corp" w:hAnsi="Effra Corp"/>
          <w:sz w:val="21"/>
          <w:szCs w:val="21"/>
          <w:u w:val="none"/>
          <w:lang w:val="el-GR"/>
        </w:rPr>
        <w:t xml:space="preserve">, </w:t>
      </w:r>
      <w:r>
        <w:rPr>
          <w:rFonts w:ascii="Effra Corp" w:hAnsi="Effra Corp"/>
          <w:sz w:val="21"/>
          <w:szCs w:val="21"/>
          <w:u w:val="none"/>
        </w:rPr>
        <w:t>The</w:t>
      </w:r>
      <w:r>
        <w:rPr>
          <w:rFonts w:ascii="Effra Corp" w:hAnsi="Effra Corp"/>
          <w:sz w:val="21"/>
          <w:szCs w:val="21"/>
          <w:u w:val="none"/>
          <w:lang w:val="el-GR"/>
        </w:rPr>
        <w:t xml:space="preserve"> </w:t>
      </w:r>
      <w:r>
        <w:rPr>
          <w:rFonts w:ascii="Effra Corp" w:hAnsi="Effra Corp"/>
          <w:sz w:val="21"/>
          <w:szCs w:val="21"/>
          <w:u w:val="none"/>
        </w:rPr>
        <w:t>Macallan</w:t>
      </w:r>
      <w:r>
        <w:rPr>
          <w:rFonts w:ascii="Effra Corp" w:hAnsi="Effra Corp"/>
          <w:sz w:val="21"/>
          <w:szCs w:val="21"/>
          <w:u w:val="none"/>
          <w:lang w:val="el-GR"/>
        </w:rPr>
        <w:t xml:space="preserve">, </w:t>
      </w:r>
      <w:r>
        <w:rPr>
          <w:rFonts w:ascii="Effra Corp" w:hAnsi="Effra Corp"/>
          <w:sz w:val="21"/>
          <w:szCs w:val="21"/>
          <w:u w:val="none"/>
        </w:rPr>
        <w:t>Jack</w:t>
      </w:r>
      <w:r>
        <w:rPr>
          <w:rFonts w:ascii="Effra Corp" w:hAnsi="Effra Corp"/>
          <w:sz w:val="21"/>
          <w:szCs w:val="21"/>
          <w:u w:val="none"/>
          <w:lang w:val="el-GR"/>
        </w:rPr>
        <w:t xml:space="preserve"> </w:t>
      </w:r>
      <w:r>
        <w:rPr>
          <w:rFonts w:ascii="Effra Corp" w:hAnsi="Effra Corp"/>
          <w:sz w:val="21"/>
          <w:szCs w:val="21"/>
          <w:u w:val="none"/>
        </w:rPr>
        <w:t>Daniel</w:t>
      </w:r>
      <w:r>
        <w:rPr>
          <w:rFonts w:ascii="Effra Corp" w:hAnsi="Effra Corp"/>
          <w:sz w:val="21"/>
          <w:szCs w:val="21"/>
          <w:u w:val="none"/>
          <w:lang w:val="el-GR"/>
        </w:rPr>
        <w:t>’</w:t>
      </w:r>
      <w:r>
        <w:rPr>
          <w:rFonts w:ascii="Effra Corp" w:hAnsi="Effra Corp"/>
          <w:sz w:val="21"/>
          <w:szCs w:val="21"/>
          <w:u w:val="none"/>
        </w:rPr>
        <w:t>s</w:t>
      </w:r>
      <w:r>
        <w:rPr>
          <w:rFonts w:ascii="Effra Corp" w:hAnsi="Effra Corp"/>
          <w:sz w:val="21"/>
          <w:szCs w:val="21"/>
          <w:u w:val="none"/>
          <w:lang w:val="el-GR"/>
        </w:rPr>
        <w:t xml:space="preserve"> και </w:t>
      </w:r>
      <w:r>
        <w:rPr>
          <w:rFonts w:ascii="Effra Corp" w:hAnsi="Effra Corp"/>
          <w:sz w:val="21"/>
          <w:szCs w:val="21"/>
          <w:u w:val="none"/>
        </w:rPr>
        <w:t>Plazma</w:t>
      </w:r>
      <w:r>
        <w:rPr>
          <w:rFonts w:ascii="Effra Corp" w:hAnsi="Effra Corp"/>
          <w:sz w:val="21"/>
          <w:szCs w:val="21"/>
          <w:u w:val="none"/>
          <w:lang w:val="el-GR"/>
        </w:rPr>
        <w:t xml:space="preserve">. Προάγουμε ένα ανοικτό περιβάλλον εργασίας χωρίς αποκλεισμούς για τους περισσότερους από 33,500 εργαζομένους μας και πιστεύουμε ότι η μελλοντική ανάπτυξή μας συνδέεται στενά με τη δέσμευσή μας για ένα θετικό αντίκτυπο στο περιβάλλον. Ο οργανισμός μας κατατάσσεται στις πρώτες θέσεις της παγκόσμιας βιομηχανίας ποτών σε σημαντικούς δείκτες βιωσιμότητας (Περιβάλλον, Κοινωνία, Διακυβέρνηση), συμπεριλαμβάνοντας τους δείκτες </w:t>
      </w:r>
      <w:r>
        <w:rPr>
          <w:rFonts w:ascii="Effra Corp" w:hAnsi="Effra Corp"/>
          <w:sz w:val="21"/>
          <w:szCs w:val="21"/>
          <w:u w:val="none"/>
        </w:rPr>
        <w:t>Best</w:t>
      </w:r>
      <w:r>
        <w:rPr>
          <w:rFonts w:ascii="Effra Corp" w:hAnsi="Effra Corp"/>
          <w:sz w:val="21"/>
          <w:szCs w:val="21"/>
          <w:u w:val="none"/>
          <w:lang w:val="el-GR"/>
        </w:rPr>
        <w:t>-</w:t>
      </w:r>
      <w:r>
        <w:rPr>
          <w:rFonts w:ascii="Effra Corp" w:hAnsi="Effra Corp"/>
          <w:sz w:val="21"/>
          <w:szCs w:val="21"/>
          <w:u w:val="none"/>
        </w:rPr>
        <w:t>in</w:t>
      </w:r>
      <w:r>
        <w:rPr>
          <w:rFonts w:ascii="Effra Corp" w:hAnsi="Effra Corp"/>
          <w:sz w:val="21"/>
          <w:szCs w:val="21"/>
          <w:u w:val="none"/>
          <w:lang w:val="el-GR"/>
        </w:rPr>
        <w:t>-</w:t>
      </w:r>
      <w:r>
        <w:rPr>
          <w:rFonts w:ascii="Effra Corp" w:hAnsi="Effra Corp"/>
          <w:sz w:val="21"/>
          <w:szCs w:val="21"/>
          <w:u w:val="none"/>
        </w:rPr>
        <w:t>Class</w:t>
      </w:r>
      <w:r>
        <w:rPr>
          <w:rFonts w:ascii="Effra Corp" w:hAnsi="Effra Corp"/>
          <w:sz w:val="21"/>
          <w:szCs w:val="21"/>
          <w:u w:val="none"/>
          <w:lang w:val="el-GR"/>
        </w:rPr>
        <w:t xml:space="preserve"> </w:t>
      </w:r>
      <w:r>
        <w:rPr>
          <w:rFonts w:ascii="Effra Corp" w:hAnsi="Effra Corp"/>
          <w:sz w:val="21"/>
          <w:szCs w:val="21"/>
          <w:u w:val="none"/>
        </w:rPr>
        <w:t>Dow</w:t>
      </w:r>
      <w:r>
        <w:rPr>
          <w:rFonts w:ascii="Effra Corp" w:hAnsi="Effra Corp"/>
          <w:sz w:val="21"/>
          <w:szCs w:val="21"/>
          <w:u w:val="none"/>
          <w:lang w:val="el-GR"/>
        </w:rPr>
        <w:t xml:space="preserve"> </w:t>
      </w:r>
      <w:r>
        <w:rPr>
          <w:rFonts w:ascii="Effra Corp" w:hAnsi="Effra Corp"/>
          <w:sz w:val="21"/>
          <w:szCs w:val="21"/>
          <w:u w:val="none"/>
        </w:rPr>
        <w:t>Jones</w:t>
      </w:r>
      <w:r>
        <w:rPr>
          <w:rFonts w:ascii="Effra Corp" w:hAnsi="Effra Corp"/>
          <w:sz w:val="21"/>
          <w:szCs w:val="21"/>
          <w:u w:val="none"/>
          <w:lang w:val="el-GR"/>
        </w:rPr>
        <w:t xml:space="preserve"> και τους δείκτες </w:t>
      </w:r>
      <w:r>
        <w:rPr>
          <w:rFonts w:ascii="Effra Corp" w:hAnsi="Effra Corp"/>
          <w:sz w:val="21"/>
          <w:szCs w:val="21"/>
          <w:u w:val="none"/>
        </w:rPr>
        <w:t>CDP</w:t>
      </w:r>
      <w:r>
        <w:rPr>
          <w:rFonts w:ascii="Effra Corp" w:hAnsi="Effra Corp"/>
          <w:sz w:val="21"/>
          <w:szCs w:val="21"/>
          <w:u w:val="none"/>
          <w:lang w:val="el-GR"/>
        </w:rPr>
        <w:t xml:space="preserve">, </w:t>
      </w:r>
      <w:r>
        <w:rPr>
          <w:rFonts w:ascii="Effra Corp" w:hAnsi="Effra Corp"/>
          <w:sz w:val="21"/>
          <w:szCs w:val="21"/>
          <w:u w:val="none"/>
        </w:rPr>
        <w:t>MSCI</w:t>
      </w:r>
      <w:r>
        <w:rPr>
          <w:rFonts w:ascii="Effra Corp" w:hAnsi="Effra Corp"/>
          <w:sz w:val="21"/>
          <w:szCs w:val="21"/>
          <w:u w:val="none"/>
          <w:lang w:val="el-GR"/>
        </w:rPr>
        <w:t xml:space="preserve"> </w:t>
      </w:r>
      <w:r>
        <w:rPr>
          <w:rFonts w:ascii="Effra Corp" w:hAnsi="Effra Corp"/>
          <w:sz w:val="21"/>
          <w:szCs w:val="21"/>
          <w:u w:val="none"/>
        </w:rPr>
        <w:t>ESG</w:t>
      </w:r>
      <w:r>
        <w:rPr>
          <w:rFonts w:ascii="Effra Corp" w:hAnsi="Effra Corp"/>
          <w:sz w:val="21"/>
          <w:szCs w:val="21"/>
          <w:u w:val="none"/>
          <w:lang w:val="el-GR"/>
        </w:rPr>
        <w:t xml:space="preserve">, </w:t>
      </w:r>
      <w:r>
        <w:rPr>
          <w:rFonts w:ascii="Effra Corp" w:hAnsi="Effra Corp"/>
          <w:sz w:val="21"/>
          <w:szCs w:val="21"/>
          <w:u w:val="none"/>
        </w:rPr>
        <w:t>FTSE</w:t>
      </w:r>
      <w:r>
        <w:rPr>
          <w:rFonts w:ascii="Effra Corp" w:hAnsi="Effra Corp"/>
          <w:sz w:val="21"/>
          <w:szCs w:val="21"/>
          <w:u w:val="none"/>
          <w:lang w:val="el-GR"/>
        </w:rPr>
        <w:t xml:space="preserve"> </w:t>
      </w:r>
      <w:r>
        <w:rPr>
          <w:rFonts w:ascii="Effra Corp" w:hAnsi="Effra Corp"/>
          <w:sz w:val="21"/>
          <w:szCs w:val="21"/>
          <w:u w:val="none"/>
        </w:rPr>
        <w:t>ESG</w:t>
      </w:r>
      <w:r>
        <w:rPr>
          <w:rFonts w:ascii="Effra Corp" w:hAnsi="Effra Corp"/>
          <w:sz w:val="21"/>
          <w:szCs w:val="21"/>
          <w:u w:val="none"/>
          <w:lang w:val="el-GR"/>
        </w:rPr>
        <w:t xml:space="preserve"> και </w:t>
      </w:r>
      <w:r>
        <w:rPr>
          <w:rFonts w:ascii="Effra Corp" w:hAnsi="Effra Corp"/>
          <w:sz w:val="21"/>
          <w:szCs w:val="21"/>
          <w:u w:val="none"/>
        </w:rPr>
        <w:t>ISS</w:t>
      </w:r>
      <w:r>
        <w:rPr>
          <w:rFonts w:ascii="Effra Corp" w:hAnsi="Effra Corp"/>
          <w:sz w:val="21"/>
          <w:szCs w:val="21"/>
          <w:u w:val="none"/>
          <w:lang w:val="el-GR"/>
        </w:rPr>
        <w:t xml:space="preserve"> </w:t>
      </w:r>
      <w:r>
        <w:rPr>
          <w:rFonts w:ascii="Effra Corp" w:hAnsi="Effra Corp"/>
          <w:sz w:val="21"/>
          <w:szCs w:val="21"/>
          <w:u w:val="none"/>
        </w:rPr>
        <w:t>ESG</w:t>
      </w:r>
      <w:r>
        <w:rPr>
          <w:rFonts w:ascii="Effra Corp" w:hAnsi="Effra Corp"/>
          <w:sz w:val="21"/>
          <w:szCs w:val="21"/>
          <w:u w:val="none"/>
          <w:lang w:val="el-GR"/>
        </w:rPr>
        <w:t xml:space="preserve">. </w:t>
      </w:r>
    </w:p>
    <w:p>
      <w:pPr>
        <w:pStyle w:val="Style19"/>
        <w:spacing w:before="80" w:after="120"/>
        <w:rPr>
          <w:rFonts w:ascii="Effra Corp" w:hAnsi="Effra Corp"/>
          <w:sz w:val="21"/>
          <w:szCs w:val="21"/>
          <w:u w:val="none"/>
          <w:lang w:val="el-GR"/>
        </w:rPr>
      </w:pPr>
      <w:r>
        <w:rPr>
          <w:rFonts w:ascii="Effra Corp" w:hAnsi="Effra Corp"/>
          <w:sz w:val="21"/>
          <w:szCs w:val="21"/>
          <w:u w:val="none"/>
          <w:lang w:val="el-GR"/>
        </w:rPr>
        <w:t xml:space="preserve">Η </w:t>
      </w:r>
      <w:r>
        <w:rPr>
          <w:rFonts w:ascii="Effra Corp" w:hAnsi="Effra Corp"/>
          <w:sz w:val="21"/>
          <w:szCs w:val="21"/>
          <w:u w:val="none"/>
        </w:rPr>
        <w:t>Coca</w:t>
      </w:r>
      <w:r>
        <w:rPr>
          <w:rFonts w:ascii="Effra Corp" w:hAnsi="Effra Corp"/>
          <w:sz w:val="21"/>
          <w:szCs w:val="21"/>
          <w:u w:val="none"/>
          <w:lang w:val="el-GR"/>
        </w:rPr>
        <w:t>-</w:t>
      </w:r>
      <w:r>
        <w:rPr>
          <w:rFonts w:ascii="Effra Corp" w:hAnsi="Effra Corp"/>
          <w:sz w:val="21"/>
          <w:szCs w:val="21"/>
          <w:u w:val="none"/>
        </w:rPr>
        <w:t>Cola</w:t>
      </w:r>
      <w:r>
        <w:rPr>
          <w:rFonts w:ascii="Effra Corp" w:hAnsi="Effra Corp"/>
          <w:sz w:val="21"/>
          <w:szCs w:val="21"/>
          <w:u w:val="none"/>
          <w:lang w:val="el-GR"/>
        </w:rPr>
        <w:t xml:space="preserve"> </w:t>
      </w:r>
      <w:r>
        <w:rPr>
          <w:rFonts w:ascii="Effra Corp" w:hAnsi="Effra Corp"/>
          <w:sz w:val="21"/>
          <w:szCs w:val="21"/>
          <w:u w:val="none"/>
        </w:rPr>
        <w:t>HBC</w:t>
      </w:r>
      <w:r>
        <w:rPr>
          <w:rFonts w:ascii="Effra Corp" w:hAnsi="Effra Corp"/>
          <w:sz w:val="21"/>
          <w:szCs w:val="21"/>
          <w:u w:val="none"/>
          <w:lang w:val="el-GR"/>
        </w:rPr>
        <w:t xml:space="preserve"> είναι εισηγμένη στο Χρηματιστήριο Αξιών του Λονδίνου (</w:t>
      </w:r>
      <w:r>
        <w:rPr>
          <w:rFonts w:ascii="Effra Corp" w:hAnsi="Effra Corp"/>
          <w:sz w:val="21"/>
          <w:szCs w:val="21"/>
          <w:u w:val="none"/>
        </w:rPr>
        <w:t>LSE</w:t>
      </w:r>
      <w:r>
        <w:rPr>
          <w:rFonts w:ascii="Effra Corp" w:hAnsi="Effra Corp"/>
          <w:sz w:val="21"/>
          <w:szCs w:val="21"/>
          <w:u w:val="none"/>
          <w:lang w:val="el-GR"/>
        </w:rPr>
        <w:t xml:space="preserve">: </w:t>
      </w:r>
      <w:r>
        <w:rPr>
          <w:rFonts w:ascii="Effra Corp" w:hAnsi="Effra Corp"/>
          <w:sz w:val="21"/>
          <w:szCs w:val="21"/>
          <w:u w:val="none"/>
        </w:rPr>
        <w:t>CCH</w:t>
      </w:r>
      <w:r>
        <w:rPr>
          <w:rFonts w:ascii="Effra Corp" w:hAnsi="Effra Corp"/>
          <w:sz w:val="21"/>
          <w:szCs w:val="21"/>
          <w:u w:val="none"/>
          <w:lang w:val="el-GR"/>
        </w:rPr>
        <w:t xml:space="preserve">) και στο Χρηματιστήριο </w:t>
      </w:r>
      <w:r>
        <w:rPr>
          <w:rFonts w:ascii="Effra Corp" w:hAnsi="Effra Corp"/>
          <w:sz w:val="21"/>
          <w:szCs w:val="21"/>
          <w:u w:val="none"/>
        </w:rPr>
        <w:t>Euronext</w:t>
      </w:r>
      <w:r>
        <w:rPr>
          <w:rFonts w:ascii="Effra Corp" w:hAnsi="Effra Corp"/>
          <w:sz w:val="21"/>
          <w:szCs w:val="21"/>
          <w:u w:val="none"/>
          <w:lang w:val="el-GR"/>
        </w:rPr>
        <w:t xml:space="preserve"> </w:t>
      </w:r>
      <w:r>
        <w:rPr>
          <w:rFonts w:ascii="Effra Corp" w:hAnsi="Effra Corp"/>
          <w:sz w:val="21"/>
          <w:szCs w:val="21"/>
          <w:u w:val="none"/>
        </w:rPr>
        <w:t>Athens</w:t>
      </w:r>
      <w:r>
        <w:rPr>
          <w:rFonts w:ascii="Effra Corp" w:hAnsi="Effra Corp"/>
          <w:sz w:val="21"/>
          <w:szCs w:val="21"/>
          <w:u w:val="none"/>
          <w:lang w:val="el-GR"/>
        </w:rPr>
        <w:t xml:space="preserve"> (</w:t>
      </w:r>
      <w:r>
        <w:rPr>
          <w:rFonts w:ascii="Effra Corp" w:hAnsi="Effra Corp"/>
          <w:sz w:val="21"/>
          <w:szCs w:val="21"/>
          <w:u w:val="none"/>
        </w:rPr>
        <w:t>Euronext</w:t>
      </w:r>
      <w:r>
        <w:rPr>
          <w:rFonts w:ascii="Effra Corp" w:hAnsi="Effra Corp"/>
          <w:sz w:val="21"/>
          <w:szCs w:val="21"/>
          <w:u w:val="none"/>
          <w:lang w:val="el-GR"/>
        </w:rPr>
        <w:t xml:space="preserve"> </w:t>
      </w:r>
      <w:r>
        <w:rPr>
          <w:rFonts w:ascii="Effra Corp" w:hAnsi="Effra Corp"/>
          <w:sz w:val="21"/>
          <w:szCs w:val="21"/>
          <w:u w:val="none"/>
        </w:rPr>
        <w:t>Athens</w:t>
      </w:r>
      <w:r>
        <w:rPr>
          <w:rFonts w:ascii="Effra Corp" w:hAnsi="Effra Corp"/>
          <w:sz w:val="21"/>
          <w:szCs w:val="21"/>
          <w:u w:val="none"/>
          <w:lang w:val="el-GR"/>
        </w:rPr>
        <w:t xml:space="preserve">: </w:t>
      </w:r>
      <w:r>
        <w:rPr>
          <w:rFonts w:ascii="Effra Corp" w:hAnsi="Effra Corp"/>
          <w:sz w:val="21"/>
          <w:szCs w:val="21"/>
          <w:u w:val="none"/>
        </w:rPr>
        <w:t>EEE</w:t>
      </w:r>
      <w:r>
        <w:rPr>
          <w:rFonts w:ascii="Effra Corp" w:hAnsi="Effra Corp"/>
          <w:sz w:val="21"/>
          <w:szCs w:val="21"/>
          <w:u w:val="none"/>
          <w:lang w:val="el-GR"/>
        </w:rPr>
        <w:t xml:space="preserve">). Για περισσότερες πληροφορίες, ανατρέξτε στη διεύθυνση </w:t>
      </w:r>
      <w:hyperlink r:id="rId5">
        <w:r>
          <w:rPr>
            <w:rStyle w:val="Style5"/>
            <w:rFonts w:ascii="Effra Corp" w:hAnsi="Effra Corp"/>
            <w:sz w:val="21"/>
            <w:szCs w:val="21"/>
            <w:u w:val="none"/>
            <w:lang w:val="el-GR"/>
          </w:rPr>
          <w:t>https://www.coca-colahellenic.com</w:t>
        </w:r>
      </w:hyperlink>
      <w:r>
        <w:rPr>
          <w:rFonts w:ascii="Effra Corp" w:hAnsi="Effra Corp"/>
          <w:sz w:val="21"/>
          <w:szCs w:val="21"/>
          <w:u w:val="none"/>
          <w:lang w:val="el-GR"/>
        </w:rPr>
        <w:t>.</w:t>
      </w:r>
    </w:p>
    <w:p>
      <w:pPr>
        <w:pStyle w:val="Style19"/>
        <w:pBdr>
          <w:top w:val="single" w:sz="4" w:space="1" w:color="000000"/>
          <w:bottom w:val="single" w:sz="4" w:space="5" w:color="000000"/>
        </w:pBdr>
        <w:jc w:val="center"/>
        <w:rPr>
          <w:rFonts w:ascii="Effra Corp" w:hAnsi="Effra Corp"/>
          <w:sz w:val="21"/>
          <w:szCs w:val="21"/>
          <w:highlight w:val="yellow"/>
          <w:u w:val="none"/>
          <w:lang w:val="el-GR"/>
        </w:rPr>
      </w:pPr>
      <w:r>
        <w:rPr>
          <w:rFonts w:eastAsia="Effra Corp" w:cs="Effra Corp" w:ascii="Effra Corp" w:hAnsi="Effra Corp"/>
          <w:b/>
          <w:color w:val="000000"/>
          <w:u w:val="none"/>
          <w:lang w:val="el-GR" w:bidi="el-GR"/>
        </w:rPr>
        <w:t xml:space="preserve">Τα οικονομικά στοιχεία της παρούσας ανακοίνωσης παρουσιάζονται σύμφωνα με </w:t>
        <w:br/>
        <w:t>τα Διεθνή Πρότυπα Χρηματοοικονομικής Αναφοράς (ΔΠΧΑ).</w:t>
      </w:r>
    </w:p>
    <w:p>
      <w:pPr>
        <w:pStyle w:val="ListParagraph"/>
        <w:ind w:left="0" w:hanging="0"/>
        <w:jc w:val="both"/>
        <w:rPr>
          <w:rFonts w:ascii="Effra Corp" w:hAnsi="Effra Corp"/>
          <w:sz w:val="16"/>
          <w:szCs w:val="16"/>
          <w:highlight w:val="yellow"/>
          <w:lang w:val="el-GR"/>
        </w:rPr>
      </w:pPr>
      <w:r>
        <w:rPr>
          <w:rFonts w:ascii="Effra Corp" w:hAnsi="Effra Corp"/>
          <w:sz w:val="16"/>
          <w:szCs w:val="16"/>
          <w:highlight w:val="yellow"/>
          <w:lang w:val="el-GR"/>
        </w:rPr>
      </w:r>
    </w:p>
    <w:p>
      <w:pPr>
        <w:pStyle w:val="BodyText3"/>
        <w:shd w:val="clear" w:color="auto" w:fill="BFBFBF"/>
        <w:spacing w:before="120" w:after="120"/>
        <w:rPr>
          <w:rFonts w:ascii="Effra Corp" w:hAnsi="Effra Corp" w:cs="Arial"/>
          <w:b/>
          <w:sz w:val="21"/>
          <w:szCs w:val="21"/>
          <w:lang w:val="el-GR"/>
        </w:rPr>
      </w:pPr>
      <w:r>
        <w:rPr>
          <w:rFonts w:cs="Arial" w:ascii="Effra Corp" w:hAnsi="Effra Corp"/>
          <w:b/>
          <w:sz w:val="21"/>
          <w:szCs w:val="21"/>
          <w:lang w:val="el-GR"/>
        </w:rPr>
        <w:t>Σημείωση για τις πληροφορίες που παρουσιάζονται στο παρόν</w:t>
      </w:r>
    </w:p>
    <w:p>
      <w:pPr>
        <w:pStyle w:val="Normal"/>
        <w:spacing w:before="0" w:after="120"/>
        <w:jc w:val="both"/>
        <w:rPr>
          <w:rFonts w:ascii="Effra Corp" w:hAnsi="Effra Corp" w:cs="Arial"/>
          <w:spacing w:val="-2"/>
          <w:sz w:val="21"/>
          <w:szCs w:val="21"/>
          <w:lang w:val="el-GR"/>
        </w:rPr>
      </w:pPr>
      <w:r>
        <w:rPr>
          <w:rFonts w:cs="Arial" w:ascii="Effra Corp" w:hAnsi="Effra Corp"/>
          <w:spacing w:val="-2"/>
          <w:sz w:val="21"/>
          <w:szCs w:val="21"/>
          <w:lang w:val="el-GR"/>
        </w:rPr>
        <w:t xml:space="preserve">Εκτός αν αναφέρεται διαφορετικά, η παρούσα ενημέρωση, καθώς και τα οικονομικά και λειτουργικά στοιχεία και οι λοιπές πληροφορίες που περιέχονται στο κείμενο αφορούν την </w:t>
      </w:r>
      <w:r>
        <w:rPr>
          <w:rFonts w:cs="Arial" w:ascii="Effra Corp" w:hAnsi="Effra Corp"/>
          <w:spacing w:val="-2"/>
          <w:sz w:val="21"/>
          <w:szCs w:val="21"/>
        </w:rPr>
        <w:t>Coca</w:t>
      </w:r>
      <w:r>
        <w:rPr>
          <w:rFonts w:cs="Arial" w:ascii="Effra Corp" w:hAnsi="Effra Corp"/>
          <w:spacing w:val="-2"/>
          <w:sz w:val="21"/>
          <w:szCs w:val="21"/>
          <w:lang w:val="el-GR"/>
        </w:rPr>
        <w:t>-</w:t>
      </w:r>
      <w:r>
        <w:rPr>
          <w:rFonts w:cs="Arial" w:ascii="Effra Corp" w:hAnsi="Effra Corp"/>
          <w:spacing w:val="-2"/>
          <w:sz w:val="21"/>
          <w:szCs w:val="21"/>
        </w:rPr>
        <w:t>Cola</w:t>
      </w:r>
      <w:r>
        <w:rPr>
          <w:rFonts w:cs="Arial" w:ascii="Effra Corp" w:hAnsi="Effra Corp"/>
          <w:spacing w:val="-2"/>
          <w:sz w:val="21"/>
          <w:szCs w:val="21"/>
          <w:lang w:val="el-GR"/>
        </w:rPr>
        <w:t xml:space="preserve"> </w:t>
      </w:r>
      <w:r>
        <w:rPr>
          <w:rFonts w:cs="Arial" w:ascii="Effra Corp" w:hAnsi="Effra Corp"/>
          <w:spacing w:val="-2"/>
          <w:sz w:val="21"/>
          <w:szCs w:val="21"/>
        </w:rPr>
        <w:t>HBC</w:t>
      </w:r>
      <w:r>
        <w:rPr>
          <w:rFonts w:cs="Arial" w:ascii="Effra Corp" w:hAnsi="Effra Corp"/>
          <w:spacing w:val="-2"/>
          <w:sz w:val="21"/>
          <w:szCs w:val="21"/>
          <w:lang w:val="el-GR"/>
        </w:rPr>
        <w:t xml:space="preserve"> </w:t>
      </w:r>
      <w:r>
        <w:rPr>
          <w:rFonts w:cs="Arial" w:ascii="Effra Corp" w:hAnsi="Effra Corp"/>
          <w:spacing w:val="-2"/>
          <w:sz w:val="21"/>
          <w:szCs w:val="21"/>
        </w:rPr>
        <w:t>AG</w:t>
      </w:r>
      <w:r>
        <w:rPr>
          <w:rFonts w:cs="Arial" w:ascii="Effra Corp" w:hAnsi="Effra Corp"/>
          <w:spacing w:val="-2"/>
          <w:sz w:val="21"/>
          <w:szCs w:val="21"/>
          <w:lang w:val="el-GR"/>
        </w:rPr>
        <w:t xml:space="preserve"> και τις θυγατρικές της («</w:t>
      </w:r>
      <w:r>
        <w:rPr>
          <w:rFonts w:cs="Arial" w:ascii="Effra Corp" w:hAnsi="Effra Corp"/>
          <w:spacing w:val="-2"/>
          <w:sz w:val="21"/>
          <w:szCs w:val="21"/>
        </w:rPr>
        <w:t>Coca</w:t>
      </w:r>
      <w:r>
        <w:rPr>
          <w:rFonts w:cs="Arial" w:ascii="Effra Corp" w:hAnsi="Effra Corp"/>
          <w:spacing w:val="-2"/>
          <w:sz w:val="21"/>
          <w:szCs w:val="21"/>
          <w:lang w:val="el-GR"/>
        </w:rPr>
        <w:t>-</w:t>
      </w:r>
      <w:r>
        <w:rPr>
          <w:rFonts w:cs="Arial" w:ascii="Effra Corp" w:hAnsi="Effra Corp"/>
          <w:spacing w:val="-2"/>
          <w:sz w:val="21"/>
          <w:szCs w:val="21"/>
        </w:rPr>
        <w:t>Cola</w:t>
      </w:r>
      <w:r>
        <w:rPr>
          <w:rFonts w:cs="Arial" w:ascii="Effra Corp" w:hAnsi="Effra Corp"/>
          <w:spacing w:val="-2"/>
          <w:sz w:val="21"/>
          <w:szCs w:val="21"/>
          <w:lang w:val="el-GR"/>
        </w:rPr>
        <w:t xml:space="preserve"> </w:t>
      </w:r>
      <w:r>
        <w:rPr>
          <w:rFonts w:cs="Arial" w:ascii="Effra Corp" w:hAnsi="Effra Corp"/>
          <w:spacing w:val="-2"/>
          <w:sz w:val="21"/>
          <w:szCs w:val="21"/>
        </w:rPr>
        <w:t>HBC</w:t>
      </w:r>
      <w:r>
        <w:rPr>
          <w:rFonts w:cs="Arial" w:ascii="Effra Corp" w:hAnsi="Effra Corp"/>
          <w:spacing w:val="-2"/>
          <w:sz w:val="21"/>
          <w:szCs w:val="21"/>
          <w:lang w:val="el-GR"/>
        </w:rPr>
        <w:t>» ή η «Εταιρεία» ή «εμείς» ή ο «Όμιλος»).</w:t>
      </w:r>
    </w:p>
    <w:p>
      <w:pPr>
        <w:pStyle w:val="ListParagraph"/>
        <w:ind w:left="0" w:hanging="0"/>
        <w:jc w:val="both"/>
        <w:rPr>
          <w:rFonts w:ascii="Effra Corp" w:hAnsi="Effra Corp" w:cs="Arial"/>
          <w:sz w:val="16"/>
          <w:szCs w:val="16"/>
          <w:highlight w:val="yellow"/>
          <w:lang w:val="el-GR"/>
        </w:rPr>
      </w:pPr>
      <w:r>
        <w:rPr>
          <w:rFonts w:cs="Arial" w:ascii="Effra Corp" w:hAnsi="Effra Corp"/>
          <w:sz w:val="16"/>
          <w:szCs w:val="16"/>
          <w:highlight w:val="yellow"/>
          <w:lang w:val="el-GR"/>
        </w:rPr>
      </w:r>
    </w:p>
    <w:p>
      <w:pPr>
        <w:pStyle w:val="BodyText3"/>
        <w:shd w:val="clear" w:color="auto" w:fill="BFBFBF"/>
        <w:spacing w:before="0" w:after="120"/>
        <w:rPr>
          <w:rFonts w:ascii="Effra Corp" w:hAnsi="Effra Corp" w:cs="Arial"/>
          <w:b/>
          <w:sz w:val="21"/>
          <w:szCs w:val="21"/>
          <w:lang w:val="el-GR"/>
        </w:rPr>
      </w:pPr>
      <w:r>
        <w:rPr>
          <w:rFonts w:cs="Arial" w:ascii="Effra Corp" w:hAnsi="Effra Corp"/>
          <w:b/>
          <w:sz w:val="21"/>
          <w:szCs w:val="21"/>
          <w:lang w:val="el-GR"/>
        </w:rPr>
        <w:t>Μελλοντικές δηλώσεις</w:t>
      </w:r>
    </w:p>
    <w:p>
      <w:pPr>
        <w:pStyle w:val="ListParagraph"/>
        <w:spacing w:before="0" w:after="120"/>
        <w:ind w:left="0" w:hanging="0"/>
        <w:contextualSpacing/>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t>Το παρόν έγγραφο περιέχει δηλώσεις που αφορούν το μέλλον και συνεπάγονται κινδύνους και αβεβαιότητες. Οι δηλώσεις αυτές μπορεί να διατυπώνονται συνήθως, αλλά όχι πάντα, με τη χρήση λέξεων όπως «πιστεύουμε», «προοπτική», «κατευθυντήριες γραμμές», «αναμένουμε», «σκοπεύουμε», «προβλέπουμε», «σχεδιάζουμε», «προσδοκούμε», «στοχεύουμε» και παρεμφερείς εκφράσεις για να χαρακτηρίσουν δηλώσεις που αναφέρονται στο μέλλον. Εκτός από τις δηλώσεις που αφορούν γεγονότα του παρελθόντος, όλες οι υπόλοιπες, όπως μεταξύ άλλων, οι δηλώσεις για τη μελλοντική οικονομική θέση και τα αποτελέσματά μας, την προοπτική μας για το 2026 και τα επόμενα χρόνια, την επιχειρηματική μας στρατηγική και τα αποτελέσματα της επιβράδυνσης του ρυθμού της παγκόσμιας οικονομικής ανάπτυξης, τον αντίκτυπο της κρίσης κρατικού χρέους, τις μεταβολές νομισματικών ισοτιμιών, τις πρόσφατες εξαγορές μας, τις πρωτοβουλίες αναδιάρθρωσης των επιχειρηματικών μας δραστηριοτήτων και την οικονομική μας κατάσταση, τις μελλοντικές συναλλαγές μας με την εταιρεία The Coca-Cola Company, τους προϋπολογισμούς, τα προβλεπόμενα επίπεδα κατανάλωσης και παραγωγής, τις προβλέψεις για το κόστος πρώτων υλών και τα άλλα στοιχεία κόστους, τις εκτιμήσεις κεφαλαιουχικών δαπανών, καθαρών ταμειακών ροών ή πραγματικών φορολογικών συντελεστών, τα σχέδια και τους στόχους της διοίκησης της Εταιρείας σε σχέση με μελλοντικές δράσεις, αποτελούν αναφορές στο μέλλον. Εκ φύσεως, τέτοιες δηλώσεις που αφορούν το μέλλον ενέχουν κινδύνους και αβεβαιότητες, εφόσον αντανακλούν τις σημερινές μας εκτιμήσεις και προσδοκίες για μελλοντικά γεγονότα και περιστάσεις που μπορεί να αποδειχθούν ανακριβείς. Τα πραγματικά αποτελέσματα της Εταιρείας ενδέχεται να διαφέρουν σε ουσιώδη βαθμό από τα εικαζόμενα αποτελέσματα που περιέχονται στις δηλώσεις για το μέλλον, για διάφορους λόγους, όπως είναι, μεταξύ άλλων, οι κίνδυνοι που περιγράψαμε στην Ετήσια Ενοποιημένη Έκθεση (Integrated Annual Report) του 2025 για την Coca-Cola HBC AG και τις θυγατρικές εταιρείες της.</w:t>
      </w:r>
    </w:p>
    <w:p>
      <w:pPr>
        <w:pStyle w:val="ListParagraph"/>
        <w:spacing w:before="120" w:after="0"/>
        <w:ind w:left="0" w:hanging="0"/>
        <w:contextualSpacing/>
        <w:jc w:val="both"/>
        <w:rPr>
          <w:rFonts w:ascii="Effra Corp" w:hAnsi="Effra Corp" w:eastAsia="Effra Corp" w:cs="Arial"/>
          <w:spacing w:val="-2"/>
          <w:sz w:val="12"/>
          <w:szCs w:val="12"/>
          <w:lang w:val="el-GR" w:bidi="el-GR"/>
        </w:rPr>
      </w:pPr>
      <w:r>
        <w:rPr>
          <w:rFonts w:eastAsia="Effra Corp" w:cs="Arial" w:ascii="Effra Corp" w:hAnsi="Effra Corp"/>
          <w:spacing w:val="-2"/>
          <w:sz w:val="12"/>
          <w:szCs w:val="12"/>
          <w:lang w:val="el-GR" w:bidi="el-GR"/>
        </w:rPr>
      </w:r>
    </w:p>
    <w:p>
      <w:pPr>
        <w:pStyle w:val="ListParagraph"/>
        <w:spacing w:before="120" w:after="0"/>
        <w:ind w:left="0" w:hanging="0"/>
        <w:contextualSpacing/>
        <w:jc w:val="both"/>
        <w:rPr>
          <w:rFonts w:ascii="Effra Corp" w:hAnsi="Effra Corp" w:eastAsia="Effra Corp" w:cs="Arial"/>
          <w:spacing w:val="-2"/>
          <w:sz w:val="21"/>
          <w:szCs w:val="21"/>
          <w:highlight w:val="yellow"/>
          <w:lang w:val="el-GR" w:bidi="el-GR"/>
        </w:rPr>
      </w:pPr>
      <w:r>
        <w:rPr>
          <w:rFonts w:eastAsia="Effra Corp" w:cs="Arial" w:ascii="Effra Corp" w:hAnsi="Effra Corp"/>
          <w:spacing w:val="-2"/>
          <w:sz w:val="21"/>
          <w:szCs w:val="21"/>
          <w:lang w:val="el-GR" w:bidi="el-GR"/>
        </w:rPr>
        <w:t xml:space="preserve">Αν και πιστεύουμε ότι κατά την ημερομηνία σύνταξης του παρόντος, οι προσδοκίες που αντικατοπτρίζονται στις εν λόγω δηλώσεις για το μέλλον είναι εύλογες, δεν μπορούμε να σας διαβεβαιώσουμε ότι τα μελλοντικά μας αποτελέσματα, το επίπεδο επιχειρηματικής δραστηριότητας, οι επιδόσεις ή τα επιτεύγματά μας θα ικανοποιήσουν αυτές τις προσδοκίες. Επιπλέον, κανένας από εμάς, τα μέλη του Διοικητικού Συμβουλίου, τους υπαλλήλους, τους συμβούλους ή οποιοδήποτε άλλο πρόσωπο δεν αναλαμβάνει την ευθύνη για την ακρίβεια και την πληρότητα δηλώσεων που αφορούν το μέλλον. Μετά την ημερομηνία </w:t>
      </w:r>
      <w:r>
        <w:rPr>
          <w:rFonts w:cs="Arial" w:ascii="Effra Corp" w:hAnsi="Effra Corp"/>
          <w:spacing w:val="-2"/>
          <w:sz w:val="21"/>
          <w:szCs w:val="21"/>
          <w:lang w:val="el-GR"/>
        </w:rPr>
        <w:t>της παρούσας ενημέρωσης</w:t>
      </w:r>
      <w:r>
        <w:rPr>
          <w:rFonts w:eastAsia="Effra Corp" w:cs="Arial" w:ascii="Effra Corp" w:hAnsi="Effra Corp"/>
          <w:spacing w:val="-2"/>
          <w:sz w:val="21"/>
          <w:szCs w:val="21"/>
          <w:lang w:val="el-GR" w:bidi="el-GR"/>
        </w:rPr>
        <w:t>, εκτός αν είμαστε υποχρεωμένοι από τον νόμο ή τους κανόνες της Financial Conduct Authority του Ηνωμένου Βασιλείου, δεν σκοπεύουμε απαραιτήτως να προσαρμόσουμε καμία από τις δηλώσεις που αφορούν το μέλλον για να τις εναρμονίσουμε είτε σε σχέση με τα πραγματικά αποτελέσματα είτε σε σχέση με την όποια μεταβολή των προσδοκιών μας.</w:t>
      </w:r>
    </w:p>
    <w:p>
      <w:pPr>
        <w:pStyle w:val="ListParagraph"/>
        <w:spacing w:before="0" w:after="120"/>
        <w:ind w:left="0" w:hanging="0"/>
        <w:contextualSpacing/>
        <w:jc w:val="both"/>
        <w:rPr>
          <w:rFonts w:ascii="Effra Corp" w:hAnsi="Effra Corp" w:cs="Arial"/>
          <w:sz w:val="16"/>
          <w:szCs w:val="16"/>
          <w:highlight w:val="yellow"/>
          <w:lang w:val="el-GR"/>
        </w:rPr>
      </w:pPr>
      <w:r>
        <w:rPr>
          <w:rFonts w:cs="Arial" w:ascii="Effra Corp" w:hAnsi="Effra Corp"/>
          <w:sz w:val="16"/>
          <w:szCs w:val="16"/>
          <w:highlight w:val="yellow"/>
          <w:lang w:val="el-GR"/>
        </w:rPr>
      </w:r>
    </w:p>
    <w:p>
      <w:pPr>
        <w:pStyle w:val="BodyText3"/>
        <w:shd w:val="clear" w:color="auto" w:fill="BFBFBF" w:themeFill="background1" w:themeFillShade="bf"/>
        <w:spacing w:before="0" w:after="120"/>
        <w:ind w:right="-37" w:hanging="0"/>
        <w:rPr>
          <w:rFonts w:ascii="Effra Corp" w:hAnsi="Effra Corp" w:cs="Arial"/>
          <w:b/>
          <w:sz w:val="21"/>
          <w:szCs w:val="21"/>
          <w:lang w:val="el-GR"/>
        </w:rPr>
      </w:pPr>
      <w:r>
        <w:rPr>
          <w:rFonts w:eastAsia="Effra Corp" w:cs="Arial" w:ascii="Effra Corp" w:hAnsi="Effra Corp"/>
          <w:b/>
          <w:spacing w:val="-2"/>
          <w:sz w:val="21"/>
          <w:szCs w:val="21"/>
          <w:lang w:val="el-GR" w:bidi="el-GR"/>
        </w:rPr>
        <w:t xml:space="preserve">Εναλλακτικοί δείκτες μέτρησης απόδοσης («ΕΔΜΑ») </w:t>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t>Ο Όμιλος χρησιμοποιεί συγκεκριμένους εναλλακτικούς δείκτες μέτρησης απόδοσης («ΕΔΜΑ») ως γνώμονα για τη λήψη οικονομικών και επιχειρηματικών αποφάσεων, αποφάσεων προγραμματισμού, καθώς και για λόγους αξιολόγησης και αναφοράς των επιδόσεων του Ομίλου. Μέσω των ΕΔΜΑ παρέχεται πρόσθετη πληροφόρηση και σχηματίζεται σαφέστερη εικόνα για τα λειτουργικά και οικονομικά αποτελέσματα, την οικονομική κατάσταση και τις ταμειακές ροές του Ομίλου. Οι ΕΔΜΑ πρέπει να εξετάζονται σε σχέση με και όχι κατ’ αποκλεισμό των αντίστοιχων στοιχείων που παρουσιάζονται σύμφωνα με τα Διεθνή Πρότυπα Χρηματοοικονομικής Αναφοράς.</w:t>
      </w:r>
      <w:bookmarkStart w:id="4" w:name="DOC_TBL00044_1_1"/>
      <w:bookmarkEnd w:id="4"/>
      <w:r>
        <w:rPr>
          <w:rFonts w:eastAsia="Effra Corp" w:cs="Arial" w:ascii="Effra Corp" w:hAnsi="Effra Corp"/>
          <w:spacing w:val="-2"/>
          <w:sz w:val="21"/>
          <w:szCs w:val="21"/>
          <w:lang w:val="el-GR" w:bidi="el-GR"/>
        </w:rPr>
        <w:t xml:space="preserve"> Για περισσότερες πληροφορίες σχετικά με τους ΕΔΜΑ, ανατρέξτε στην ενότητα «Ορισμοί και συμφωνίες Εναλλακτικών δεικτών μέτρησης απόδοσης («ΕΔΜΑ»)».</w:t>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r>
    </w:p>
    <w:p>
      <w:pPr>
        <w:pStyle w:val="BodyText3"/>
        <w:shd w:val="clear" w:color="auto" w:fill="BFBFBF"/>
        <w:spacing w:before="0" w:after="120"/>
        <w:ind w:right="-37" w:hanging="0"/>
        <w:rPr>
          <w:rFonts w:ascii="Effra Corp" w:hAnsi="Effra Corp" w:cs="Arial"/>
          <w:spacing w:val="-2"/>
          <w:sz w:val="21"/>
          <w:szCs w:val="21"/>
          <w:lang w:val="el-GR"/>
        </w:rPr>
      </w:pPr>
      <w:r>
        <w:rPr>
          <w:rFonts w:cs="Arial" w:ascii="Effra Corp" w:hAnsi="Effra Corp"/>
          <w:b/>
          <w:sz w:val="21"/>
          <w:szCs w:val="21"/>
          <w:lang w:val="el-GR"/>
        </w:rPr>
        <w:t xml:space="preserve">Ορισμοί και συμφωνίες Εναλλακτικών δεικτών μέτρησης απόδοσης («ΕΔΜΑ») </w:t>
      </w:r>
    </w:p>
    <w:p>
      <w:pPr>
        <w:pStyle w:val="ListParagraph"/>
        <w:numPr>
          <w:ilvl w:val="0"/>
          <w:numId w:val="2"/>
        </w:numPr>
        <w:spacing w:before="0" w:after="120"/>
        <w:ind w:left="360" w:hanging="360"/>
        <w:contextualSpacing/>
        <w:rPr>
          <w:rFonts w:ascii="Effra Corp" w:hAnsi="Effra Corp" w:cs="Arial"/>
          <w:b/>
          <w:color w:val="000000"/>
          <w:sz w:val="21"/>
          <w:szCs w:val="21"/>
        </w:rPr>
      </w:pPr>
      <w:r>
        <w:rPr>
          <w:rFonts w:cs="Arial" w:ascii="Effra Corp" w:hAnsi="Effra Corp"/>
          <w:b/>
          <w:color w:val="000000"/>
          <w:sz w:val="21"/>
          <w:szCs w:val="21"/>
          <w:lang w:val="el-GR"/>
        </w:rPr>
        <w:t>Σ</w:t>
      </w:r>
      <w:r>
        <w:rPr>
          <w:rFonts w:eastAsia="Effra Corp" w:cs="Effra Corp" w:ascii="Effra Corp" w:hAnsi="Effra Corp"/>
          <w:b/>
          <w:color w:val="000000"/>
          <w:sz w:val="21"/>
          <w:lang w:val="el-GR" w:bidi="el-GR"/>
        </w:rPr>
        <w:t>υγκρίσιμοι ΕΔΜΑ</w:t>
      </w:r>
      <w:r>
        <w:rPr>
          <w:rFonts w:eastAsia="Effra Corp" w:cs="Effra Corp" w:ascii="Effra Corp" w:hAnsi="Effra Corp"/>
          <w:b/>
          <w:color w:val="000000"/>
          <w:sz w:val="21"/>
          <w:vertAlign w:val="superscript"/>
          <w:lang w:val="el-GR" w:bidi="el-GR"/>
        </w:rPr>
        <w:t>1</w:t>
      </w:r>
    </w:p>
    <w:p>
      <w:pPr>
        <w:pStyle w:val="Normal"/>
        <w:spacing w:before="0" w:after="120"/>
        <w:jc w:val="both"/>
        <w:rPr>
          <w:rFonts w:ascii="Effra Corp" w:hAnsi="Effra Corp"/>
          <w:color w:val="000000"/>
          <w:sz w:val="21"/>
          <w:lang w:val="el-GR"/>
        </w:rPr>
      </w:pPr>
      <w:r>
        <w:rPr>
          <w:rFonts w:eastAsia="Effra Corp" w:cs="Effra Corp" w:ascii="Effra Corp" w:hAnsi="Effra Corp"/>
          <w:color w:val="000000"/>
          <w:sz w:val="21"/>
          <w:lang w:val="el-GR" w:bidi="el-GR"/>
        </w:rPr>
        <w:t xml:space="preserve">Κατά τη συζήτηση σχετικά με τις επιδόσεις του Ομίλου, χρησιμοποιούνται «συγκρίσιμα» μεγέθη. Τα συγκρίσιμα μεγέθη υπολογίζονται αφαιρώντας από τα στοιχεία που παρουσιάζονται, με βάση τα Διεθνή Πρότυπα Χρηματοοικονομικής Αναφοράς, τα έξοδα αναδιάρθρωσης του Ομίλου, την τρέχουσα αποτίμηση των πράξεων αντιστάθμισης του κινδύνου των πρώτων υλών, τα έξοδα εξαγοράς και ενσωμάτωσης, τα έξοδα, κέρδη ή ζημίες αποεπένδυσης, την απομείωση υπεραξίας και λοιπών άυλων περιουσιακών στοιχείων με ωφέλιμη ζωή στο διηνεκές, την επίδραση από τη σύγκρουση </w:t>
        <w:br/>
        <w:t>Ρωσίας-Ουκρανίας και ορισμένα άλλα φορολογικά στοιχεία τα οποία, εξαιτίας της φύσης τους, θεωρούνται στοιχεία που επηρεάζουν τη συγκρισιμότητα. Συγκεκριμένα, τα παρακάτω στοιχεία θεωρούνται στοιχεία που επηρεάζουν τη συγκρισιμότητα:</w:t>
      </w:r>
    </w:p>
    <w:p>
      <w:pPr>
        <w:pStyle w:val="ListParagraph"/>
        <w:numPr>
          <w:ilvl w:val="0"/>
          <w:numId w:val="1"/>
        </w:numPr>
        <w:jc w:val="both"/>
        <w:rPr>
          <w:rFonts w:ascii="Effra Corp" w:hAnsi="Effra Corp"/>
          <w:i/>
          <w:i/>
          <w:color w:val="000000"/>
          <w:sz w:val="21"/>
        </w:rPr>
      </w:pPr>
      <w:r>
        <w:rPr>
          <w:rFonts w:eastAsia="Effra Corp" w:cs="Effra Corp" w:ascii="Effra Corp" w:hAnsi="Effra Corp"/>
          <w:i/>
          <w:color w:val="000000"/>
          <w:sz w:val="21"/>
          <w:lang w:val="el-GR" w:bidi="el-GR"/>
        </w:rPr>
        <w:t>Έξοδα αναδιάρθρωσης</w:t>
      </w:r>
    </w:p>
    <w:p>
      <w:pPr>
        <w:pStyle w:val="ListParagraph"/>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t>Τα έξοδα αναδιάρθρωσης αποτελούνται από έξοδα που προκύπτουν από σημαντικές αλλαγές στον τρόπο με τον οποίο ο Όμιλος ασκεί την επιχειρηματική του δραστηριότητα, όπως σημαντικές αλλαγές στις υποδομές της εφοδιαστικής αλυσίδας, εξωτερική ανάθεση δραστηριοτήτων και κεντρικοποίηση διαδικασιών. Τα εν λόγω έξοδα συμπεριλαμβάνονται στη γραμμή της Κατάστασης αποτελεσμάτων «Λειτουργικά έξοδα» και εξαιρούνται από τα συγκρίσιμα αποτελέσματα προκειμένου οι χρήστες να κατανοήσουν καλύτερα τα λειτουργικά και χρηματοοικονομικά αποτελέσματα του Ομίλου από την υποκείμενη δραστηριότητά του. Τα έξοδα αναδιάρθρωσης που προέκυψαν από πρωτοβουλίες που οφείλονταν στη σύγκρουση Ρωσίας-Ουκρανίας, στον βαθμό που πραγματοποιήθηκαν εντός της περιόδου, παρουσιάζονται στη γραμμή «Αντίκτυπος της σύγκρουσης Ρωσίας-Ουκρανίας», προκειμένου να παρασχεθεί στους χρήστες ολοκληρωμένη πληροφόρηση σχετικά με τις χρηματοοικονομικές επιπτώσεις της σύγκρουσης.</w:t>
      </w:r>
    </w:p>
    <w:p>
      <w:pPr>
        <w:pStyle w:val="ListParagraph"/>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ListParagraph"/>
        <w:numPr>
          <w:ilvl w:val="0"/>
          <w:numId w:val="1"/>
        </w:numPr>
        <w:jc w:val="both"/>
        <w:rPr>
          <w:rFonts w:ascii="Effra Corp" w:hAnsi="Effra Corp"/>
          <w:i/>
          <w:i/>
          <w:color w:val="000000"/>
          <w:sz w:val="21"/>
        </w:rPr>
      </w:pPr>
      <w:r>
        <w:rPr>
          <w:rFonts w:eastAsia="Effra Corp" w:cs="Effra Corp" w:ascii="Effra Corp" w:hAnsi="Effra Corp"/>
          <w:i/>
          <w:color w:val="000000"/>
          <w:sz w:val="21"/>
          <w:lang w:val="el-GR" w:bidi="el-GR"/>
        </w:rPr>
        <w:t>Αντιστάθμιση κινδύνου πρώτων υλών</w:t>
      </w:r>
    </w:p>
    <w:p>
      <w:pPr>
        <w:pStyle w:val="Normal"/>
        <w:ind w:left="720" w:hanging="0"/>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t xml:space="preserve">O Όμιλος έχει εισέλθει σε συγκεκριμένες συμφωνίες παραγώγων χρηματοοικονομικών μέσων πρώτων υλών, ώστε να αντισταθμίσει την έκθεσή του σε ενδεχόμενες ανατιμήσεις αυτών. Μολονότι αυτές οι συμφωνίες αποτελούν πράξεις οικονομικής αντιστάθμισης κινδύνου και αναφέρονται κυρίως στην προσπάθεια να περιοριστεί η έκθεση στη μεταβολή της τιμής της ζάχαρης, του αλουμινίου, του </w:t>
      </w:r>
      <w:r>
        <w:rPr>
          <w:rFonts w:eastAsia="Effra Corp" w:cs="Effra Corp" w:ascii="Effra Corp" w:hAnsi="Effra Corp"/>
          <w:color w:val="000000"/>
          <w:sz w:val="21"/>
          <w:lang w:bidi="el-GR"/>
        </w:rPr>
        <w:t>premium</w:t>
      </w:r>
      <w:r>
        <w:rPr>
          <w:rFonts w:eastAsia="Effra Corp" w:cs="Effra Corp" w:ascii="Effra Corp" w:hAnsi="Effra Corp"/>
          <w:color w:val="000000"/>
          <w:sz w:val="21"/>
          <w:lang w:val="el-GR" w:bidi="el-GR"/>
        </w:rPr>
        <w:t xml:space="preserve"> παράδοσης αλουμινίου, του πετρελαίου κίνησης, του καλαμποκιού και των πλαστικών, δεν έχει εφαρμοστεί λογιστική αντιστάθμισης κινδύνου σε όλες τις περιπτώσεις. Επιπλέον, ο Όμιλος αναγνωρίζει ορισμένα παράγωγα που είναι ενσωματωμένα σε συμβάσεις αγοράς πρώτων υλών τα οποία λογίζονται ως ανεξάρτητα παράγωγα χρηματοοικονομικά μέσα και δεν ικανοποιούν τα κριτήρια, προκειμένου να εφαρμοστεί λογιστική αντιστάθμισης κινδύνου. Η εύλογη αξία των κερδών και των ζημιών από την αποτίμηση αυτών των παραγώγων χρηματοοικονομικών μέσων και των ενσωματωμένων παραγώγων αναγνωρίζεται στην κατάσταση αποτελεσμάτων, στις γραμμές του κόστους πωληθέντων και των λειτουργικών εξόδων. Τα κέρδη ή οι ζημίες από τις τρέχουσες πράξεις αντιστάθμισης του κινδύνου των εν λόγω παραγώγων στα οποία δεν έχει εφαρμοστεί λογιστική αντιστάθμισης κινδύνου (κυρίως σε σχέση με τα πλαστικά) και των ενσωματωμένων παραγώγων εξαιρούνται από τα συγκρίσιμα αποτελέσματα του Ομίλου. Αυτά τα κέρδη ή οι ζημίες αποτυπώνονται στα συγκρίσιμα αποτελέσματα της περιόδου κατά την οποία θα πραγματοποιηθούν οι σχετικές υποκείμενες συναλλαγές. Πιστεύουμε ότι αυτή η προσαρμογή παρέχει χρήσιμες πληροφορίες σχετικά με την επίδραση στα αποτελέσματα των δραστηριοτήτων διαχείρισης των οικονομικών κινδύνων του Ομίλου.</w:t>
      </w:r>
    </w:p>
    <w:p>
      <w:pPr>
        <w:pStyle w:val="Normal"/>
        <w:ind w:left="720" w:hanging="0"/>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Normal"/>
        <w:ind w:left="720" w:hanging="0"/>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Normal"/>
        <w:ind w:left="720" w:hanging="0"/>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Normal"/>
        <w:ind w:left="720" w:hanging="0"/>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ListParagraph"/>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ListParagraph"/>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ListParagraph"/>
        <w:jc w:val="both"/>
        <w:rPr>
          <w:rFonts w:ascii="Effra Corp" w:hAnsi="Effra Corp" w:eastAsia="Effra Corp" w:cs="Effra Corp"/>
          <w:color w:val="000000"/>
          <w:sz w:val="21"/>
          <w:lang w:val="el-GR" w:bidi="el-GR"/>
        </w:rPr>
      </w:pPr>
      <w:r>
        <w:rPr>
          <w:rFonts w:eastAsia="Effra Corp" w:cs="Effra Corp" w:ascii="Effra Corp" w:hAnsi="Effra Corp"/>
          <w:color w:val="000000"/>
          <w:sz w:val="21"/>
          <w:lang w:val="el-GR" w:bidi="el-GR"/>
        </w:rPr>
      </w:r>
    </w:p>
    <w:p>
      <w:pPr>
        <w:pStyle w:val="Normal"/>
        <w:jc w:val="both"/>
        <w:rPr>
          <w:rFonts w:ascii="Effra Corp" w:hAnsi="Effra Corp" w:eastAsia="Effra Corp" w:cs="Effra Corp"/>
          <w:b/>
          <w:sz w:val="21"/>
          <w:lang w:val="el-GR" w:bidi="el-GR"/>
        </w:rPr>
      </w:pPr>
      <w:r>
        <w:rPr>
          <w:rFonts w:cs="Arial" w:ascii="Effra Corp" w:hAnsi="Effra Corp"/>
          <w:i/>
          <w:spacing w:val="-2"/>
          <w:sz w:val="14"/>
          <w:szCs w:val="14"/>
          <w:vertAlign w:val="superscript"/>
          <w:lang w:val="el-GR"/>
        </w:rPr>
        <w:t>1</w:t>
      </w:r>
      <w:r>
        <w:rPr>
          <w:rFonts w:eastAsia="Effra Corp" w:cs="Effra Corp" w:ascii="Effra Corp" w:hAnsi="Effra Corp"/>
          <w:i/>
          <w:spacing w:val="-2"/>
          <w:sz w:val="14"/>
          <w:lang w:val="el-GR" w:bidi="el-GR"/>
        </w:rPr>
        <w:t>Τα συγκρίσιμα εναλλακτικά μεγέθη μέτρησης απόδοσης αφορούν το συγκρίσιμο κόστος πωληθέντων, το συγκρίσιμο μεικτό κέρδος, τα συγκρίσιμα λειτουργικά έξοδα, τα συγκρίσιμα λειτουργικά κέρδη, το περιθώριο των συγκρίσιμων λειτουργικών κερδών, το συγκρίσιμο προσαρμοσμένο EBITDA, το συγκρίσιμο μερίδιο στα αποτελέσματα μη ενσωματωμένων συμμετοχών λογιστικοποιημένων με τη μέθοδο της καθαρής θέσης, τα συγκρίσιμα κέρδη προ φόρων, τον συγκρίσιμο φόρο, τα συγκρίσιμα καθαρά κέρδη και τα συγκρίσιμα βασικά κέρδη ανά μετοχή.</w:t>
      </w:r>
      <w:r>
        <w:br w:type="page"/>
      </w:r>
    </w:p>
    <w:p>
      <w:pPr>
        <w:pStyle w:val="BodyText3"/>
        <w:shd w:val="clear" w:color="auto" w:fill="BFBFBF"/>
        <w:spacing w:before="0" w:after="120"/>
        <w:rPr>
          <w:rFonts w:ascii="Effra Corp" w:hAnsi="Effra Corp"/>
          <w:b/>
          <w:sz w:val="21"/>
          <w:lang w:val="el-GR"/>
        </w:rPr>
      </w:pPr>
      <w:r>
        <w:rPr>
          <w:rFonts w:eastAsia="Effra Corp" w:cs="Effra Corp" w:ascii="Effra Corp" w:hAnsi="Effra Corp"/>
          <w:b/>
          <w:sz w:val="21"/>
          <w:lang w:val="el-GR" w:bidi="el-GR"/>
        </w:rPr>
        <w:t xml:space="preserve">Ορισμοί και συμφωνίες Εναλλακτικών δεικτών μέτρησης απόδοσης </w:t>
      </w:r>
      <w:r>
        <w:rPr>
          <w:rFonts w:eastAsia="Effra Corp" w:ascii="Effra Corp" w:hAnsi="Effra Corp"/>
          <w:b/>
          <w:spacing w:val="-2"/>
          <w:sz w:val="21"/>
          <w:lang w:val="el-GR"/>
        </w:rPr>
        <w:t>(«ΕΔΜΑ»)</w:t>
      </w:r>
      <w:r>
        <w:rPr>
          <w:rFonts w:eastAsia="Effra Corp" w:cs="Effra Corp" w:ascii="Effra Corp" w:hAnsi="Effra Corp"/>
          <w:b/>
          <w:sz w:val="21"/>
          <w:lang w:val="el-GR" w:bidi="el-GR"/>
        </w:rPr>
        <w:t xml:space="preserve"> (συνέχεια)</w:t>
      </w:r>
    </w:p>
    <w:p>
      <w:pPr>
        <w:pStyle w:val="ListParagraph"/>
        <w:numPr>
          <w:ilvl w:val="0"/>
          <w:numId w:val="19"/>
        </w:numPr>
        <w:spacing w:before="0" w:after="120"/>
        <w:ind w:left="425" w:hanging="425"/>
        <w:contextualSpacing/>
        <w:rPr>
          <w:rFonts w:ascii="Effra Corp" w:hAnsi="Effra Corp" w:cs="Arial"/>
          <w:b/>
          <w:color w:val="000000"/>
          <w:sz w:val="21"/>
          <w:szCs w:val="21"/>
        </w:rPr>
      </w:pPr>
      <w:r>
        <w:rPr>
          <w:rFonts w:cs="Arial" w:ascii="Effra Corp" w:hAnsi="Effra Corp"/>
          <w:b/>
          <w:color w:val="000000"/>
          <w:sz w:val="21"/>
          <w:szCs w:val="21"/>
          <w:lang w:val="el-GR"/>
        </w:rPr>
        <w:t>Σ</w:t>
      </w:r>
      <w:r>
        <w:rPr>
          <w:rFonts w:eastAsia="Effra Corp" w:cs="Effra Corp" w:ascii="Effra Corp" w:hAnsi="Effra Corp"/>
          <w:b/>
          <w:color w:val="000000"/>
          <w:sz w:val="21"/>
          <w:lang w:val="el-GR" w:bidi="el-GR"/>
        </w:rPr>
        <w:t>υγκρίσιμοι ΕΔΜΑ</w:t>
      </w:r>
      <w:r>
        <w:rPr>
          <w:rFonts w:eastAsia="Effra Corp" w:cs="Effra Corp" w:ascii="Effra Corp" w:hAnsi="Effra Corp"/>
          <w:b/>
          <w:color w:val="000000"/>
          <w:sz w:val="21"/>
          <w:vertAlign w:val="superscript"/>
          <w:lang w:val="el-GR" w:bidi="el-GR"/>
        </w:rPr>
        <w:t xml:space="preserve"> </w:t>
      </w:r>
      <w:r>
        <w:rPr>
          <w:rFonts w:cs="Arial" w:ascii="Effra Corp" w:hAnsi="Effra Corp"/>
          <w:b/>
          <w:color w:val="000000"/>
          <w:sz w:val="21"/>
          <w:szCs w:val="21"/>
          <w:lang w:val="el-GR"/>
        </w:rPr>
        <w:t>(συνέχεια)</w:t>
      </w:r>
    </w:p>
    <w:p>
      <w:pPr>
        <w:pStyle w:val="ListParagraph"/>
        <w:spacing w:before="0" w:after="120"/>
        <w:ind w:left="425" w:hanging="0"/>
        <w:contextualSpacing/>
        <w:rPr>
          <w:rFonts w:ascii="Effra Corp" w:hAnsi="Effra Corp" w:cs="Arial"/>
          <w:bCs/>
          <w:color w:val="000000"/>
          <w:sz w:val="12"/>
          <w:szCs w:val="12"/>
        </w:rPr>
      </w:pPr>
      <w:r>
        <w:rPr>
          <w:rFonts w:cs="Arial" w:ascii="Effra Corp" w:hAnsi="Effra Corp"/>
          <w:bCs/>
          <w:color w:val="000000"/>
          <w:sz w:val="12"/>
          <w:szCs w:val="12"/>
        </w:rPr>
      </w:r>
    </w:p>
    <w:p>
      <w:pPr>
        <w:pStyle w:val="ListParagraph"/>
        <w:numPr>
          <w:ilvl w:val="0"/>
          <w:numId w:val="11"/>
        </w:numPr>
        <w:spacing w:before="120" w:after="0"/>
        <w:ind w:left="714" w:hanging="357"/>
        <w:contextualSpacing/>
        <w:jc w:val="both"/>
        <w:rPr>
          <w:rFonts w:ascii="Effra Corp" w:hAnsi="Effra Corp" w:eastAsia="Effra Corp" w:cs="Effra Corp"/>
          <w:i/>
          <w:i/>
          <w:sz w:val="21"/>
          <w:lang w:val="el-GR" w:bidi="el-GR"/>
        </w:rPr>
      </w:pPr>
      <w:r>
        <w:rPr>
          <w:rFonts w:eastAsia="Effra Corp" w:cs="Effra Corp" w:ascii="Effra Corp" w:hAnsi="Effra Corp"/>
          <w:i/>
          <w:sz w:val="21"/>
          <w:lang w:val="el-GR" w:bidi="el-GR"/>
        </w:rPr>
        <w:t>Έξοδα εξαγοράς και ενσωμάτωσης</w:t>
      </w:r>
    </w:p>
    <w:p>
      <w:pPr>
        <w:pStyle w:val="ListParagraph"/>
        <w:jc w:val="both"/>
        <w:rPr>
          <w:rFonts w:ascii="Effra Corp" w:hAnsi="Effra Corp" w:eastAsia="Effra Corp" w:cs="Effra Corp"/>
          <w:sz w:val="21"/>
          <w:szCs w:val="21"/>
          <w:lang w:val="el-GR" w:bidi="el-GR"/>
        </w:rPr>
      </w:pPr>
      <w:r>
        <w:rPr>
          <w:rFonts w:eastAsia="Effra Corp" w:cs="Effra Corp" w:ascii="Effra Corp" w:hAnsi="Effra Corp"/>
          <w:sz w:val="21"/>
          <w:szCs w:val="21"/>
          <w:lang w:val="el-GR" w:bidi="el-GR"/>
        </w:rPr>
        <w:t xml:space="preserve">Τα έξοδα εξαγοράς περιλαμβάνουν το κόστος υλοποίησης μιας συνένωσης επιχειρήσεων, όπως αμοιβές διαμεσολαβητών, συμβούλων, δικηγόρων, λογιστών, εκτιμητών και λοιπές επαγγελματικές αμοιβές, καθώς επίσης και τις μεταβολές στην εύλογη αξία τυχόν ενδεχόμενου τιμήματος, οι οποίες αναγνωρίζονται στην κατάσταση αποτελεσμάτων. Επιπλέον, περιλαμβάνουν οποιοδήποτε κέρδος από αγορά ευκαιρίας που προκύπτει από συνενώσεις επιχειρήσεων, καθώς και, στις περιπτώσεις συνενώσεων επιχειρήσεων που πραγματοποιούνται σε στάδια, οποιοδήποτε κέρδος ή ζημία που αναγνωρίζεται στην κατάσταση αποτελεσμάτων από την αποτίμηση στην εύλογη αξία συμμετοχών που κατείχε προηγουμένως ο Όμιλος και από την αναταξινόμηση στην κατάσταση αποτελεσμάτων στοιχείων των λοιπών συνολικών εσόδων. Τα έξοδα ενσωμάτωσης περιλαμβάνουν τα άμεσα και επιπρόσθετα έξοδα τα οποία είναι απαραίτητα </w:t>
      </w:r>
      <w:r>
        <w:rPr>
          <w:rFonts w:eastAsia="Effra Corp" w:cs="Effra Corp" w:ascii="Effra Corp" w:hAnsi="Effra Corp"/>
          <w:color w:val="000000" w:themeColor="text1"/>
          <w:sz w:val="21"/>
          <w:szCs w:val="21"/>
          <w:lang w:val="el-GR"/>
        </w:rPr>
        <w:t>προκειμένου η αποκτώμενη επιχείρηση να διεξάγει την επιχειρηματική της δραστηριότητα στα πλαίσια του Ομίλου</w:t>
      </w:r>
      <w:r>
        <w:rPr>
          <w:rFonts w:eastAsia="Effra Corp" w:cs="Effra Corp" w:ascii="Effra Corp" w:hAnsi="Effra Corp"/>
          <w:sz w:val="21"/>
          <w:szCs w:val="21"/>
          <w:lang w:val="el-GR" w:bidi="el-GR"/>
        </w:rPr>
        <w:t>. Τα εν λόγω κόστη περιλαμβάνονται στη γραμμή της κατάστασης αποτελεσμάτων «Λειτουργικά έξοδα». Ωστόσο, στον βαθμό που σχετίζονται με συνενώσεις επιχειρήσεων οι οποίες έχουν ολοκληρωθεί ή αναμένεται να ολοκληρωθούν, εξαιρούνται από τα συγκρίσιμα αποτελέσματα, ώστε οι χρήστες να μπορούν να αποκτήσουν καλύτερη κατανόηση της λειτουργικής και χρηματοοικονομικής επίδοσης του Ομίλου που προκύπτει από την υποκείμενη δραστηριότητά του.</w:t>
      </w:r>
    </w:p>
    <w:p>
      <w:pPr>
        <w:pStyle w:val="ListParagraph"/>
        <w:jc w:val="both"/>
        <w:rPr>
          <w:rFonts w:ascii="Effra Corp" w:hAnsi="Effra Corp" w:eastAsia="Effra Corp" w:cs="Effra Corp"/>
          <w:sz w:val="12"/>
          <w:szCs w:val="12"/>
          <w:lang w:val="el-GR" w:bidi="el-GR"/>
        </w:rPr>
      </w:pPr>
      <w:r>
        <w:rPr>
          <w:rFonts w:eastAsia="Effra Corp" w:cs="Effra Corp" w:ascii="Effra Corp" w:hAnsi="Effra Corp"/>
          <w:sz w:val="12"/>
          <w:szCs w:val="12"/>
          <w:lang w:val="el-GR" w:bidi="el-GR"/>
        </w:rPr>
      </w:r>
    </w:p>
    <w:p>
      <w:pPr>
        <w:pStyle w:val="ListParagraph"/>
        <w:numPr>
          <w:ilvl w:val="0"/>
          <w:numId w:val="11"/>
        </w:numPr>
        <w:jc w:val="both"/>
        <w:rPr>
          <w:rFonts w:ascii="Effra Corp" w:hAnsi="Effra Corp" w:eastAsia="Effra Corp" w:cs="Effra Corp"/>
          <w:sz w:val="21"/>
          <w:szCs w:val="21"/>
          <w:lang w:val="el-GR"/>
        </w:rPr>
      </w:pPr>
      <w:r>
        <w:rPr>
          <w:rFonts w:eastAsia="Effra Corp" w:cs="Effra Corp" w:ascii="Effra Corp" w:hAnsi="Effra Corp"/>
          <w:i/>
          <w:sz w:val="21"/>
          <w:lang w:val="el-GR" w:bidi="el-GR"/>
        </w:rPr>
        <w:t>Έξοδα, κέρδη ή ζημίες αποεπένδυσης</w:t>
      </w:r>
    </w:p>
    <w:p>
      <w:pPr>
        <w:pStyle w:val="ListParagraph"/>
        <w:jc w:val="both"/>
        <w:rPr>
          <w:rFonts w:ascii="Effra Corp" w:hAnsi="Effra Corp" w:eastAsia="Effra Corp" w:cs="Effra Corp"/>
          <w:sz w:val="21"/>
          <w:szCs w:val="21"/>
          <w:lang w:val="el-GR"/>
        </w:rPr>
      </w:pPr>
      <w:r>
        <w:rPr>
          <w:rFonts w:eastAsia="Effra Corp" w:cs="Effra Corp" w:ascii="Effra Corp" w:hAnsi="Effra Corp"/>
          <w:sz w:val="21"/>
          <w:szCs w:val="21"/>
          <w:lang w:val="el-GR"/>
        </w:rPr>
        <w:t xml:space="preserve">Τα έξοδα, κέρδη ή ζημίες που σχετίζονται με αποεπενδύσεις περιλαμβάνουν τα έξοδα υλοποίησης αυτών των συναλλαγών, όπως αμοιβές συμβούλων και λοιπές επαγγελματικές αμοιβές για τη διάθεση μιας θυγατρικής ή συμμετοχής λογιστικοποιημένης με τη μέθοδο της καθαρής θέσης, τις τυχόν ζημίες απομείωσης ή αναγνώρισης στη μειωμένη κατά τα έξοδα πώλησης εύλογη αξία, που αναγνωρίζονται στην κατάσταση αποτελεσμάτων κατά την ταξινόμηση μιας θυγατρικής ή συμμετοχής λογιστικοποιημένης με τη μέθοδο της καθαρής θέσης ως επιχείρησης κατεχόμενης προς πώληση, καθώς και οποιαδήποτε κέρδη ή ζημίες από τη διάθεση ή σχετικές αναστροφές ζημιών απομείωσης που αναγνωρίζονται στην κατάσταση αποτελεσμάτων κατά την ολοκλήρωση της διάθεσης. Με ισχύ από το 2026, ο Όμιλος τροποποίησε τον ορισμό αυτό ώστε να περιλαμβάνει και τα πρόσθετα κόστη που προκύπτουν από την εκκαθάριση ή τη σταδιακή παύση δραστηριότητας θυγατρικών ή κοινά ελεγχόμενων επιχειρηματικών οντοτήτων, ως αποτέλεσμα ενεργειών αναδιοργάνωσης του Ομίλου ή μεταβολών στον τρόπο διεξαγωγής των επιχειρηματικών δραστηριοτήτων του, εξαιρουμένων των σχετικών δαπανών που προκύπτουν στο πλαίσιο πρωτοβουλιών αναδιάρθρωσης και παρουσιάζονται ως έξοδα αναδιάρθρωσης. Στα εν λόγω κόστη περιλαμβάνονται: νομικές και λοιπές επαγγελματικές αμοιβές που σχετίζονται με την εκκαθάριση ή τη σταδιακή παύση δραστηριότητας, ζημίες απομείωσης και κέρδη ή ζημίες από τη διάθεση ενσώματων παγίων στοιχείων, παροχές στο προσωπικό σε σχέση με τη λήξη της εργασιακής απασχόλησης που προκύπτουν από την εκκαθάριση ή τη σταδιακή παύση δραστηριότητας, προβλέψεις για εκτελεστέες συμβάσεις που καθίστανται επαχθείς λόγω της εκκαθάρισης ή της σταδιακής παύσης δραστηριότητας, κέρδη ή ζημίες που αναγνωρίζονται στην κατάσταση αποτελεσμάτων από την αναταξινόμηση στοιχείων των λοιπών συνολικών εσόδων κατά την εκκαθάριση καθώς και ζημίες από τη διαγραφή επενδύσεων που λογιστικοποιούνται με τη μέθοδο της καθαρής θέσης. Τα εν λόγω έξοδα, κέρδη ή ζημίες περιλαμβάνονται στη γραμμή της κατάστασης αποτελεσμάτων «Λειτουργικά έξοδα». Ωστόσο, στον βαθμό που αφορούν αποεπενδύσεις που έχουν ολοκληρωθεί ή αναμένεται να ολοκληρωθούν, εξαιρούνται από τα συγκρίσιμα αποτελέσματα προκειμένου οι χρήστες να κατανοήσουν καλύτερα τα λειτουργικά και χρηματοοικονομικά αποτελέσματα του Ομίλου από την υποκείμενη δραστηριότητά του. Η εν λόγω τροποποίηση δεν επιφέρει καμία επίπτωση στην συγκριτική περίοδο, καθώς δεν προέκυψαν αντίστοιχα κόστη κατά την περίοδο αυτή. Επιπλέον, στα έξοδα, κέρδη ή ζημίες αποεπενδύσεων περιλαμβάνεται και το μερίδιο του Ομίλου σε τυχόν ζημίες ή κέρδη που αναγνωρίζονται από επένδυση που λογιστικοποιείται με τη μέθοδο της καθαρής θέσης και προκύπτουν άμεσα από τη διάθεση, την εκκαθάριση ή τη σταδιακή παύση δραστηριότητας μιας επιχείρησης από την ίδια την επενδυόμενη εταιρεία ή τον ευρύτερο όμιλό της, εφόσον τα ποσά αυτά δεν αντικατοπτρίζουν τη λειτουργική επίδοση της επένδυσης. Τα ποσά αυτά ενδέχεται να περιλαμβάνουν, μεταξύ άλλων, ζημίες ή κέρδη </w:t>
      </w:r>
    </w:p>
    <w:p>
      <w:pPr>
        <w:pStyle w:val="ListParagraph"/>
        <w:jc w:val="both"/>
        <w:rPr>
          <w:rFonts w:ascii="Effra Corp" w:hAnsi="Effra Corp" w:eastAsia="Effra Corp" w:cs="Effra Corp"/>
          <w:sz w:val="21"/>
          <w:szCs w:val="21"/>
          <w:lang w:val="el-GR"/>
        </w:rPr>
      </w:pPr>
      <w:r>
        <w:rPr>
          <w:rFonts w:eastAsia="Effra Corp" w:cs="Effra Corp" w:ascii="Effra Corp" w:hAnsi="Effra Corp"/>
          <w:sz w:val="21"/>
          <w:szCs w:val="21"/>
          <w:lang w:val="el-GR"/>
        </w:rPr>
      </w:r>
    </w:p>
    <w:p>
      <w:pPr>
        <w:pStyle w:val="BodyText3"/>
        <w:shd w:val="clear" w:color="auto" w:fill="BFBFBF"/>
        <w:spacing w:before="0" w:after="120"/>
        <w:rPr>
          <w:rFonts w:ascii="Effra Corp" w:hAnsi="Effra Corp" w:eastAsia="Effra Corp" w:cs="Effra Corp"/>
          <w:b/>
          <w:sz w:val="21"/>
          <w:lang w:val="el-GR" w:bidi="el-GR"/>
        </w:rPr>
      </w:pPr>
      <w:r>
        <w:rPr>
          <w:rFonts w:eastAsia="Effra Corp" w:cs="Effra Corp" w:ascii="Effra Corp" w:hAnsi="Effra Corp"/>
          <w:b/>
          <w:sz w:val="21"/>
          <w:lang w:val="el-GR" w:bidi="el-GR"/>
        </w:rPr>
        <w:t>Ορισμοί και συμφωνίες Εναλλακτικών δεικτών μέτρησης απόδοσης («ΕΔΜΑ») (συνέχεια)</w:t>
      </w:r>
    </w:p>
    <w:p>
      <w:pPr>
        <w:pStyle w:val="ListParagraph"/>
        <w:numPr>
          <w:ilvl w:val="0"/>
          <w:numId w:val="20"/>
        </w:numPr>
        <w:spacing w:before="0" w:after="120"/>
        <w:ind w:left="426" w:hanging="426"/>
        <w:contextualSpacing/>
        <w:rPr>
          <w:rFonts w:ascii="Effra Corp" w:hAnsi="Effra Corp" w:cs="Arial"/>
          <w:b/>
          <w:color w:val="000000"/>
          <w:sz w:val="21"/>
          <w:szCs w:val="21"/>
        </w:rPr>
      </w:pPr>
      <w:r>
        <w:rPr>
          <w:rFonts w:cs="Arial" w:ascii="Effra Corp" w:hAnsi="Effra Corp"/>
          <w:b/>
          <w:color w:val="000000"/>
          <w:sz w:val="21"/>
          <w:szCs w:val="21"/>
          <w:lang w:val="el-GR"/>
        </w:rPr>
        <w:t>Σ</w:t>
      </w:r>
      <w:r>
        <w:rPr>
          <w:rFonts w:eastAsia="Effra Corp" w:cs="Effra Corp" w:ascii="Effra Corp" w:hAnsi="Effra Corp"/>
          <w:b/>
          <w:color w:val="000000"/>
          <w:sz w:val="21"/>
          <w:lang w:val="el-GR" w:bidi="el-GR"/>
        </w:rPr>
        <w:t>υγκρίσιμοι ΕΔΜΑ</w:t>
      </w:r>
      <w:r>
        <w:rPr>
          <w:rFonts w:eastAsia="Effra Corp" w:cs="Effra Corp" w:ascii="Effra Corp" w:hAnsi="Effra Corp"/>
          <w:b/>
          <w:color w:val="000000"/>
          <w:sz w:val="21"/>
          <w:vertAlign w:val="superscript"/>
          <w:lang w:val="el-GR" w:bidi="el-GR"/>
        </w:rPr>
        <w:t xml:space="preserve"> </w:t>
      </w:r>
      <w:r>
        <w:rPr>
          <w:rFonts w:cs="Arial" w:ascii="Effra Corp" w:hAnsi="Effra Corp"/>
          <w:b/>
          <w:color w:val="000000"/>
          <w:sz w:val="21"/>
          <w:szCs w:val="21"/>
          <w:lang w:val="el-GR"/>
        </w:rPr>
        <w:t>(συνέχεια)</w:t>
      </w:r>
    </w:p>
    <w:p>
      <w:pPr>
        <w:pStyle w:val="ListParagraph"/>
        <w:spacing w:before="0" w:after="120"/>
        <w:ind w:left="426" w:hanging="0"/>
        <w:contextualSpacing/>
        <w:rPr>
          <w:rFonts w:ascii="Effra Corp" w:hAnsi="Effra Corp" w:cs="Arial"/>
          <w:bCs/>
          <w:color w:val="000000"/>
          <w:sz w:val="12"/>
          <w:szCs w:val="12"/>
        </w:rPr>
      </w:pPr>
      <w:r>
        <w:rPr>
          <w:rFonts w:cs="Arial" w:ascii="Effra Corp" w:hAnsi="Effra Corp"/>
          <w:bCs/>
          <w:color w:val="000000"/>
          <w:sz w:val="12"/>
          <w:szCs w:val="12"/>
        </w:rPr>
      </w:r>
    </w:p>
    <w:p>
      <w:pPr>
        <w:pStyle w:val="ListParagraph"/>
        <w:numPr>
          <w:ilvl w:val="0"/>
          <w:numId w:val="12"/>
        </w:numPr>
        <w:jc w:val="both"/>
        <w:rPr>
          <w:rFonts w:ascii="Effra Corp" w:hAnsi="Effra Corp" w:eastAsia="Effra Corp" w:cs="Effra Corp"/>
          <w:sz w:val="21"/>
          <w:szCs w:val="21"/>
          <w:lang w:val="el-GR"/>
        </w:rPr>
      </w:pPr>
      <w:r>
        <w:rPr>
          <w:rFonts w:eastAsia="Effra Corp" w:cs="Effra Corp" w:ascii="Effra Corp" w:hAnsi="Effra Corp"/>
          <w:i/>
          <w:sz w:val="21"/>
          <w:lang w:val="el-GR" w:bidi="el-GR"/>
        </w:rPr>
        <w:t>Έξοδα, κέρδη ή ζημίες αποεπένδυσης (συνέχεια)</w:t>
      </w:r>
    </w:p>
    <w:p>
      <w:pPr>
        <w:pStyle w:val="ListParagraph"/>
        <w:jc w:val="both"/>
        <w:rPr>
          <w:rFonts w:ascii="Effra Corp" w:hAnsi="Effra Corp" w:eastAsia="Effra Corp" w:cs="Effra Corp"/>
          <w:sz w:val="21"/>
          <w:szCs w:val="21"/>
          <w:lang w:val="el-GR"/>
        </w:rPr>
      </w:pPr>
      <w:r>
        <w:rPr>
          <w:rFonts w:eastAsia="Effra Corp" w:cs="Effra Corp" w:ascii="Effra Corp" w:hAnsi="Effra Corp"/>
          <w:sz w:val="21"/>
          <w:szCs w:val="21"/>
          <w:lang w:val="el-GR"/>
        </w:rPr>
        <w:t>που προκύπτουν από παραίτηση, διαγραφή ή διακανονισμό δανείων, εγγυήσεων ή άλλων ενδοομιλικών ή διεταιρικών ρυθμίσεων που πραγματοποιήθηκαν για την υλοποίηση ή τη διευκόλυνση μιας αποεπένδυσης, εκκαθάρισης ή σταδιακής παύσης δραστηριότητας. Το μερίδιο του Ομίλου σε οποιαδήποτε τέτοια ζημία αναγνωρίζεται, μέχρι του ύψους της λογιστικής αξία της επένδυσης, στη γραμμή της κατάστασης αποτελεσμάτων «Μερίδιο στα αποτελέσματα μη ενσωματωμένων συμμετοχών λογιστικοποιημένων με τη μέθοδο της καθαρής θέσης» ή «Μερίδιο στα αποτελέσματα ενσωματωμένων συμμετοχών λογιστικοποιημένων με τη μέθοδο της καθαρής θέσης». Η επίδραση στο μερίδιο του Ομίλου επί των αποτελεσμάτων από επενδύσεις που λογιστικοποιούνται με τη μέθοδο της καθαρής θέσης, η οποία προκύπτει από τέτοιες συναλλαγές, προσαρμόζεται στα συγκρίσιμα αποτελέσματα του Ομίλου, ώστε οι χρήστες να αποκτήσουν καλύτερη κατανόηση της λειτουργικής και χρηματοοικονομικής επίδοσης του Ομίλου που προκύπτει από την υποκείμενη δραστηριότητά του. Δεν προέκυψε τέτοια προσαρμογή κατά τη συγκριτική περίοδο.</w:t>
      </w:r>
    </w:p>
    <w:p>
      <w:pPr>
        <w:pStyle w:val="ListParagraph"/>
        <w:jc w:val="both"/>
        <w:rPr>
          <w:rFonts w:ascii="Effra Corp" w:hAnsi="Effra Corp" w:cs="Arial"/>
          <w:sz w:val="12"/>
          <w:szCs w:val="12"/>
          <w:lang w:val="el-GR"/>
        </w:rPr>
      </w:pPr>
      <w:r>
        <w:rPr>
          <w:rFonts w:cs="Arial" w:ascii="Effra Corp" w:hAnsi="Effra Corp"/>
          <w:sz w:val="12"/>
          <w:szCs w:val="12"/>
          <w:lang w:val="el-GR"/>
        </w:rPr>
      </w:r>
    </w:p>
    <w:p>
      <w:pPr>
        <w:pStyle w:val="ListParagraph"/>
        <w:numPr>
          <w:ilvl w:val="0"/>
          <w:numId w:val="12"/>
        </w:numPr>
        <w:jc w:val="both"/>
        <w:rPr>
          <w:rFonts w:ascii="Effra Corp" w:hAnsi="Effra Corp"/>
          <w:i/>
          <w:i/>
          <w:sz w:val="21"/>
          <w:lang w:val="el-GR"/>
        </w:rPr>
      </w:pPr>
      <w:r>
        <w:rPr>
          <w:rFonts w:eastAsia="Effra Corp" w:cs="Effra Corp" w:ascii="Effra Corp" w:hAnsi="Effra Corp"/>
          <w:i/>
          <w:sz w:val="21"/>
          <w:lang w:val="el-GR" w:bidi="el-GR"/>
        </w:rPr>
        <w:t>Απομείωση υπεραξίας και λοιπών άυλων περιουσιακών στοιχείων με ωφέλιμη ζωή στο διηνεκές</w:t>
      </w:r>
    </w:p>
    <w:p>
      <w:pPr>
        <w:pStyle w:val="ListParagraph"/>
        <w:jc w:val="both"/>
        <w:rPr>
          <w:rFonts w:ascii="Effra Corp" w:hAnsi="Effra Corp" w:eastAsia="Effra Corp" w:cs="Effra Corp"/>
          <w:sz w:val="21"/>
          <w:szCs w:val="21"/>
          <w:lang w:val="el-GR"/>
        </w:rPr>
      </w:pPr>
      <w:r>
        <w:rPr>
          <w:rFonts w:eastAsia="Effra Corp" w:cs="Arial" w:ascii="Effra Corp" w:hAnsi="Effra Corp"/>
          <w:sz w:val="21"/>
          <w:szCs w:val="21"/>
          <w:lang w:val="el-GR" w:bidi="el-GR"/>
        </w:rPr>
        <w:t xml:space="preserve">Οι ζημίες απομείωσης υπεραξίας και λοιπών άυλων περιουσιακών στοιχείων με ωφέλιμη ζωή στο διηνεκές, καθώς και τυχόν αντιλογισμοί ζημιών απομείωσης λοιπών άυλων περιουσιακών στοιχείων με ωφέλιμη ζωή στο διηνεκές, περιλαμβάνονται στη γραμμή της κατάστασης αποτελεσμάτων «Λειτουργικά έξοδα». Ωστόσο, </w:t>
      </w:r>
      <w:r>
        <w:rPr>
          <w:rFonts w:eastAsia="Effra Corp" w:cs="Effra Corp" w:ascii="Effra Corp" w:hAnsi="Effra Corp"/>
          <w:sz w:val="21"/>
          <w:szCs w:val="21"/>
          <w:lang w:val="el-GR"/>
        </w:rPr>
        <w:t>εξαιρούνται από τα συγκρίσιμα αποτελέσματα προκειμένου οι χρήστες να κατανοήσουν καλύτερα τα λειτουργικά και χρηματοοικονομικά αποτελέσματα από τις συνεχιζόμενες δραστηριότητες του Ομίλου.</w:t>
      </w:r>
    </w:p>
    <w:p>
      <w:pPr>
        <w:pStyle w:val="ListParagraph"/>
        <w:jc w:val="both"/>
        <w:rPr>
          <w:rFonts w:ascii="Effra Corp" w:hAnsi="Effra Corp" w:cs="Arial"/>
          <w:sz w:val="12"/>
          <w:szCs w:val="12"/>
          <w:lang w:val="el-GR"/>
        </w:rPr>
      </w:pPr>
      <w:r>
        <w:rPr>
          <w:rFonts w:cs="Arial" w:ascii="Effra Corp" w:hAnsi="Effra Corp"/>
          <w:sz w:val="12"/>
          <w:szCs w:val="12"/>
          <w:lang w:val="el-GR"/>
        </w:rPr>
      </w:r>
    </w:p>
    <w:p>
      <w:pPr>
        <w:pStyle w:val="ListParagraph"/>
        <w:numPr>
          <w:ilvl w:val="0"/>
          <w:numId w:val="12"/>
        </w:numPr>
        <w:jc w:val="both"/>
        <w:rPr>
          <w:rFonts w:ascii="Effra Corp" w:hAnsi="Effra Corp"/>
          <w:i/>
          <w:i/>
          <w:sz w:val="21"/>
          <w:lang w:val="el-GR"/>
        </w:rPr>
      </w:pPr>
      <w:r>
        <w:rPr>
          <w:rFonts w:eastAsia="Effra Corp" w:cs="Effra Corp" w:ascii="Effra Corp" w:hAnsi="Effra Corp"/>
          <w:i/>
          <w:sz w:val="21"/>
          <w:lang w:val="el-GR" w:bidi="el-GR"/>
        </w:rPr>
        <w:t>Αντίκτυπος της σύγκρουσης μεταξύ Ρωσίας και Ουκρανίας</w:t>
      </w:r>
    </w:p>
    <w:p>
      <w:pPr>
        <w:pStyle w:val="ListParagraph"/>
        <w:jc w:val="both"/>
        <w:rPr>
          <w:rFonts w:ascii="Effra Corp" w:hAnsi="Effra Corp" w:eastAsia="Effra Corp" w:cs="Arial"/>
          <w:sz w:val="21"/>
          <w:szCs w:val="21"/>
          <w:lang w:val="el-GR" w:bidi="el-GR"/>
        </w:rPr>
      </w:pPr>
      <w:r>
        <w:rPr>
          <w:rFonts w:eastAsia="Effra Corp" w:cs="Arial" w:ascii="Effra Corp" w:hAnsi="Effra Corp"/>
          <w:sz w:val="21"/>
          <w:szCs w:val="21"/>
          <w:lang w:val="el-GR" w:bidi="el-GR"/>
        </w:rPr>
        <w:t>Οι πρόσθετες ζημίες που αποδίδονται άμεσα στη σύγκρουση Ρωσίας</w:t>
        <w:noBreakHyphen/>
        <w:t>Ουκρανίας εξαιρούνται από τα συγκρίσιμα αποτελέσματα, προκειμένου οι χρήστες να έχουν καλύτερη κατανόηση της λειτουργικής και χρηματοοικονομικής επίδοσης του Ομίλου από την υποκείμενη δραστηριότητά του. Οι εν λόγω ζημίες περιλαμβάνουν, κατά περίπτωση και εφόσον προκύπτουν στην περίοδο, καθαρές απομειώσεις ενσώματων παγίων στοιχείων, άυλων περιουσιακών στοιχείων και επενδύσεων λογιστικοποιημένων με τη μέθοδο της καθαρής θέσης, καθώς και τυχόν πρόσθετες προβλέψεις αναμενόμενων πιστωτικών ζημιών και διαγραφές αποθεμάτων και ενσώματων παγίων στοιχείων. Με ισχύ από το 2026, ο Όμιλος τροποποίησε τον ορισμό αυτό ώστε να εξαιρούνται επίσης από τα συγκρίσιμα αποτελέσματα τα πρόσθετα έξοδα μεταφοράς που συνδέονται με την εισαγωγή προϊόντων στην ουκρανική αγορά και αποδίδονται άμεσα στη σύγκρουση, καθώς και τα πρόσθετα έξοδα αποκατάστασης. Η τροποποίηση αυτή ευθυγραμμίζει καλύτερα τα συγκρίσιμα αποτελέσματα με τη λειτουργική και χρηματοοικονομική επίδοση του Ομίλου από τις συνεχιζόμενες δραστηριότητές του. Η εν λόγω τροποποίηση δεν επιφέρει καμία επίπτωση στη συγκριτική περιόδο, καθώς δεν πραγματοποιήθηκαν τέτοιου είδους δαπάνες στην περίοδο αυτή.</w:t>
      </w:r>
    </w:p>
    <w:p>
      <w:pPr>
        <w:pStyle w:val="ListParagraph"/>
        <w:jc w:val="both"/>
        <w:rPr>
          <w:rFonts w:ascii="Effra Corp" w:hAnsi="Effra Corp" w:cs="Arial"/>
          <w:sz w:val="12"/>
          <w:szCs w:val="12"/>
          <w:lang w:val="el-GR"/>
        </w:rPr>
      </w:pPr>
      <w:r>
        <w:rPr>
          <w:rFonts w:cs="Arial" w:ascii="Effra Corp" w:hAnsi="Effra Corp"/>
          <w:sz w:val="12"/>
          <w:szCs w:val="12"/>
          <w:lang w:val="el-GR"/>
        </w:rPr>
      </w:r>
    </w:p>
    <w:p>
      <w:pPr>
        <w:pStyle w:val="ListParagraph"/>
        <w:numPr>
          <w:ilvl w:val="0"/>
          <w:numId w:val="12"/>
        </w:numPr>
        <w:jc w:val="both"/>
        <w:rPr>
          <w:rFonts w:ascii="Effra Corp" w:hAnsi="Effra Corp"/>
          <w:i/>
          <w:i/>
          <w:sz w:val="21"/>
        </w:rPr>
      </w:pPr>
      <w:r>
        <w:rPr>
          <w:rFonts w:eastAsia="Effra Corp" w:cs="Effra Corp" w:ascii="Effra Corp" w:hAnsi="Effra Corp"/>
          <w:i/>
          <w:sz w:val="21"/>
          <w:lang w:val="el-GR" w:bidi="el-GR"/>
        </w:rPr>
        <w:t>Λοιπά φορολογικά στοιχεία</w:t>
      </w:r>
    </w:p>
    <w:p>
      <w:pPr>
        <w:pStyle w:val="Normal"/>
        <w:spacing w:before="0" w:after="120"/>
        <w:ind w:left="720" w:hanging="0"/>
        <w:jc w:val="both"/>
        <w:rPr>
          <w:rFonts w:ascii="Effra Corp" w:hAnsi="Effra Corp" w:cs="Arial"/>
          <w:sz w:val="21"/>
          <w:szCs w:val="21"/>
          <w:lang w:val="el-GR"/>
        </w:rPr>
      </w:pPr>
      <w:r>
        <w:rPr>
          <w:rFonts w:eastAsia="Effra Corp" w:cs="Arial" w:ascii="Effra Corp" w:hAnsi="Effra Corp"/>
          <w:sz w:val="21"/>
          <w:szCs w:val="21"/>
          <w:lang w:val="el-GR" w:bidi="el-GR"/>
        </w:rPr>
        <w:t>Τα λοιπά φορολογικά στοιχεία εκφράζουν τη φορολογική επίδραση (α) των αλλαγών στους συντελεστές φόρου εισοδήματος που προκύπτουν κατά τη διάρκεια της περιόδου και που επηρεάζουν το αρχικό υπόλοιπο των αναβαλλόμενων φόρων και (β) ορισμένων θεμάτων που αφορούν τη φορολογία και έχουν επιλεχθεί με βάση τη φύση τους. Και τα δύο στοιχεία (α) και (β) εξαιρούνται από τα συγκρίσιμα αποτελέσματα μετά φόρων προκειμένου οι χρήστες να κατανοήσουν καλύτερα τη χρηματοοικονομική επίδοση του Ομίλου από τις συνεχιζόμενες δραστηριότητές του.</w:t>
      </w:r>
    </w:p>
    <w:p>
      <w:pPr>
        <w:pStyle w:val="Normal"/>
        <w:jc w:val="both"/>
        <w:rPr>
          <w:rFonts w:ascii="Effra Corp" w:hAnsi="Effra Corp" w:eastAsia="Effra Corp" w:cs="Effra Corp"/>
          <w:b/>
          <w:sz w:val="21"/>
          <w:lang w:val="el-GR" w:bidi="el-GR"/>
        </w:rPr>
      </w:pPr>
      <w:r>
        <w:rPr>
          <w:rFonts w:eastAsia="Effra Corp" w:cs="Effra Corp" w:ascii="Effra Corp" w:hAnsi="Effra Corp"/>
          <w:sz w:val="21"/>
          <w:lang w:val="el-GR" w:bidi="el-GR"/>
        </w:rPr>
        <w:t xml:space="preserve">Ο Όμιλος παρουσιάζει τους συγκρίσιμους ΕΔΜΑ για να επιτρέψει στους αναγνώστες να επικεντρωθούν στις επιδόσεις του Ομίλου </w:t>
      </w:r>
      <w:r>
        <w:rPr>
          <w:rFonts w:eastAsia="Effra Corp" w:cs="Effra Corp" w:ascii="Effra Corp" w:hAnsi="Effra Corp"/>
          <w:spacing w:val="-2"/>
          <w:sz w:val="21"/>
          <w:lang w:val="el-GR" w:bidi="el-GR"/>
        </w:rPr>
        <w:t xml:space="preserve">σε μια βάση που είναι κοινή και για τις δύο περιόδους </w:t>
      </w:r>
      <w:r>
        <w:rPr>
          <w:rFonts w:eastAsia="Effra Corp" w:cs="Effra Corp" w:ascii="Effra Corp" w:hAnsi="Effra Corp"/>
          <w:sz w:val="21"/>
          <w:lang w:val="el-GR" w:bidi="el-GR"/>
        </w:rPr>
        <w:t>για τις οποίες παρουσιάζονται τα μεγέθη.</w:t>
      </w:r>
      <w:r>
        <w:br w:type="page"/>
      </w:r>
    </w:p>
    <w:p>
      <w:pPr>
        <w:pStyle w:val="BodyText3"/>
        <w:shd w:val="clear" w:color="auto" w:fill="BFBFBF"/>
        <w:spacing w:before="0" w:after="120"/>
        <w:ind w:hanging="180"/>
        <w:rPr>
          <w:rFonts w:ascii="Effra Corp" w:hAnsi="Effra Corp" w:eastAsia="Effra Corp" w:cs="Effra Corp"/>
          <w:b/>
          <w:sz w:val="21"/>
          <w:lang w:val="el-GR" w:bidi="el-GR"/>
        </w:rPr>
      </w:pPr>
      <w:r>
        <w:rPr>
          <w:rFonts w:eastAsia="Effra Corp" w:cs="Effra Corp" w:ascii="Effra Corp" w:hAnsi="Effra Corp"/>
          <w:b/>
          <w:sz w:val="21"/>
          <w:lang w:val="el-GR" w:bidi="el-GR"/>
        </w:rPr>
        <w:t>Ορισμοί και συμφωνίες Εναλλακτικών δεικτών μέτρησης απόδοσης («ΕΔΜΑ») (συνέχεια)</w:t>
      </w:r>
    </w:p>
    <w:p>
      <w:pPr>
        <w:pStyle w:val="ListParagraph"/>
        <w:numPr>
          <w:ilvl w:val="0"/>
          <w:numId w:val="21"/>
        </w:numPr>
        <w:spacing w:before="0" w:after="120"/>
        <w:ind w:left="284" w:hanging="426"/>
        <w:contextualSpacing/>
        <w:rPr>
          <w:rFonts w:ascii="Effra Corp" w:hAnsi="Effra Corp" w:cs="Arial"/>
          <w:b/>
          <w:color w:val="000000"/>
          <w:sz w:val="21"/>
          <w:szCs w:val="21"/>
        </w:rPr>
      </w:pPr>
      <w:r>
        <w:rPr>
          <w:rFonts w:cs="Arial" w:ascii="Effra Corp" w:hAnsi="Effra Corp"/>
          <w:b/>
          <w:color w:val="000000"/>
          <w:sz w:val="21"/>
          <w:szCs w:val="21"/>
          <w:lang w:val="el-GR"/>
        </w:rPr>
        <w:t>Σ</w:t>
      </w:r>
      <w:r>
        <w:rPr>
          <w:rFonts w:eastAsia="Effra Corp" w:cs="Effra Corp" w:ascii="Effra Corp" w:hAnsi="Effra Corp"/>
          <w:b/>
          <w:color w:val="000000"/>
          <w:sz w:val="21"/>
          <w:lang w:val="el-GR" w:bidi="el-GR"/>
        </w:rPr>
        <w:t>υγκρίσιμοι ΕΔΜΑ</w:t>
      </w:r>
      <w:r>
        <w:rPr>
          <w:rFonts w:eastAsia="Effra Corp" w:cs="Effra Corp" w:ascii="Effra Corp" w:hAnsi="Effra Corp"/>
          <w:b/>
          <w:color w:val="000000"/>
          <w:sz w:val="21"/>
          <w:vertAlign w:val="superscript"/>
          <w:lang w:val="el-GR" w:bidi="el-GR"/>
        </w:rPr>
        <w:t xml:space="preserve"> </w:t>
      </w:r>
      <w:r>
        <w:rPr>
          <w:rFonts w:cs="Arial" w:ascii="Effra Corp" w:hAnsi="Effra Corp"/>
          <w:b/>
          <w:color w:val="000000"/>
          <w:sz w:val="21"/>
          <w:szCs w:val="21"/>
          <w:lang w:val="el-GR"/>
        </w:rPr>
        <w:t>(συνέχεια)</w:t>
      </w:r>
    </w:p>
    <w:p>
      <w:pPr>
        <w:pStyle w:val="Normal"/>
        <w:ind w:left="-180" w:hanging="0"/>
        <w:jc w:val="both"/>
        <w:rPr>
          <w:rFonts w:ascii="Effra Corp" w:hAnsi="Effra Corp" w:eastAsia="Effra Corp" w:cs="Effra Corp"/>
          <w:spacing w:val="-2"/>
          <w:sz w:val="21"/>
          <w:lang w:val="el-GR" w:bidi="el-GR"/>
        </w:rPr>
      </w:pPr>
      <w:r>
        <w:rPr>
          <w:rFonts w:eastAsia="Effra Corp" w:cs="Effra Corp" w:ascii="Effra Corp" w:hAnsi="Effra Corp"/>
          <w:spacing w:val="-2"/>
          <w:sz w:val="21"/>
          <w:lang w:val="el-GR" w:bidi="el-GR"/>
        </w:rPr>
        <w:t>Η συμφωνία των συγκρίσιμων μεγεθών με τα ευθέως σχετιζόμενα μεγέθη, που υπολογίζονται σύμφωνα με τα Διεθνή Πρότυπα Χρηματοοικονομικής Αναφοράς, έχει ως εξής:</w:t>
      </w:r>
    </w:p>
    <w:p>
      <w:pPr>
        <w:pStyle w:val="Normal"/>
        <w:ind w:left="-180" w:hanging="0"/>
        <w:jc w:val="both"/>
        <w:rPr>
          <w:rFonts w:ascii="Effra Corp" w:hAnsi="Effra Corp" w:eastAsia="Effra Corp" w:cs="Effra Corp"/>
          <w:spacing w:val="-2"/>
          <w:sz w:val="21"/>
          <w:lang w:val="el-GR" w:bidi="el-GR"/>
        </w:rPr>
      </w:pPr>
      <w:r>
        <w:rPr>
          <w:rFonts w:eastAsia="Effra Corp" w:cs="Effra Corp" w:ascii="Effra Corp" w:hAnsi="Effra Corp"/>
          <w:spacing w:val="-2"/>
          <w:sz w:val="21"/>
          <w:lang w:val="el-GR" w:bidi="el-GR"/>
        </w:rPr>
      </w:r>
    </w:p>
    <w:p>
      <w:pPr>
        <w:pStyle w:val="BodyText3"/>
        <w:ind w:hanging="181"/>
        <w:rPr>
          <w:rFonts w:ascii="Effra Corp" w:hAnsi="Effra Corp" w:eastAsia="Effra Corp" w:cs="Effra Corp"/>
          <w:b/>
          <w:sz w:val="21"/>
          <w:lang w:val="el-GR" w:bidi="el-GR"/>
        </w:rPr>
      </w:pPr>
      <w:r>
        <w:rPr>
          <w:rFonts w:eastAsia="Effra Corp" w:cs="Effra Corp" w:ascii="Effra Corp" w:hAnsi="Effra Corp"/>
          <w:b/>
          <w:sz w:val="21"/>
          <w:lang w:val="el-GR" w:bidi="el-GR"/>
        </w:rPr>
        <w:t>Συμφωνία συγκρίσιμων οικονομικών μεγεθών (ποσά σε €εκατ.  εκτός από τα στοιχεία ανά μετοχή)</w:t>
      </w:r>
    </w:p>
    <w:p>
      <w:pPr>
        <w:pStyle w:val="Normal"/>
        <w:jc w:val="both"/>
        <w:rPr>
          <w:rFonts w:ascii="Effra Corp" w:hAnsi="Effra Corp" w:cs="Arial"/>
          <w:spacing w:val="-2"/>
          <w:sz w:val="16"/>
          <w:szCs w:val="16"/>
          <w:lang w:val="el-GR"/>
        </w:rPr>
      </w:pPr>
      <w:r>
        <w:rPr>
          <w:rFonts w:cs="Arial" w:ascii="Effra Corp" w:hAnsi="Effra Corp"/>
          <w:spacing w:val="-2"/>
          <w:sz w:val="16"/>
          <w:szCs w:val="16"/>
          <w:lang w:val="el-GR"/>
        </w:rPr>
      </w:r>
    </w:p>
    <w:tbl>
      <w:tblPr>
        <w:tblW w:w="10207" w:type="dxa"/>
        <w:jc w:val="left"/>
        <w:tblInd w:w="-284" w:type="dxa"/>
        <w:tblLayout w:type="fixed"/>
        <w:tblCellMar>
          <w:top w:w="0" w:type="dxa"/>
          <w:left w:w="60" w:type="dxa"/>
          <w:bottom w:w="0" w:type="dxa"/>
          <w:right w:w="60" w:type="dxa"/>
        </w:tblCellMar>
        <w:tblLook w:firstRow="1" w:noVBand="1" w:lastRow="0" w:firstColumn="1" w:lastColumn="0" w:noHBand="0" w:val="04a0"/>
      </w:tblPr>
      <w:tblGrid>
        <w:gridCol w:w="1842"/>
        <w:gridCol w:w="849"/>
        <w:gridCol w:w="710"/>
        <w:gridCol w:w="852"/>
        <w:gridCol w:w="850"/>
        <w:gridCol w:w="849"/>
        <w:gridCol w:w="1561"/>
        <w:gridCol w:w="566"/>
        <w:gridCol w:w="709"/>
        <w:gridCol w:w="708"/>
        <w:gridCol w:w="709"/>
      </w:tblGrid>
      <w:tr>
        <w:trPr>
          <w:trHeight w:val="229" w:hRule="exact"/>
        </w:trPr>
        <w:tc>
          <w:tcPr>
            <w:tcW w:w="1842" w:type="dxa"/>
            <w:tcBorders/>
            <w:vAlign w:val="bottom"/>
          </w:tcPr>
          <w:p>
            <w:pPr>
              <w:pStyle w:val="DMETW2940BIPCOMPARABLE"/>
              <w:widowControl w:val="false"/>
              <w:rPr>
                <w:color w:val="auto"/>
                <w:sz w:val="17"/>
                <w:szCs w:val="17"/>
                <w:lang w:val="el-GR"/>
              </w:rPr>
            </w:pPr>
            <w:r>
              <w:rPr>
                <w:color w:val="auto"/>
                <w:sz w:val="17"/>
                <w:szCs w:val="17"/>
                <w:lang w:val="el-GR"/>
              </w:rPr>
            </w:r>
          </w:p>
        </w:tc>
        <w:tc>
          <w:tcPr>
            <w:tcW w:w="8363" w:type="dxa"/>
            <w:gridSpan w:val="10"/>
            <w:tcBorders/>
            <w:shd w:color="auto" w:fill="BFBFBF" w:val="clear"/>
            <w:vAlign w:val="bottom"/>
          </w:tcPr>
          <w:p>
            <w:pPr>
              <w:pStyle w:val="DMETW2940BIPCOMPARABLE"/>
              <w:widowControl w:val="false"/>
              <w:ind w:right="-108" w:hanging="0"/>
              <w:jc w:val="center"/>
              <w:rPr>
                <w:b/>
                <w:color w:val="auto"/>
                <w:sz w:val="14"/>
                <w:szCs w:val="14"/>
              </w:rPr>
            </w:pPr>
            <w:r>
              <w:rPr>
                <w:b/>
                <w:color w:val="auto"/>
                <w:sz w:val="16"/>
                <w:szCs w:val="16"/>
                <w:lang w:val="el-GR"/>
              </w:rPr>
              <w:t>Α’ Εξάμηνο</w:t>
            </w:r>
            <w:r>
              <w:rPr>
                <w:b/>
                <w:color w:val="auto"/>
                <w:sz w:val="16"/>
                <w:szCs w:val="16"/>
              </w:rPr>
              <w:t xml:space="preserve"> 202</w:t>
            </w:r>
            <w:r>
              <w:rPr>
                <w:b/>
                <w:color w:val="auto"/>
                <w:sz w:val="16"/>
                <w:szCs w:val="16"/>
                <w:lang w:val="el-GR"/>
              </w:rPr>
              <w:t>6</w:t>
            </w:r>
          </w:p>
        </w:tc>
      </w:tr>
      <w:tr>
        <w:trPr>
          <w:trHeight w:val="1268" w:hRule="exact"/>
        </w:trPr>
        <w:tc>
          <w:tcPr>
            <w:tcW w:w="1842" w:type="dxa"/>
            <w:tcBorders/>
            <w:vAlign w:val="bottom"/>
          </w:tcPr>
          <w:p>
            <w:pPr>
              <w:pStyle w:val="DMETW2940BIPCOMPARABLE"/>
              <w:widowControl w:val="false"/>
              <w:rPr>
                <w:color w:val="auto"/>
                <w:sz w:val="17"/>
                <w:szCs w:val="17"/>
              </w:rPr>
            </w:pPr>
            <w:r>
              <w:rPr>
                <w:color w:val="auto"/>
                <w:sz w:val="17"/>
                <w:szCs w:val="17"/>
              </w:rPr>
            </w:r>
          </w:p>
        </w:tc>
        <w:tc>
          <w:tcPr>
            <w:tcW w:w="849" w:type="dxa"/>
            <w:tcBorders/>
            <w:shd w:color="auto" w:fill="BFBFBF" w:val="clear"/>
            <w:vAlign w:val="bottom"/>
          </w:tcPr>
          <w:p>
            <w:pPr>
              <w:pStyle w:val="DMETW2940BIPCOMPARABLE"/>
              <w:widowControl w:val="false"/>
              <w:ind w:left="-55" w:hanging="0"/>
              <w:jc w:val="right"/>
              <w:rPr>
                <w:b/>
                <w:color w:val="auto"/>
                <w:sz w:val="14"/>
                <w:szCs w:val="14"/>
              </w:rPr>
            </w:pPr>
            <w:r>
              <w:rPr>
                <w:b/>
                <w:color w:val="auto"/>
                <w:sz w:val="14"/>
                <w:szCs w:val="14"/>
              </w:rPr>
              <w:t>Κόστος πωληθέ</w:t>
            </w:r>
            <w:r>
              <w:rPr>
                <w:b/>
                <w:color w:val="auto"/>
                <w:sz w:val="14"/>
                <w:szCs w:val="14"/>
                <w:lang w:val="el-GR"/>
              </w:rPr>
              <w:t>-ν</w:t>
            </w:r>
            <w:r>
              <w:rPr>
                <w:b/>
                <w:color w:val="auto"/>
                <w:sz w:val="14"/>
                <w:szCs w:val="14"/>
              </w:rPr>
              <w:t>των</w:t>
            </w:r>
          </w:p>
        </w:tc>
        <w:tc>
          <w:tcPr>
            <w:tcW w:w="710" w:type="dxa"/>
            <w:tcBorders/>
            <w:shd w:color="auto" w:fill="BFBFBF" w:val="clear"/>
            <w:vAlign w:val="bottom"/>
          </w:tcPr>
          <w:p>
            <w:pPr>
              <w:pStyle w:val="DMETW2940BIPCOMPARABLE"/>
              <w:widowControl w:val="false"/>
              <w:ind w:left="-38" w:hanging="25"/>
              <w:jc w:val="right"/>
              <w:rPr>
                <w:b/>
                <w:color w:val="auto"/>
                <w:sz w:val="14"/>
                <w:szCs w:val="14"/>
              </w:rPr>
            </w:pPr>
            <w:r>
              <w:rPr>
                <w:b/>
                <w:color w:val="auto"/>
                <w:sz w:val="14"/>
                <w:szCs w:val="14"/>
              </w:rPr>
              <w:t>Μικτά κέρδη</w:t>
            </w:r>
          </w:p>
        </w:tc>
        <w:tc>
          <w:tcPr>
            <w:tcW w:w="852"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Λειτουργι-κά έξοδα</w:t>
            </w:r>
          </w:p>
        </w:tc>
        <w:tc>
          <w:tcPr>
            <w:tcW w:w="850" w:type="dxa"/>
            <w:tcBorders/>
            <w:shd w:color="auto" w:fill="BFBFBF" w:val="clear"/>
            <w:vAlign w:val="bottom"/>
          </w:tcPr>
          <w:p>
            <w:pPr>
              <w:pStyle w:val="DMETW2940BIPCOMPARABLE"/>
              <w:widowControl w:val="false"/>
              <w:ind w:left="-63" w:firstLine="63"/>
              <w:jc w:val="right"/>
              <w:rPr>
                <w:b/>
                <w:color w:val="auto"/>
                <w:sz w:val="14"/>
                <w:szCs w:val="14"/>
              </w:rPr>
            </w:pPr>
            <w:r>
              <w:rPr>
                <w:b/>
                <w:color w:val="auto"/>
                <w:sz w:val="14"/>
                <w:szCs w:val="14"/>
              </w:rPr>
              <w:t>Λειτουρ</w:t>
            </w:r>
            <w:r>
              <w:rPr>
                <w:b/>
                <w:color w:val="auto"/>
                <w:sz w:val="14"/>
                <w:szCs w:val="14"/>
                <w:lang w:val="el-GR"/>
              </w:rPr>
              <w:t>γι-</w:t>
              <w:br/>
            </w:r>
            <w:r>
              <w:rPr>
                <w:b/>
                <w:color w:val="auto"/>
                <w:sz w:val="14"/>
                <w:szCs w:val="14"/>
              </w:rPr>
              <w:t>κά κέρδη (EBIT)</w:t>
            </w:r>
          </w:p>
        </w:tc>
        <w:tc>
          <w:tcPr>
            <w:tcW w:w="849" w:type="dxa"/>
            <w:tcBorders/>
            <w:shd w:color="auto" w:fill="BFBFBF" w:val="clear"/>
            <w:tcMar>
              <w:left w:w="108" w:type="dxa"/>
              <w:right w:w="108" w:type="dxa"/>
            </w:tcMar>
            <w:vAlign w:val="bottom"/>
          </w:tcPr>
          <w:p>
            <w:pPr>
              <w:pStyle w:val="DMETW2940BIPCOMPARABLE"/>
              <w:widowControl w:val="false"/>
              <w:ind w:right="-104" w:hanging="0"/>
              <w:jc w:val="right"/>
              <w:rPr>
                <w:b/>
                <w:color w:val="auto"/>
                <w:sz w:val="14"/>
                <w:szCs w:val="14"/>
                <w:lang w:val="el-GR"/>
              </w:rPr>
            </w:pPr>
            <w:r>
              <w:rPr>
                <w:b/>
                <w:color w:val="auto"/>
                <w:sz w:val="14"/>
                <w:szCs w:val="14"/>
              </w:rPr>
              <w:t>Προσαρμο-σμένο EBITDA</w:t>
            </w:r>
          </w:p>
        </w:tc>
        <w:tc>
          <w:tcPr>
            <w:tcW w:w="1561" w:type="dxa"/>
            <w:tcBorders/>
            <w:shd w:color="auto" w:fill="BFBFBF" w:val="clear"/>
            <w:tcMar>
              <w:left w:w="108" w:type="dxa"/>
              <w:right w:w="108" w:type="dxa"/>
            </w:tcMar>
            <w:vAlign w:val="bottom"/>
          </w:tcPr>
          <w:p>
            <w:pPr>
              <w:pStyle w:val="DMETW2940BIPCOMPARABLE"/>
              <w:widowControl w:val="false"/>
              <w:jc w:val="right"/>
              <w:rPr>
                <w:b/>
                <w:color w:val="auto"/>
                <w:sz w:val="14"/>
                <w:szCs w:val="14"/>
                <w:lang w:val="el-GR"/>
              </w:rPr>
            </w:pPr>
            <w:r>
              <w:rPr>
                <w:b/>
                <w:color w:val="auto"/>
                <w:sz w:val="14"/>
                <w:szCs w:val="14"/>
                <w:lang w:val="el-GR"/>
              </w:rPr>
              <w:t>Μερίδιο στα αποτελέσματα</w:t>
            </w:r>
          </w:p>
          <w:p>
            <w:pPr>
              <w:pStyle w:val="DMETW2940BIPCOMPARABLE"/>
              <w:widowControl w:val="false"/>
              <w:jc w:val="right"/>
              <w:rPr>
                <w:b/>
                <w:color w:val="auto"/>
                <w:sz w:val="14"/>
                <w:szCs w:val="14"/>
                <w:lang w:val="el-GR"/>
              </w:rPr>
            </w:pPr>
            <w:r>
              <w:rPr>
                <w:b/>
                <w:color w:val="auto"/>
                <w:sz w:val="14"/>
                <w:szCs w:val="14"/>
                <w:lang w:val="el-GR"/>
              </w:rPr>
              <w:t>μη ενσωματωμένων συμμετοχών λογιστικοποιη-μένων με τη μέθοδο της καθαρής θέσης</w:t>
            </w:r>
            <w:r>
              <w:rPr>
                <w:b/>
                <w:color w:val="auto"/>
                <w:sz w:val="14"/>
                <w:szCs w:val="14"/>
                <w:vertAlign w:val="superscript"/>
                <w:lang w:val="el-GR"/>
              </w:rPr>
              <w:t>1</w:t>
            </w:r>
          </w:p>
        </w:tc>
        <w:tc>
          <w:tcPr>
            <w:tcW w:w="566" w:type="dxa"/>
            <w:tcBorders/>
            <w:shd w:color="auto" w:fill="BFBFBF" w:val="clear"/>
            <w:vAlign w:val="bottom"/>
          </w:tcPr>
          <w:p>
            <w:pPr>
              <w:pStyle w:val="DMETW2940BIPCOMPARABLE"/>
              <w:widowControl w:val="false"/>
              <w:jc w:val="right"/>
              <w:rPr>
                <w:b/>
                <w:color w:val="auto"/>
                <w:sz w:val="14"/>
                <w:szCs w:val="14"/>
              </w:rPr>
            </w:pPr>
            <w:r>
              <w:rPr>
                <w:b/>
                <w:color w:val="auto"/>
                <w:sz w:val="14"/>
                <w:szCs w:val="14"/>
                <w:lang w:eastAsia="el-GR" w:bidi="el-GR"/>
              </w:rPr>
              <w:t>Κέρδη προ φόρων</w:t>
            </w:r>
          </w:p>
        </w:tc>
        <w:tc>
          <w:tcPr>
            <w:tcW w:w="709"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Φόροι</w:t>
            </w:r>
          </w:p>
        </w:tc>
        <w:tc>
          <w:tcPr>
            <w:tcW w:w="708"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Καθαρά Κέρδη</w:t>
            </w:r>
            <w:r>
              <w:rPr>
                <w:b/>
                <w:color w:val="auto"/>
                <w:sz w:val="14"/>
                <w:szCs w:val="14"/>
                <w:vertAlign w:val="superscript"/>
              </w:rPr>
              <w:t>2</w:t>
            </w:r>
          </w:p>
        </w:tc>
        <w:tc>
          <w:tcPr>
            <w:tcW w:w="709" w:type="dxa"/>
            <w:tcBorders/>
            <w:shd w:color="auto" w:fill="BFBFBF" w:themeFill="background1" w:themeFillShade="bf" w:val="clear"/>
            <w:tcMar>
              <w:left w:w="108" w:type="dxa"/>
              <w:right w:w="108" w:type="dxa"/>
            </w:tcMar>
            <w:vAlign w:val="bottom"/>
          </w:tcPr>
          <w:p>
            <w:pPr>
              <w:pStyle w:val="DMETW2940BIPCOMPARABLE"/>
              <w:widowControl w:val="false"/>
              <w:ind w:right="-108" w:hanging="0"/>
              <w:jc w:val="right"/>
              <w:rPr>
                <w:b/>
                <w:color w:val="auto"/>
                <w:sz w:val="14"/>
                <w:szCs w:val="14"/>
              </w:rPr>
            </w:pPr>
            <w:r>
              <w:rPr>
                <w:b/>
                <w:color w:val="auto"/>
                <w:sz w:val="14"/>
                <w:szCs w:val="14"/>
              </w:rPr>
              <w:t>Κέρδη ανά μετοχή (€)</w:t>
            </w:r>
          </w:p>
        </w:tc>
      </w:tr>
      <w:tr>
        <w:trPr>
          <w:trHeight w:val="340" w:hRule="atLeast"/>
        </w:trPr>
        <w:tc>
          <w:tcPr>
            <w:tcW w:w="1842" w:type="dxa"/>
            <w:tcBorders/>
            <w:vAlign w:val="bottom"/>
          </w:tcPr>
          <w:p>
            <w:pPr>
              <w:pStyle w:val="DMETW2940BIPCOMPARABLE"/>
              <w:widowControl w:val="false"/>
              <w:rPr>
                <w:b/>
                <w:color w:val="auto"/>
                <w:sz w:val="17"/>
                <w:szCs w:val="17"/>
              </w:rPr>
            </w:pPr>
            <w:r>
              <w:rPr>
                <w:b/>
                <w:color w:val="auto"/>
                <w:sz w:val="16"/>
                <w:szCs w:val="16"/>
              </w:rPr>
              <w:t>Δημοσιευμένα μεγέθη</w:t>
            </w:r>
          </w:p>
        </w:tc>
        <w:tc>
          <w:tcPr>
            <w:tcW w:w="849" w:type="dxa"/>
            <w:tcBorders/>
            <w:vAlign w:val="bottom"/>
          </w:tcPr>
          <w:p>
            <w:pPr>
              <w:pStyle w:val="DMETW2940BIPCOMPARABLE"/>
              <w:widowControl w:val="false"/>
              <w:jc w:val="right"/>
              <w:rPr>
                <w:b/>
                <w:color w:val="auto"/>
                <w:sz w:val="16"/>
                <w:szCs w:val="16"/>
              </w:rPr>
            </w:pPr>
            <w:r>
              <w:rPr>
                <w:b/>
                <w:color w:val="auto"/>
                <w:sz w:val="16"/>
                <w:szCs w:val="16"/>
              </w:rPr>
              <w:t>(3.882,9)</w:t>
            </w:r>
          </w:p>
        </w:tc>
        <w:tc>
          <w:tcPr>
            <w:tcW w:w="710" w:type="dxa"/>
            <w:tcBorders/>
            <w:vAlign w:val="bottom"/>
          </w:tcPr>
          <w:p>
            <w:pPr>
              <w:pStyle w:val="DMETW2940BIPCOMPARABLE"/>
              <w:widowControl w:val="false"/>
              <w:ind w:left="-38" w:hanging="25"/>
              <w:jc w:val="right"/>
              <w:rPr>
                <w:b/>
                <w:color w:val="auto"/>
                <w:sz w:val="16"/>
                <w:szCs w:val="16"/>
              </w:rPr>
            </w:pPr>
            <w:r>
              <w:rPr>
                <w:b/>
                <w:color w:val="auto"/>
                <w:sz w:val="16"/>
                <w:szCs w:val="16"/>
              </w:rPr>
              <w:t>2.346,5</w:t>
            </w:r>
          </w:p>
        </w:tc>
        <w:tc>
          <w:tcPr>
            <w:tcW w:w="852" w:type="dxa"/>
            <w:tcBorders/>
            <w:vAlign w:val="bottom"/>
          </w:tcPr>
          <w:p>
            <w:pPr>
              <w:pStyle w:val="DMETW2940BIPCOMPARABLE"/>
              <w:widowControl w:val="false"/>
              <w:jc w:val="right"/>
              <w:rPr>
                <w:b/>
                <w:color w:val="auto"/>
                <w:sz w:val="16"/>
                <w:szCs w:val="16"/>
              </w:rPr>
            </w:pPr>
            <w:r>
              <w:rPr>
                <w:b/>
                <w:color w:val="auto"/>
                <w:sz w:val="16"/>
                <w:szCs w:val="16"/>
              </w:rPr>
              <w:t>(1.607,6)</w:t>
            </w:r>
          </w:p>
        </w:tc>
        <w:tc>
          <w:tcPr>
            <w:tcW w:w="850" w:type="dxa"/>
            <w:tcBorders/>
            <w:vAlign w:val="bottom"/>
          </w:tcPr>
          <w:p>
            <w:pPr>
              <w:pStyle w:val="DMETW2940BIPCOMPARABLE"/>
              <w:widowControl w:val="false"/>
              <w:ind w:left="-63" w:firstLine="63"/>
              <w:jc w:val="right"/>
              <w:rPr>
                <w:b/>
                <w:color w:val="auto"/>
                <w:sz w:val="16"/>
                <w:szCs w:val="16"/>
              </w:rPr>
            </w:pPr>
            <w:r>
              <w:rPr>
                <w:b/>
                <w:color w:val="auto"/>
                <w:sz w:val="16"/>
                <w:szCs w:val="16"/>
              </w:rPr>
              <w:t>746,9</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lang w:val="el-GR"/>
              </w:rPr>
              <w:t>990,0</w:t>
            </w:r>
          </w:p>
        </w:tc>
        <w:tc>
          <w:tcPr>
            <w:tcW w:w="1561" w:type="dxa"/>
            <w:tcBorders/>
            <w:tcMar>
              <w:left w:w="108" w:type="dxa"/>
              <w:right w:w="108" w:type="dxa"/>
            </w:tcMar>
            <w:vAlign w:val="bottom"/>
          </w:tcPr>
          <w:p>
            <w:pPr>
              <w:pStyle w:val="DMETW2940BIPCOMPARABLE"/>
              <w:widowControl w:val="false"/>
              <w:jc w:val="center"/>
              <w:rPr>
                <w:b/>
                <w:color w:val="auto"/>
                <w:sz w:val="16"/>
                <w:szCs w:val="16"/>
                <w:lang w:val="el-GR"/>
              </w:rPr>
            </w:pPr>
            <w:r>
              <w:rPr>
                <w:b/>
                <w:color w:val="auto"/>
                <w:sz w:val="16"/>
                <w:szCs w:val="16"/>
                <w:lang w:val="el-GR"/>
              </w:rPr>
              <w:t>(15,6)</w:t>
            </w:r>
          </w:p>
        </w:tc>
        <w:tc>
          <w:tcPr>
            <w:tcW w:w="566" w:type="dxa"/>
            <w:tcBorders/>
            <w:vAlign w:val="bottom"/>
          </w:tcPr>
          <w:p>
            <w:pPr>
              <w:pStyle w:val="DMETW2940BIPCOMPARABLE"/>
              <w:widowControl w:val="false"/>
              <w:jc w:val="right"/>
              <w:rPr>
                <w:b/>
                <w:color w:val="auto"/>
                <w:sz w:val="16"/>
                <w:szCs w:val="16"/>
              </w:rPr>
            </w:pPr>
            <w:r>
              <w:rPr>
                <w:b/>
                <w:color w:val="auto"/>
                <w:sz w:val="16"/>
                <w:szCs w:val="16"/>
              </w:rPr>
              <w:t>723,3</w:t>
            </w:r>
          </w:p>
        </w:tc>
        <w:tc>
          <w:tcPr>
            <w:tcW w:w="709" w:type="dxa"/>
            <w:tcBorders/>
            <w:vAlign w:val="bottom"/>
          </w:tcPr>
          <w:p>
            <w:pPr>
              <w:pStyle w:val="DMETW2940BIPCOMPARABLE"/>
              <w:widowControl w:val="false"/>
              <w:jc w:val="right"/>
              <w:rPr>
                <w:b/>
                <w:color w:val="auto"/>
                <w:sz w:val="16"/>
                <w:szCs w:val="16"/>
              </w:rPr>
            </w:pPr>
            <w:r>
              <w:rPr>
                <w:b/>
                <w:color w:val="auto"/>
                <w:sz w:val="16"/>
                <w:szCs w:val="16"/>
              </w:rPr>
              <w:t>(198,9)</w:t>
            </w:r>
          </w:p>
        </w:tc>
        <w:tc>
          <w:tcPr>
            <w:tcW w:w="708" w:type="dxa"/>
            <w:tcBorders/>
            <w:vAlign w:val="bottom"/>
          </w:tcPr>
          <w:p>
            <w:pPr>
              <w:pStyle w:val="DMETW2940BIPCOMPARABLE"/>
              <w:widowControl w:val="false"/>
              <w:jc w:val="right"/>
              <w:rPr>
                <w:b/>
                <w:color w:val="auto"/>
                <w:sz w:val="16"/>
                <w:szCs w:val="16"/>
              </w:rPr>
            </w:pPr>
            <w:r>
              <w:rPr>
                <w:b/>
                <w:color w:val="auto"/>
                <w:sz w:val="16"/>
                <w:szCs w:val="16"/>
              </w:rPr>
              <w:t>524,4</w:t>
            </w:r>
          </w:p>
        </w:tc>
        <w:tc>
          <w:tcPr>
            <w:tcW w:w="709" w:type="dxa"/>
            <w:tcBorders/>
            <w:tcMar>
              <w:left w:w="108" w:type="dxa"/>
              <w:right w:w="108" w:type="dxa"/>
            </w:tcMar>
            <w:vAlign w:val="bottom"/>
          </w:tcPr>
          <w:p>
            <w:pPr>
              <w:pStyle w:val="DMETW2940BIPCOMPARABLE"/>
              <w:widowControl w:val="false"/>
              <w:ind w:left="-280" w:right="-108" w:firstLine="279"/>
              <w:jc w:val="right"/>
              <w:rPr>
                <w:b/>
                <w:color w:val="auto"/>
                <w:sz w:val="16"/>
                <w:szCs w:val="16"/>
              </w:rPr>
            </w:pPr>
            <w:r>
              <w:rPr>
                <w:b/>
                <w:color w:val="auto"/>
                <w:sz w:val="16"/>
                <w:szCs w:val="16"/>
              </w:rPr>
              <w:t>1,441</w:t>
            </w:r>
          </w:p>
        </w:tc>
      </w:tr>
      <w:tr>
        <w:trPr>
          <w:trHeight w:val="283" w:hRule="atLeast"/>
        </w:trPr>
        <w:tc>
          <w:tcPr>
            <w:tcW w:w="1842" w:type="dxa"/>
            <w:tcBorders/>
            <w:vAlign w:val="bottom"/>
          </w:tcPr>
          <w:p>
            <w:pPr>
              <w:pStyle w:val="DMETW2940BIPCOMPARABLE"/>
              <w:widowControl w:val="false"/>
              <w:rPr>
                <w:color w:val="auto"/>
                <w:sz w:val="17"/>
                <w:szCs w:val="17"/>
              </w:rPr>
            </w:pPr>
            <w:r>
              <w:rPr>
                <w:color w:val="auto"/>
                <w:sz w:val="16"/>
                <w:szCs w:val="16"/>
              </w:rPr>
              <w:t>Έξοδα αναδιάρθρωσης</w:t>
            </w:r>
          </w:p>
        </w:tc>
        <w:tc>
          <w:tcPr>
            <w:tcW w:w="849" w:type="dxa"/>
            <w:tcBorders/>
            <w:vAlign w:val="bottom"/>
          </w:tcPr>
          <w:p>
            <w:pPr>
              <w:pStyle w:val="DMETW2940BIPCOMPARABLE"/>
              <w:widowControl w:val="false"/>
              <w:jc w:val="right"/>
              <w:rPr>
                <w:b/>
                <w:color w:val="auto"/>
                <w:sz w:val="16"/>
                <w:szCs w:val="16"/>
              </w:rPr>
            </w:pPr>
            <w:r>
              <w:rPr>
                <w:b/>
                <w:color w:val="auto"/>
                <w:sz w:val="16"/>
                <w:szCs w:val="16"/>
              </w:rPr>
              <w:t>—</w:t>
            </w:r>
          </w:p>
        </w:tc>
        <w:tc>
          <w:tcPr>
            <w:tcW w:w="710" w:type="dxa"/>
            <w:tcBorders/>
            <w:vAlign w:val="bottom"/>
          </w:tcPr>
          <w:p>
            <w:pPr>
              <w:pStyle w:val="DMETW2940BIPCOMPARABLE"/>
              <w:widowControl w:val="false"/>
              <w:ind w:left="-38" w:hanging="25"/>
              <w:jc w:val="right"/>
              <w:rPr>
                <w:b/>
                <w:color w:val="auto"/>
                <w:sz w:val="16"/>
                <w:szCs w:val="16"/>
              </w:rPr>
            </w:pPr>
            <w:r>
              <w:rPr>
                <w:b/>
                <w:color w:val="auto"/>
                <w:sz w:val="16"/>
                <w:szCs w:val="16"/>
              </w:rPr>
              <w:t>—</w:t>
            </w:r>
          </w:p>
        </w:tc>
        <w:tc>
          <w:tcPr>
            <w:tcW w:w="852" w:type="dxa"/>
            <w:tcBorders/>
            <w:vAlign w:val="bottom"/>
          </w:tcPr>
          <w:p>
            <w:pPr>
              <w:pStyle w:val="DMETW2940BIPCOMPARABLE"/>
              <w:widowControl w:val="false"/>
              <w:jc w:val="right"/>
              <w:rPr>
                <w:b/>
                <w:color w:val="auto"/>
                <w:sz w:val="16"/>
                <w:szCs w:val="16"/>
              </w:rPr>
            </w:pPr>
            <w:r>
              <w:rPr>
                <w:b/>
                <w:color w:val="auto"/>
                <w:sz w:val="16"/>
                <w:szCs w:val="16"/>
              </w:rPr>
              <w:t>0,2</w:t>
            </w:r>
          </w:p>
        </w:tc>
        <w:tc>
          <w:tcPr>
            <w:tcW w:w="850" w:type="dxa"/>
            <w:tcBorders/>
            <w:vAlign w:val="bottom"/>
          </w:tcPr>
          <w:p>
            <w:pPr>
              <w:pStyle w:val="DMETW2940BIPCOMPARABLE"/>
              <w:widowControl w:val="false"/>
              <w:ind w:left="-63" w:firstLine="63"/>
              <w:jc w:val="right"/>
              <w:rPr>
                <w:b/>
                <w:color w:val="auto"/>
                <w:sz w:val="16"/>
                <w:szCs w:val="16"/>
              </w:rPr>
            </w:pPr>
            <w:r>
              <w:rPr>
                <w:b/>
                <w:color w:val="auto"/>
                <w:sz w:val="16"/>
                <w:szCs w:val="16"/>
              </w:rPr>
              <w:t>0,2</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rPr>
              <w:t>0,2</w:t>
            </w:r>
          </w:p>
        </w:tc>
        <w:tc>
          <w:tcPr>
            <w:tcW w:w="1561" w:type="dxa"/>
            <w:tcBorders/>
            <w:tcMar>
              <w:left w:w="108" w:type="dxa"/>
              <w:right w:w="108" w:type="dxa"/>
            </w:tcMar>
            <w:vAlign w:val="bottom"/>
          </w:tcPr>
          <w:p>
            <w:pPr>
              <w:pStyle w:val="DMETW2940BIPCOMPARABLE"/>
              <w:widowControl w:val="false"/>
              <w:jc w:val="center"/>
              <w:rPr>
                <w:b/>
                <w:color w:val="auto"/>
                <w:sz w:val="16"/>
                <w:szCs w:val="16"/>
              </w:rPr>
            </w:pPr>
            <w:r>
              <w:rPr>
                <w:b/>
                <w:color w:val="auto"/>
                <w:sz w:val="16"/>
                <w:szCs w:val="16"/>
              </w:rPr>
              <w:t>—</w:t>
            </w:r>
          </w:p>
        </w:tc>
        <w:tc>
          <w:tcPr>
            <w:tcW w:w="566" w:type="dxa"/>
            <w:tcBorders/>
            <w:vAlign w:val="bottom"/>
          </w:tcPr>
          <w:p>
            <w:pPr>
              <w:pStyle w:val="DMETW2940BIPCOMPARABLE"/>
              <w:widowControl w:val="false"/>
              <w:jc w:val="right"/>
              <w:rPr>
                <w:b/>
                <w:color w:val="auto"/>
                <w:sz w:val="16"/>
                <w:szCs w:val="16"/>
              </w:rPr>
            </w:pPr>
            <w:r>
              <w:rPr>
                <w:b/>
                <w:color w:val="auto"/>
                <w:sz w:val="16"/>
                <w:szCs w:val="16"/>
              </w:rPr>
              <w:t>0,2</w:t>
            </w:r>
          </w:p>
        </w:tc>
        <w:tc>
          <w:tcPr>
            <w:tcW w:w="709" w:type="dxa"/>
            <w:tcBorders/>
            <w:vAlign w:val="bottom"/>
          </w:tcPr>
          <w:p>
            <w:pPr>
              <w:pStyle w:val="DMETW2940BIPCOMPARABLE"/>
              <w:widowControl w:val="false"/>
              <w:jc w:val="right"/>
              <w:rPr>
                <w:b/>
                <w:color w:val="auto"/>
                <w:sz w:val="16"/>
                <w:szCs w:val="16"/>
              </w:rPr>
            </w:pPr>
            <w:r>
              <w:rPr>
                <w:b/>
                <w:color w:val="auto"/>
                <w:sz w:val="16"/>
                <w:szCs w:val="16"/>
              </w:rPr>
              <w:t>(0,2)</w:t>
            </w:r>
          </w:p>
        </w:tc>
        <w:tc>
          <w:tcPr>
            <w:tcW w:w="708" w:type="dxa"/>
            <w:tcBorders/>
            <w:vAlign w:val="bottom"/>
          </w:tcPr>
          <w:p>
            <w:pPr>
              <w:pStyle w:val="DMETW2940BIPCOMPARABLE"/>
              <w:widowControl w:val="false"/>
              <w:jc w:val="right"/>
              <w:rPr>
                <w:b/>
                <w:color w:val="auto"/>
                <w:sz w:val="16"/>
                <w:szCs w:val="16"/>
              </w:rPr>
            </w:pPr>
            <w:r>
              <w:rPr>
                <w:b/>
                <w:color w:val="auto"/>
                <w:sz w:val="16"/>
                <w:szCs w:val="16"/>
              </w:rPr>
              <w:t>—</w:t>
            </w:r>
          </w:p>
        </w:tc>
        <w:tc>
          <w:tcPr>
            <w:tcW w:w="709" w:type="dxa"/>
            <w:tcBorders/>
            <w:tcMar>
              <w:left w:w="108" w:type="dxa"/>
              <w:right w:w="108" w:type="dxa"/>
            </w:tcMar>
            <w:vAlign w:val="bottom"/>
          </w:tcPr>
          <w:p>
            <w:pPr>
              <w:pStyle w:val="DMETW2940BIPCOMPARABLE"/>
              <w:widowControl w:val="false"/>
              <w:ind w:left="-280" w:right="-108" w:firstLine="279"/>
              <w:jc w:val="right"/>
              <w:rPr>
                <w:b/>
                <w:color w:val="auto"/>
                <w:sz w:val="16"/>
                <w:szCs w:val="16"/>
              </w:rPr>
            </w:pPr>
            <w:r>
              <w:rPr>
                <w:b/>
                <w:color w:val="auto"/>
                <w:sz w:val="16"/>
                <w:szCs w:val="16"/>
              </w:rPr>
              <w:t>—</w:t>
            </w:r>
          </w:p>
        </w:tc>
      </w:tr>
      <w:tr>
        <w:trPr>
          <w:trHeight w:val="454" w:hRule="atLeast"/>
        </w:trPr>
        <w:tc>
          <w:tcPr>
            <w:tcW w:w="1842" w:type="dxa"/>
            <w:tcBorders/>
            <w:vAlign w:val="bottom"/>
          </w:tcPr>
          <w:p>
            <w:pPr>
              <w:pStyle w:val="DMETW1943BIPCOMPARABLE"/>
              <w:widowControl w:val="false"/>
              <w:rPr>
                <w:sz w:val="16"/>
                <w:szCs w:val="16"/>
                <w:lang w:val="el-GR"/>
              </w:rPr>
            </w:pPr>
            <w:r>
              <w:rPr>
                <w:sz w:val="16"/>
                <w:szCs w:val="16"/>
              </w:rPr>
              <w:t>Αντιστάθμιση κι</w:t>
            </w:r>
            <w:r>
              <w:rPr>
                <w:sz w:val="16"/>
                <w:szCs w:val="16"/>
                <w:lang w:val="el-GR"/>
              </w:rPr>
              <w:t>ν</w:t>
            </w:r>
            <w:r>
              <w:rPr>
                <w:sz w:val="16"/>
                <w:szCs w:val="16"/>
              </w:rPr>
              <w:t xml:space="preserve">δύνου </w:t>
            </w:r>
          </w:p>
          <w:p>
            <w:pPr>
              <w:pStyle w:val="DMETW2940BIPCOMPARABLE"/>
              <w:widowControl w:val="false"/>
              <w:rPr>
                <w:color w:val="auto"/>
                <w:sz w:val="17"/>
                <w:szCs w:val="17"/>
              </w:rPr>
            </w:pPr>
            <w:r>
              <w:rPr>
                <w:color w:val="auto"/>
                <w:sz w:val="16"/>
                <w:szCs w:val="16"/>
              </w:rPr>
              <w:t>πρώτων υλών</w:t>
            </w:r>
          </w:p>
        </w:tc>
        <w:tc>
          <w:tcPr>
            <w:tcW w:w="849" w:type="dxa"/>
            <w:tcBorders/>
            <w:vAlign w:val="bottom"/>
          </w:tcPr>
          <w:p>
            <w:pPr>
              <w:pStyle w:val="DMETW2940BIPCOMPARABLE"/>
              <w:widowControl w:val="false"/>
              <w:jc w:val="right"/>
              <w:rPr>
                <w:b/>
                <w:color w:val="auto"/>
                <w:sz w:val="16"/>
                <w:szCs w:val="16"/>
              </w:rPr>
            </w:pPr>
            <w:r>
              <w:rPr>
                <w:b/>
                <w:color w:val="auto"/>
                <w:sz w:val="16"/>
                <w:szCs w:val="16"/>
              </w:rPr>
              <w:t>(6,8)</w:t>
            </w:r>
          </w:p>
        </w:tc>
        <w:tc>
          <w:tcPr>
            <w:tcW w:w="710" w:type="dxa"/>
            <w:tcBorders/>
            <w:vAlign w:val="bottom"/>
          </w:tcPr>
          <w:p>
            <w:pPr>
              <w:pStyle w:val="DMETW2940BIPCOMPARABLE"/>
              <w:widowControl w:val="false"/>
              <w:ind w:left="-38" w:hanging="25"/>
              <w:jc w:val="right"/>
              <w:rPr>
                <w:b/>
                <w:color w:val="auto"/>
                <w:sz w:val="16"/>
                <w:szCs w:val="16"/>
              </w:rPr>
            </w:pPr>
            <w:r>
              <w:rPr>
                <w:b/>
                <w:color w:val="auto"/>
                <w:sz w:val="16"/>
                <w:szCs w:val="16"/>
              </w:rPr>
              <w:t>(6,8)</w:t>
            </w:r>
          </w:p>
        </w:tc>
        <w:tc>
          <w:tcPr>
            <w:tcW w:w="852" w:type="dxa"/>
            <w:tcBorders/>
            <w:vAlign w:val="bottom"/>
          </w:tcPr>
          <w:p>
            <w:pPr>
              <w:pStyle w:val="DMETW2940BIPCOMPARABLE"/>
              <w:widowControl w:val="false"/>
              <w:jc w:val="right"/>
              <w:rPr>
                <w:b/>
                <w:color w:val="auto"/>
                <w:sz w:val="16"/>
                <w:szCs w:val="16"/>
              </w:rPr>
            </w:pPr>
            <w:r>
              <w:rPr>
                <w:b/>
                <w:color w:val="auto"/>
                <w:sz w:val="16"/>
                <w:szCs w:val="16"/>
              </w:rPr>
              <w:t>—</w:t>
            </w:r>
          </w:p>
        </w:tc>
        <w:tc>
          <w:tcPr>
            <w:tcW w:w="850" w:type="dxa"/>
            <w:tcBorders/>
            <w:vAlign w:val="bottom"/>
          </w:tcPr>
          <w:p>
            <w:pPr>
              <w:pStyle w:val="DMETW2940BIPCOMPARABLE"/>
              <w:widowControl w:val="false"/>
              <w:ind w:left="-63" w:firstLine="63"/>
              <w:jc w:val="right"/>
              <w:rPr>
                <w:b/>
                <w:color w:val="auto"/>
                <w:sz w:val="16"/>
                <w:szCs w:val="16"/>
              </w:rPr>
            </w:pPr>
            <w:r>
              <w:rPr>
                <w:b/>
                <w:color w:val="auto"/>
                <w:sz w:val="16"/>
                <w:szCs w:val="16"/>
              </w:rPr>
              <w:t>(6,8)</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rPr>
              <w:t>(6,8)</w:t>
            </w:r>
          </w:p>
        </w:tc>
        <w:tc>
          <w:tcPr>
            <w:tcW w:w="1561" w:type="dxa"/>
            <w:tcBorders/>
            <w:tcMar>
              <w:left w:w="108" w:type="dxa"/>
              <w:right w:w="108" w:type="dxa"/>
            </w:tcMar>
            <w:vAlign w:val="bottom"/>
          </w:tcPr>
          <w:p>
            <w:pPr>
              <w:pStyle w:val="DMETW2940BIPCOMPARABLE"/>
              <w:widowControl w:val="false"/>
              <w:jc w:val="center"/>
              <w:rPr>
                <w:b/>
                <w:color w:val="auto"/>
                <w:sz w:val="16"/>
                <w:szCs w:val="16"/>
              </w:rPr>
            </w:pPr>
            <w:r>
              <w:rPr>
                <w:b/>
                <w:color w:val="auto"/>
                <w:sz w:val="16"/>
                <w:szCs w:val="16"/>
              </w:rPr>
              <w:t>—</w:t>
            </w:r>
          </w:p>
        </w:tc>
        <w:tc>
          <w:tcPr>
            <w:tcW w:w="566" w:type="dxa"/>
            <w:tcBorders/>
            <w:vAlign w:val="bottom"/>
          </w:tcPr>
          <w:p>
            <w:pPr>
              <w:pStyle w:val="DMETW2940BIPCOMPARABLE"/>
              <w:widowControl w:val="false"/>
              <w:jc w:val="right"/>
              <w:rPr>
                <w:b/>
                <w:color w:val="auto"/>
                <w:sz w:val="16"/>
                <w:szCs w:val="16"/>
              </w:rPr>
            </w:pPr>
            <w:r>
              <w:rPr>
                <w:b/>
                <w:color w:val="auto"/>
                <w:sz w:val="16"/>
                <w:szCs w:val="16"/>
              </w:rPr>
              <w:t>(6,8)</w:t>
            </w:r>
          </w:p>
        </w:tc>
        <w:tc>
          <w:tcPr>
            <w:tcW w:w="709" w:type="dxa"/>
            <w:tcBorders/>
            <w:vAlign w:val="bottom"/>
          </w:tcPr>
          <w:p>
            <w:pPr>
              <w:pStyle w:val="DMETW2940BIPCOMPARABLE"/>
              <w:widowControl w:val="false"/>
              <w:jc w:val="right"/>
              <w:rPr>
                <w:b/>
                <w:color w:val="auto"/>
                <w:sz w:val="16"/>
                <w:szCs w:val="16"/>
              </w:rPr>
            </w:pPr>
            <w:r>
              <w:rPr>
                <w:b/>
                <w:color w:val="auto"/>
                <w:sz w:val="16"/>
                <w:szCs w:val="16"/>
              </w:rPr>
              <w:t>1,4</w:t>
            </w:r>
          </w:p>
        </w:tc>
        <w:tc>
          <w:tcPr>
            <w:tcW w:w="708" w:type="dxa"/>
            <w:tcBorders/>
            <w:vAlign w:val="bottom"/>
          </w:tcPr>
          <w:p>
            <w:pPr>
              <w:pStyle w:val="DMETW2940BIPCOMPARABLE"/>
              <w:widowControl w:val="false"/>
              <w:jc w:val="right"/>
              <w:rPr>
                <w:b/>
                <w:color w:val="auto"/>
                <w:sz w:val="16"/>
                <w:szCs w:val="16"/>
              </w:rPr>
            </w:pPr>
            <w:r>
              <w:rPr>
                <w:b/>
                <w:color w:val="auto"/>
                <w:sz w:val="16"/>
                <w:szCs w:val="16"/>
              </w:rPr>
              <w:t>(5,4)</w:t>
            </w:r>
          </w:p>
        </w:tc>
        <w:tc>
          <w:tcPr>
            <w:tcW w:w="709" w:type="dxa"/>
            <w:tcBorders/>
            <w:tcMar>
              <w:left w:w="108" w:type="dxa"/>
              <w:right w:w="108" w:type="dxa"/>
            </w:tcMar>
            <w:vAlign w:val="bottom"/>
          </w:tcPr>
          <w:p>
            <w:pPr>
              <w:pStyle w:val="DMETW2940BIPCOMPARABLE"/>
              <w:widowControl w:val="false"/>
              <w:ind w:left="-280" w:right="-108" w:firstLine="279"/>
              <w:jc w:val="right"/>
              <w:rPr>
                <w:b/>
                <w:color w:val="auto"/>
                <w:sz w:val="16"/>
                <w:szCs w:val="16"/>
              </w:rPr>
            </w:pPr>
            <w:r>
              <w:rPr>
                <w:b/>
                <w:color w:val="auto"/>
                <w:sz w:val="16"/>
                <w:szCs w:val="16"/>
              </w:rPr>
              <w:t>(0,015)</w:t>
            </w:r>
          </w:p>
        </w:tc>
      </w:tr>
      <w:tr>
        <w:trPr>
          <w:trHeight w:val="454" w:hRule="atLeast"/>
        </w:trPr>
        <w:tc>
          <w:tcPr>
            <w:tcW w:w="1842" w:type="dxa"/>
            <w:tcBorders/>
            <w:vAlign w:val="bottom"/>
          </w:tcPr>
          <w:p>
            <w:pPr>
              <w:pStyle w:val="DMETW1943BIPCOMPARABLE"/>
              <w:widowControl w:val="false"/>
              <w:rPr>
                <w:sz w:val="16"/>
                <w:szCs w:val="16"/>
              </w:rPr>
            </w:pPr>
            <w:r>
              <w:rPr>
                <w:sz w:val="16"/>
                <w:szCs w:val="16"/>
              </w:rPr>
              <w:t>Έξοδα εξαγοράς και                                                                                                                                                                       ενσωμάτωσης</w:t>
            </w:r>
          </w:p>
        </w:tc>
        <w:tc>
          <w:tcPr>
            <w:tcW w:w="849" w:type="dxa"/>
            <w:tcBorders/>
            <w:vAlign w:val="bottom"/>
          </w:tcPr>
          <w:p>
            <w:pPr>
              <w:pStyle w:val="DMETW2940BIPCOMPARABLE"/>
              <w:widowControl w:val="false"/>
              <w:jc w:val="right"/>
              <w:rPr>
                <w:b/>
                <w:color w:val="auto"/>
                <w:sz w:val="16"/>
                <w:szCs w:val="16"/>
              </w:rPr>
            </w:pPr>
            <w:r>
              <w:rPr>
                <w:b/>
                <w:color w:val="auto"/>
                <w:sz w:val="16"/>
                <w:szCs w:val="16"/>
              </w:rPr>
              <w:t>—</w:t>
            </w:r>
          </w:p>
        </w:tc>
        <w:tc>
          <w:tcPr>
            <w:tcW w:w="710" w:type="dxa"/>
            <w:tcBorders/>
            <w:vAlign w:val="bottom"/>
          </w:tcPr>
          <w:p>
            <w:pPr>
              <w:pStyle w:val="DMETW2940BIPCOMPARABLE"/>
              <w:widowControl w:val="false"/>
              <w:ind w:left="-38" w:hanging="25"/>
              <w:jc w:val="right"/>
              <w:rPr>
                <w:b/>
                <w:color w:val="auto"/>
                <w:sz w:val="16"/>
                <w:szCs w:val="16"/>
              </w:rPr>
            </w:pPr>
            <w:r>
              <w:rPr>
                <w:b/>
                <w:color w:val="auto"/>
                <w:sz w:val="16"/>
                <w:szCs w:val="16"/>
              </w:rPr>
              <w:t>—</w:t>
            </w:r>
          </w:p>
        </w:tc>
        <w:tc>
          <w:tcPr>
            <w:tcW w:w="852" w:type="dxa"/>
            <w:tcBorders/>
            <w:vAlign w:val="bottom"/>
          </w:tcPr>
          <w:p>
            <w:pPr>
              <w:pStyle w:val="DMETW2940BIPCOMPARABLE"/>
              <w:widowControl w:val="false"/>
              <w:jc w:val="right"/>
              <w:rPr>
                <w:b/>
                <w:color w:val="auto"/>
                <w:sz w:val="16"/>
                <w:szCs w:val="16"/>
              </w:rPr>
            </w:pPr>
            <w:r>
              <w:rPr>
                <w:b/>
                <w:color w:val="auto"/>
                <w:sz w:val="16"/>
                <w:szCs w:val="16"/>
              </w:rPr>
              <w:t>2,9</w:t>
            </w:r>
          </w:p>
        </w:tc>
        <w:tc>
          <w:tcPr>
            <w:tcW w:w="850" w:type="dxa"/>
            <w:tcBorders/>
            <w:vAlign w:val="bottom"/>
          </w:tcPr>
          <w:p>
            <w:pPr>
              <w:pStyle w:val="DMETW2940BIPCOMPARABLE"/>
              <w:widowControl w:val="false"/>
              <w:ind w:left="-63" w:firstLine="63"/>
              <w:jc w:val="right"/>
              <w:rPr>
                <w:b/>
                <w:color w:val="auto"/>
                <w:sz w:val="16"/>
                <w:szCs w:val="16"/>
              </w:rPr>
            </w:pPr>
            <w:r>
              <w:rPr>
                <w:b/>
                <w:color w:val="auto"/>
                <w:sz w:val="16"/>
                <w:szCs w:val="16"/>
              </w:rPr>
              <w:t>2,9</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rPr>
              <w:t>2,9</w:t>
            </w:r>
          </w:p>
        </w:tc>
        <w:tc>
          <w:tcPr>
            <w:tcW w:w="1561" w:type="dxa"/>
            <w:tcBorders/>
            <w:tcMar>
              <w:left w:w="108" w:type="dxa"/>
              <w:right w:w="108" w:type="dxa"/>
            </w:tcMar>
            <w:vAlign w:val="bottom"/>
          </w:tcPr>
          <w:p>
            <w:pPr>
              <w:pStyle w:val="DMETW2940BIPCOMPARABLE"/>
              <w:widowControl w:val="false"/>
              <w:jc w:val="center"/>
              <w:rPr>
                <w:b/>
                <w:color w:val="auto"/>
                <w:sz w:val="16"/>
                <w:szCs w:val="16"/>
              </w:rPr>
            </w:pPr>
            <w:r>
              <w:rPr>
                <w:b/>
                <w:color w:val="auto"/>
                <w:sz w:val="16"/>
                <w:szCs w:val="16"/>
              </w:rPr>
              <w:t>—</w:t>
            </w:r>
          </w:p>
        </w:tc>
        <w:tc>
          <w:tcPr>
            <w:tcW w:w="566" w:type="dxa"/>
            <w:tcBorders/>
            <w:vAlign w:val="bottom"/>
          </w:tcPr>
          <w:p>
            <w:pPr>
              <w:pStyle w:val="DMETW2940BIPCOMPARABLE"/>
              <w:widowControl w:val="false"/>
              <w:jc w:val="right"/>
              <w:rPr>
                <w:b/>
                <w:color w:val="auto"/>
                <w:sz w:val="16"/>
                <w:szCs w:val="16"/>
              </w:rPr>
            </w:pPr>
            <w:r>
              <w:rPr>
                <w:b/>
                <w:color w:val="auto"/>
                <w:sz w:val="16"/>
                <w:szCs w:val="16"/>
              </w:rPr>
              <w:t>2,9</w:t>
            </w:r>
          </w:p>
        </w:tc>
        <w:tc>
          <w:tcPr>
            <w:tcW w:w="709" w:type="dxa"/>
            <w:tcBorders/>
            <w:vAlign w:val="bottom"/>
          </w:tcPr>
          <w:p>
            <w:pPr>
              <w:pStyle w:val="DMETW2940BIPCOMPARABLE"/>
              <w:widowControl w:val="false"/>
              <w:jc w:val="right"/>
              <w:rPr>
                <w:b/>
                <w:color w:val="auto"/>
                <w:sz w:val="16"/>
                <w:szCs w:val="16"/>
              </w:rPr>
            </w:pPr>
            <w:r>
              <w:rPr>
                <w:b/>
                <w:color w:val="auto"/>
                <w:sz w:val="16"/>
                <w:szCs w:val="16"/>
              </w:rPr>
              <w:t>(0,1)</w:t>
            </w:r>
          </w:p>
        </w:tc>
        <w:tc>
          <w:tcPr>
            <w:tcW w:w="708" w:type="dxa"/>
            <w:tcBorders/>
            <w:vAlign w:val="bottom"/>
          </w:tcPr>
          <w:p>
            <w:pPr>
              <w:pStyle w:val="DMETW2940BIPCOMPARABLE"/>
              <w:widowControl w:val="false"/>
              <w:jc w:val="right"/>
              <w:rPr>
                <w:b/>
                <w:color w:val="auto"/>
                <w:sz w:val="16"/>
                <w:szCs w:val="16"/>
              </w:rPr>
            </w:pPr>
            <w:r>
              <w:rPr>
                <w:b/>
                <w:color w:val="auto"/>
                <w:sz w:val="16"/>
                <w:szCs w:val="16"/>
              </w:rPr>
              <w:t>2,8</w:t>
            </w:r>
          </w:p>
        </w:tc>
        <w:tc>
          <w:tcPr>
            <w:tcW w:w="709" w:type="dxa"/>
            <w:tcBorders/>
            <w:tcMar>
              <w:left w:w="108" w:type="dxa"/>
              <w:right w:w="108" w:type="dxa"/>
            </w:tcMar>
            <w:vAlign w:val="bottom"/>
          </w:tcPr>
          <w:p>
            <w:pPr>
              <w:pStyle w:val="DMETW2940BIPCOMPARABLE"/>
              <w:widowControl w:val="false"/>
              <w:ind w:left="-280" w:right="-108" w:firstLine="279"/>
              <w:jc w:val="right"/>
              <w:rPr>
                <w:b/>
                <w:color w:val="auto"/>
                <w:sz w:val="16"/>
                <w:szCs w:val="16"/>
              </w:rPr>
            </w:pPr>
            <w:r>
              <w:rPr>
                <w:b/>
                <w:color w:val="auto"/>
                <w:sz w:val="16"/>
                <w:szCs w:val="16"/>
              </w:rPr>
              <w:t>0,008</w:t>
            </w:r>
          </w:p>
        </w:tc>
      </w:tr>
      <w:tr>
        <w:trPr>
          <w:trHeight w:val="454" w:hRule="atLeast"/>
        </w:trPr>
        <w:tc>
          <w:tcPr>
            <w:tcW w:w="1842" w:type="dxa"/>
            <w:tcBorders/>
            <w:vAlign w:val="bottom"/>
          </w:tcPr>
          <w:p>
            <w:pPr>
              <w:pStyle w:val="DMETW1943BIPCOMPARABLE"/>
              <w:widowControl w:val="false"/>
              <w:rPr>
                <w:sz w:val="16"/>
                <w:szCs w:val="16"/>
                <w:lang w:val="el-GR"/>
              </w:rPr>
            </w:pPr>
            <w:r>
              <w:rPr>
                <w:sz w:val="16"/>
                <w:szCs w:val="16"/>
                <w:lang w:val="el-GR"/>
              </w:rPr>
              <w:t>Έξοδα, κέρδη ή ζημίες αποεπένδυσης</w:t>
            </w:r>
          </w:p>
        </w:tc>
        <w:tc>
          <w:tcPr>
            <w:tcW w:w="849" w:type="dxa"/>
            <w:tcBorders/>
            <w:vAlign w:val="bottom"/>
          </w:tcPr>
          <w:p>
            <w:pPr>
              <w:pStyle w:val="DMETW2940BIPCOMPARABLE"/>
              <w:widowControl w:val="false"/>
              <w:jc w:val="right"/>
              <w:rPr>
                <w:b/>
                <w:color w:val="auto"/>
                <w:sz w:val="16"/>
                <w:szCs w:val="16"/>
                <w:lang w:val="el-GR"/>
              </w:rPr>
            </w:pPr>
            <w:r>
              <w:rPr>
                <w:b/>
                <w:color w:val="auto"/>
                <w:sz w:val="16"/>
                <w:szCs w:val="16"/>
              </w:rPr>
              <w:t>—</w:t>
            </w:r>
          </w:p>
        </w:tc>
        <w:tc>
          <w:tcPr>
            <w:tcW w:w="710" w:type="dxa"/>
            <w:tcBorders/>
            <w:vAlign w:val="bottom"/>
          </w:tcPr>
          <w:p>
            <w:pPr>
              <w:pStyle w:val="DMETW2940BIPCOMPARABLE"/>
              <w:widowControl w:val="false"/>
              <w:ind w:left="-38" w:hanging="25"/>
              <w:jc w:val="right"/>
              <w:rPr>
                <w:b/>
                <w:color w:val="auto"/>
                <w:sz w:val="16"/>
                <w:szCs w:val="16"/>
                <w:lang w:val="el-GR"/>
              </w:rPr>
            </w:pPr>
            <w:r>
              <w:rPr>
                <w:b/>
                <w:color w:val="auto"/>
                <w:sz w:val="16"/>
                <w:szCs w:val="16"/>
              </w:rPr>
              <w:t>—</w:t>
            </w:r>
          </w:p>
        </w:tc>
        <w:tc>
          <w:tcPr>
            <w:tcW w:w="852" w:type="dxa"/>
            <w:tcBorders/>
            <w:vAlign w:val="bottom"/>
          </w:tcPr>
          <w:p>
            <w:pPr>
              <w:pStyle w:val="DMETW2940BIPCOMPARABLE"/>
              <w:widowControl w:val="false"/>
              <w:jc w:val="right"/>
              <w:rPr>
                <w:b/>
                <w:color w:val="auto"/>
                <w:sz w:val="16"/>
                <w:szCs w:val="16"/>
                <w:lang w:val="el-GR"/>
              </w:rPr>
            </w:pPr>
            <w:r>
              <w:rPr>
                <w:b/>
                <w:color w:val="auto"/>
                <w:sz w:val="16"/>
                <w:szCs w:val="16"/>
              </w:rPr>
              <w:t>1,4</w:t>
            </w:r>
          </w:p>
        </w:tc>
        <w:tc>
          <w:tcPr>
            <w:tcW w:w="850" w:type="dxa"/>
            <w:tcBorders/>
            <w:vAlign w:val="bottom"/>
          </w:tcPr>
          <w:p>
            <w:pPr>
              <w:pStyle w:val="DMETW2940BIPCOMPARABLE"/>
              <w:widowControl w:val="false"/>
              <w:ind w:left="-63" w:firstLine="63"/>
              <w:jc w:val="right"/>
              <w:rPr>
                <w:b/>
                <w:color w:val="auto"/>
                <w:sz w:val="16"/>
                <w:szCs w:val="16"/>
                <w:lang w:val="el-GR"/>
              </w:rPr>
            </w:pPr>
            <w:r>
              <w:rPr>
                <w:b/>
                <w:color w:val="auto"/>
                <w:sz w:val="16"/>
                <w:szCs w:val="16"/>
              </w:rPr>
              <w:t>1,4</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lang w:val="el-GR"/>
              </w:rPr>
            </w:pPr>
            <w:r>
              <w:rPr>
                <w:b/>
                <w:color w:val="auto"/>
                <w:sz w:val="16"/>
                <w:szCs w:val="16"/>
              </w:rPr>
              <w:t>0,4</w:t>
            </w:r>
          </w:p>
        </w:tc>
        <w:tc>
          <w:tcPr>
            <w:tcW w:w="1561" w:type="dxa"/>
            <w:tcBorders/>
            <w:tcMar>
              <w:left w:w="108" w:type="dxa"/>
              <w:right w:w="108" w:type="dxa"/>
            </w:tcMar>
            <w:vAlign w:val="bottom"/>
          </w:tcPr>
          <w:p>
            <w:pPr>
              <w:pStyle w:val="DMETW2940BIPCOMPARABLE"/>
              <w:widowControl w:val="false"/>
              <w:jc w:val="center"/>
              <w:rPr>
                <w:b/>
                <w:color w:val="auto"/>
                <w:sz w:val="16"/>
                <w:szCs w:val="16"/>
              </w:rPr>
            </w:pPr>
            <w:r>
              <w:rPr>
                <w:b/>
                <w:color w:val="auto"/>
                <w:sz w:val="16"/>
                <w:szCs w:val="16"/>
                <w:lang w:val="el-GR"/>
              </w:rPr>
              <w:t>16,1</w:t>
            </w:r>
          </w:p>
        </w:tc>
        <w:tc>
          <w:tcPr>
            <w:tcW w:w="566" w:type="dxa"/>
            <w:tcBorders/>
            <w:vAlign w:val="bottom"/>
          </w:tcPr>
          <w:p>
            <w:pPr>
              <w:pStyle w:val="DMETW2940BIPCOMPARABLE"/>
              <w:widowControl w:val="false"/>
              <w:jc w:val="right"/>
              <w:rPr>
                <w:b/>
                <w:color w:val="auto"/>
                <w:sz w:val="16"/>
                <w:szCs w:val="16"/>
                <w:lang w:val="el-GR"/>
              </w:rPr>
            </w:pPr>
            <w:r>
              <w:rPr>
                <w:b/>
                <w:color w:val="auto"/>
                <w:sz w:val="16"/>
                <w:szCs w:val="16"/>
              </w:rPr>
              <w:t>17,5</w:t>
            </w:r>
          </w:p>
        </w:tc>
        <w:tc>
          <w:tcPr>
            <w:tcW w:w="709" w:type="dxa"/>
            <w:tcBorders/>
            <w:vAlign w:val="bottom"/>
          </w:tcPr>
          <w:p>
            <w:pPr>
              <w:pStyle w:val="DMETW2940BIPCOMPARABLE"/>
              <w:widowControl w:val="false"/>
              <w:jc w:val="right"/>
              <w:rPr>
                <w:b/>
                <w:color w:val="auto"/>
                <w:sz w:val="16"/>
                <w:szCs w:val="16"/>
                <w:lang w:val="el-GR"/>
              </w:rPr>
            </w:pPr>
            <w:r>
              <w:rPr>
                <w:b/>
                <w:color w:val="auto"/>
                <w:sz w:val="16"/>
                <w:szCs w:val="16"/>
              </w:rPr>
              <w:t>—</w:t>
            </w:r>
          </w:p>
        </w:tc>
        <w:tc>
          <w:tcPr>
            <w:tcW w:w="708" w:type="dxa"/>
            <w:tcBorders/>
            <w:vAlign w:val="bottom"/>
          </w:tcPr>
          <w:p>
            <w:pPr>
              <w:pStyle w:val="DMETW2940BIPCOMPARABLE"/>
              <w:widowControl w:val="false"/>
              <w:jc w:val="right"/>
              <w:rPr>
                <w:b/>
                <w:color w:val="auto"/>
                <w:sz w:val="16"/>
                <w:szCs w:val="16"/>
                <w:lang w:val="el-GR"/>
              </w:rPr>
            </w:pPr>
            <w:r>
              <w:rPr>
                <w:b/>
                <w:color w:val="auto"/>
                <w:sz w:val="16"/>
                <w:szCs w:val="16"/>
              </w:rPr>
              <w:t>17,5</w:t>
            </w:r>
          </w:p>
        </w:tc>
        <w:tc>
          <w:tcPr>
            <w:tcW w:w="709" w:type="dxa"/>
            <w:tcBorders/>
            <w:tcMar>
              <w:left w:w="108" w:type="dxa"/>
              <w:right w:w="108" w:type="dxa"/>
            </w:tcMar>
            <w:vAlign w:val="bottom"/>
          </w:tcPr>
          <w:p>
            <w:pPr>
              <w:pStyle w:val="DMETW2940BIPCOMPARABLE"/>
              <w:widowControl w:val="false"/>
              <w:ind w:left="-280" w:right="-108" w:firstLine="279"/>
              <w:jc w:val="right"/>
              <w:rPr>
                <w:b/>
                <w:color w:val="auto"/>
                <w:sz w:val="16"/>
                <w:szCs w:val="16"/>
                <w:lang w:val="el-GR"/>
              </w:rPr>
            </w:pPr>
            <w:r>
              <w:rPr>
                <w:b/>
                <w:color w:val="auto"/>
                <w:sz w:val="16"/>
                <w:szCs w:val="16"/>
              </w:rPr>
              <w:t>0,048</w:t>
            </w:r>
          </w:p>
        </w:tc>
      </w:tr>
      <w:tr>
        <w:trPr>
          <w:trHeight w:val="141" w:hRule="atLeast"/>
        </w:trPr>
        <w:tc>
          <w:tcPr>
            <w:tcW w:w="1842" w:type="dxa"/>
            <w:tcBorders/>
            <w:vAlign w:val="bottom"/>
          </w:tcPr>
          <w:p>
            <w:pPr>
              <w:pStyle w:val="DMETW2940BIPCOMPARABLE"/>
              <w:widowControl w:val="false"/>
              <w:rPr>
                <w:color w:val="auto"/>
                <w:sz w:val="16"/>
                <w:szCs w:val="16"/>
                <w:lang w:val="el-GR"/>
              </w:rPr>
            </w:pPr>
            <w:r>
              <w:rPr>
                <w:color w:val="auto"/>
                <w:sz w:val="16"/>
                <w:szCs w:val="16"/>
                <w:lang w:val="el-GR"/>
              </w:rPr>
              <w:t>Απομείωση υπεραξίας</w:t>
            </w:r>
          </w:p>
        </w:tc>
        <w:tc>
          <w:tcPr>
            <w:tcW w:w="849" w:type="dxa"/>
            <w:tcBorders/>
            <w:vAlign w:val="bottom"/>
          </w:tcPr>
          <w:p>
            <w:pPr>
              <w:pStyle w:val="DMETW2940BIPCOMPARABLE"/>
              <w:widowControl w:val="false"/>
              <w:jc w:val="right"/>
              <w:rPr>
                <w:b/>
                <w:color w:val="auto"/>
                <w:sz w:val="16"/>
                <w:szCs w:val="16"/>
              </w:rPr>
            </w:pPr>
            <w:r>
              <w:rPr>
                <w:b/>
                <w:color w:val="auto"/>
                <w:sz w:val="16"/>
                <w:szCs w:val="16"/>
              </w:rPr>
              <w:t>—</w:t>
            </w:r>
          </w:p>
        </w:tc>
        <w:tc>
          <w:tcPr>
            <w:tcW w:w="710" w:type="dxa"/>
            <w:tcBorders/>
            <w:vAlign w:val="bottom"/>
          </w:tcPr>
          <w:p>
            <w:pPr>
              <w:pStyle w:val="DMETW2940BIPCOMPARABLE"/>
              <w:widowControl w:val="false"/>
              <w:ind w:left="-38" w:hanging="25"/>
              <w:jc w:val="right"/>
              <w:rPr>
                <w:b/>
                <w:color w:val="auto"/>
                <w:sz w:val="16"/>
                <w:szCs w:val="16"/>
              </w:rPr>
            </w:pPr>
            <w:r>
              <w:rPr>
                <w:b/>
                <w:color w:val="auto"/>
                <w:sz w:val="16"/>
                <w:szCs w:val="16"/>
              </w:rPr>
              <w:t>—</w:t>
            </w:r>
          </w:p>
        </w:tc>
        <w:tc>
          <w:tcPr>
            <w:tcW w:w="852" w:type="dxa"/>
            <w:tcBorders/>
            <w:vAlign w:val="bottom"/>
          </w:tcPr>
          <w:p>
            <w:pPr>
              <w:pStyle w:val="DMETW2940BIPCOMPARABLE"/>
              <w:widowControl w:val="false"/>
              <w:jc w:val="right"/>
              <w:rPr>
                <w:b/>
                <w:color w:val="auto"/>
                <w:sz w:val="16"/>
                <w:szCs w:val="16"/>
              </w:rPr>
            </w:pPr>
            <w:r>
              <w:rPr>
                <w:b/>
                <w:color w:val="auto"/>
                <w:sz w:val="16"/>
                <w:szCs w:val="16"/>
              </w:rPr>
              <w:t>0,8</w:t>
            </w:r>
          </w:p>
        </w:tc>
        <w:tc>
          <w:tcPr>
            <w:tcW w:w="850" w:type="dxa"/>
            <w:tcBorders/>
            <w:vAlign w:val="bottom"/>
          </w:tcPr>
          <w:p>
            <w:pPr>
              <w:pStyle w:val="DMETW2940BIPCOMPARABLE"/>
              <w:widowControl w:val="false"/>
              <w:ind w:left="-63" w:firstLine="63"/>
              <w:jc w:val="right"/>
              <w:rPr>
                <w:b/>
                <w:color w:val="auto"/>
                <w:sz w:val="16"/>
                <w:szCs w:val="16"/>
              </w:rPr>
            </w:pPr>
            <w:r>
              <w:rPr>
                <w:b/>
                <w:color w:val="auto"/>
                <w:sz w:val="16"/>
                <w:szCs w:val="16"/>
              </w:rPr>
              <w:t>0,8</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rPr>
              <w:t>—</w:t>
            </w:r>
          </w:p>
        </w:tc>
        <w:tc>
          <w:tcPr>
            <w:tcW w:w="1561" w:type="dxa"/>
            <w:tcBorders/>
            <w:tcMar>
              <w:left w:w="108" w:type="dxa"/>
              <w:right w:w="108" w:type="dxa"/>
            </w:tcMar>
            <w:vAlign w:val="bottom"/>
          </w:tcPr>
          <w:p>
            <w:pPr>
              <w:pStyle w:val="DMETW2940BIPCOMPARABLE"/>
              <w:widowControl w:val="false"/>
              <w:jc w:val="center"/>
              <w:rPr>
                <w:b/>
                <w:color w:val="auto"/>
                <w:sz w:val="16"/>
                <w:szCs w:val="16"/>
              </w:rPr>
            </w:pPr>
            <w:r>
              <w:rPr>
                <w:b/>
                <w:color w:val="auto"/>
                <w:sz w:val="16"/>
                <w:szCs w:val="16"/>
              </w:rPr>
              <w:t>—</w:t>
            </w:r>
          </w:p>
        </w:tc>
        <w:tc>
          <w:tcPr>
            <w:tcW w:w="566" w:type="dxa"/>
            <w:tcBorders/>
            <w:vAlign w:val="bottom"/>
          </w:tcPr>
          <w:p>
            <w:pPr>
              <w:pStyle w:val="DMETW2940BIPCOMPARABLE"/>
              <w:widowControl w:val="false"/>
              <w:jc w:val="right"/>
              <w:rPr>
                <w:b/>
                <w:color w:val="auto"/>
                <w:sz w:val="16"/>
                <w:szCs w:val="16"/>
              </w:rPr>
            </w:pPr>
            <w:r>
              <w:rPr>
                <w:b/>
                <w:color w:val="auto"/>
                <w:sz w:val="16"/>
                <w:szCs w:val="16"/>
              </w:rPr>
              <w:t>0,8</w:t>
            </w:r>
          </w:p>
        </w:tc>
        <w:tc>
          <w:tcPr>
            <w:tcW w:w="709" w:type="dxa"/>
            <w:tcBorders/>
            <w:vAlign w:val="bottom"/>
          </w:tcPr>
          <w:p>
            <w:pPr>
              <w:pStyle w:val="DMETW2940BIPCOMPARABLE"/>
              <w:widowControl w:val="false"/>
              <w:jc w:val="right"/>
              <w:rPr>
                <w:b/>
                <w:color w:val="auto"/>
                <w:sz w:val="16"/>
                <w:szCs w:val="16"/>
              </w:rPr>
            </w:pPr>
            <w:r>
              <w:rPr>
                <w:b/>
                <w:color w:val="auto"/>
                <w:sz w:val="16"/>
                <w:szCs w:val="16"/>
              </w:rPr>
              <w:t>—</w:t>
            </w:r>
          </w:p>
        </w:tc>
        <w:tc>
          <w:tcPr>
            <w:tcW w:w="708" w:type="dxa"/>
            <w:tcBorders/>
            <w:vAlign w:val="bottom"/>
          </w:tcPr>
          <w:p>
            <w:pPr>
              <w:pStyle w:val="DMETW2940BIPCOMPARABLE"/>
              <w:widowControl w:val="false"/>
              <w:jc w:val="right"/>
              <w:rPr>
                <w:b/>
                <w:color w:val="auto"/>
                <w:sz w:val="16"/>
                <w:szCs w:val="16"/>
              </w:rPr>
            </w:pPr>
            <w:r>
              <w:rPr>
                <w:b/>
                <w:color w:val="auto"/>
                <w:sz w:val="16"/>
                <w:szCs w:val="16"/>
              </w:rPr>
              <w:t>0,8</w:t>
            </w:r>
          </w:p>
        </w:tc>
        <w:tc>
          <w:tcPr>
            <w:tcW w:w="709" w:type="dxa"/>
            <w:tcBorders/>
            <w:tcMar>
              <w:left w:w="108" w:type="dxa"/>
              <w:right w:w="108" w:type="dxa"/>
            </w:tcMar>
            <w:vAlign w:val="bottom"/>
          </w:tcPr>
          <w:p>
            <w:pPr>
              <w:pStyle w:val="DMETW2940BIPCOMPARABLE"/>
              <w:widowControl w:val="false"/>
              <w:ind w:left="-280" w:right="-108" w:firstLine="279"/>
              <w:jc w:val="right"/>
              <w:rPr>
                <w:b/>
                <w:color w:val="auto"/>
                <w:sz w:val="16"/>
                <w:szCs w:val="16"/>
              </w:rPr>
            </w:pPr>
            <w:r>
              <w:rPr>
                <w:b/>
                <w:color w:val="auto"/>
                <w:sz w:val="16"/>
                <w:szCs w:val="16"/>
              </w:rPr>
              <w:t>0,002</w:t>
            </w:r>
          </w:p>
        </w:tc>
      </w:tr>
      <w:tr>
        <w:trPr>
          <w:trHeight w:val="627" w:hRule="atLeast"/>
        </w:trPr>
        <w:tc>
          <w:tcPr>
            <w:tcW w:w="1842" w:type="dxa"/>
            <w:tcBorders/>
            <w:vAlign w:val="bottom"/>
          </w:tcPr>
          <w:p>
            <w:pPr>
              <w:pStyle w:val="DMETW1950BIPCOMPARABLE"/>
              <w:widowControl w:val="false"/>
              <w:rPr>
                <w:color w:val="auto"/>
                <w:sz w:val="16"/>
                <w:szCs w:val="16"/>
                <w:lang w:eastAsia="el-GR" w:bidi="el-GR"/>
              </w:rPr>
            </w:pPr>
            <w:r>
              <w:rPr>
                <w:color w:val="auto"/>
                <w:sz w:val="16"/>
                <w:szCs w:val="16"/>
                <w:lang w:eastAsia="el-GR" w:bidi="el-GR"/>
              </w:rPr>
              <w:t>Αντίκτυπος της</w:t>
            </w:r>
          </w:p>
          <w:p>
            <w:pPr>
              <w:pStyle w:val="DMETW1950BIPCOMPARABLE"/>
              <w:widowControl w:val="false"/>
              <w:rPr>
                <w:color w:val="auto"/>
                <w:sz w:val="16"/>
                <w:szCs w:val="16"/>
                <w:lang w:eastAsia="el-GR" w:bidi="el-GR"/>
              </w:rPr>
            </w:pPr>
            <w:r>
              <w:rPr>
                <w:color w:val="auto"/>
                <w:sz w:val="16"/>
                <w:szCs w:val="16"/>
                <w:lang w:eastAsia="el-GR" w:bidi="el-GR"/>
              </w:rPr>
              <w:t>σύγκρουσης μεταξύ</w:t>
            </w:r>
          </w:p>
          <w:p>
            <w:pPr>
              <w:pStyle w:val="DMETW2940BIPCOMPARABLE"/>
              <w:widowControl w:val="false"/>
              <w:rPr>
                <w:color w:val="auto"/>
                <w:sz w:val="16"/>
                <w:szCs w:val="16"/>
                <w:lang w:val="el-GR"/>
              </w:rPr>
            </w:pPr>
            <w:r>
              <w:rPr>
                <w:color w:val="auto"/>
                <w:sz w:val="16"/>
                <w:szCs w:val="16"/>
                <w:lang w:val="el-GR" w:eastAsia="el-GR" w:bidi="el-GR"/>
              </w:rPr>
              <w:t>Ρωσίας και Ουκρανίας</w:t>
            </w:r>
          </w:p>
        </w:tc>
        <w:tc>
          <w:tcPr>
            <w:tcW w:w="849" w:type="dxa"/>
            <w:tcBorders/>
            <w:vAlign w:val="bottom"/>
          </w:tcPr>
          <w:p>
            <w:pPr>
              <w:pStyle w:val="DMETW2940BIPCOMPARABLE"/>
              <w:widowControl w:val="false"/>
              <w:jc w:val="right"/>
              <w:rPr>
                <w:b/>
                <w:color w:val="auto"/>
                <w:sz w:val="16"/>
                <w:szCs w:val="16"/>
              </w:rPr>
            </w:pPr>
            <w:r>
              <w:rPr>
                <w:b/>
                <w:color w:val="auto"/>
                <w:sz w:val="16"/>
                <w:szCs w:val="16"/>
              </w:rPr>
              <w:t>14,7</w:t>
            </w:r>
          </w:p>
        </w:tc>
        <w:tc>
          <w:tcPr>
            <w:tcW w:w="710" w:type="dxa"/>
            <w:tcBorders/>
            <w:vAlign w:val="bottom"/>
          </w:tcPr>
          <w:p>
            <w:pPr>
              <w:pStyle w:val="DMETW2940BIPCOMPARABLE"/>
              <w:widowControl w:val="false"/>
              <w:ind w:left="-38" w:hanging="25"/>
              <w:jc w:val="right"/>
              <w:rPr>
                <w:b/>
                <w:color w:val="auto"/>
                <w:sz w:val="16"/>
                <w:szCs w:val="16"/>
              </w:rPr>
            </w:pPr>
            <w:r>
              <w:rPr>
                <w:b/>
                <w:color w:val="auto"/>
                <w:sz w:val="16"/>
                <w:szCs w:val="16"/>
              </w:rPr>
              <w:t>14,7</w:t>
            </w:r>
          </w:p>
        </w:tc>
        <w:tc>
          <w:tcPr>
            <w:tcW w:w="852" w:type="dxa"/>
            <w:tcBorders/>
            <w:vAlign w:val="bottom"/>
          </w:tcPr>
          <w:p>
            <w:pPr>
              <w:pStyle w:val="DMETW2940BIPCOMPARABLE"/>
              <w:widowControl w:val="false"/>
              <w:jc w:val="right"/>
              <w:rPr>
                <w:b/>
                <w:color w:val="auto"/>
                <w:sz w:val="16"/>
                <w:szCs w:val="16"/>
              </w:rPr>
            </w:pPr>
            <w:r>
              <w:rPr>
                <w:b/>
                <w:color w:val="auto"/>
                <w:sz w:val="16"/>
                <w:szCs w:val="16"/>
              </w:rPr>
              <w:t>—</w:t>
            </w:r>
          </w:p>
        </w:tc>
        <w:tc>
          <w:tcPr>
            <w:tcW w:w="850" w:type="dxa"/>
            <w:tcBorders/>
            <w:vAlign w:val="bottom"/>
          </w:tcPr>
          <w:p>
            <w:pPr>
              <w:pStyle w:val="DMETW2940BIPCOMPARABLE"/>
              <w:widowControl w:val="false"/>
              <w:ind w:left="-63" w:firstLine="63"/>
              <w:jc w:val="right"/>
              <w:rPr>
                <w:b/>
                <w:color w:val="auto"/>
                <w:sz w:val="16"/>
                <w:szCs w:val="16"/>
              </w:rPr>
            </w:pPr>
            <w:r>
              <w:rPr>
                <w:b/>
                <w:color w:val="auto"/>
                <w:sz w:val="16"/>
                <w:szCs w:val="16"/>
              </w:rPr>
              <w:t>14,7</w:t>
            </w:r>
          </w:p>
        </w:tc>
        <w:tc>
          <w:tcPr>
            <w:tcW w:w="849" w:type="dxa"/>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rPr>
              <w:t>14,3</w:t>
            </w:r>
          </w:p>
        </w:tc>
        <w:tc>
          <w:tcPr>
            <w:tcW w:w="1561" w:type="dxa"/>
            <w:tcBorders/>
            <w:tcMar>
              <w:left w:w="108" w:type="dxa"/>
              <w:right w:w="108" w:type="dxa"/>
            </w:tcMar>
            <w:vAlign w:val="bottom"/>
          </w:tcPr>
          <w:p>
            <w:pPr>
              <w:pStyle w:val="DMETW2940BIPCOMPARABLE"/>
              <w:widowControl w:val="false"/>
              <w:jc w:val="center"/>
              <w:rPr>
                <w:b/>
                <w:color w:val="auto"/>
                <w:sz w:val="16"/>
                <w:szCs w:val="16"/>
              </w:rPr>
            </w:pPr>
            <w:r>
              <w:rPr>
                <w:b/>
                <w:color w:val="auto"/>
                <w:sz w:val="16"/>
                <w:szCs w:val="16"/>
              </w:rPr>
              <w:t>—</w:t>
            </w:r>
          </w:p>
        </w:tc>
        <w:tc>
          <w:tcPr>
            <w:tcW w:w="566" w:type="dxa"/>
            <w:tcBorders/>
            <w:vAlign w:val="bottom"/>
          </w:tcPr>
          <w:p>
            <w:pPr>
              <w:pStyle w:val="DMETW2940BIPCOMPARABLE"/>
              <w:widowControl w:val="false"/>
              <w:jc w:val="right"/>
              <w:rPr>
                <w:b/>
                <w:color w:val="auto"/>
                <w:sz w:val="16"/>
                <w:szCs w:val="16"/>
              </w:rPr>
            </w:pPr>
            <w:r>
              <w:rPr>
                <w:b/>
                <w:color w:val="auto"/>
                <w:sz w:val="16"/>
                <w:szCs w:val="16"/>
              </w:rPr>
              <w:t>14,7</w:t>
            </w:r>
          </w:p>
        </w:tc>
        <w:tc>
          <w:tcPr>
            <w:tcW w:w="709" w:type="dxa"/>
            <w:tcBorders/>
            <w:vAlign w:val="bottom"/>
          </w:tcPr>
          <w:p>
            <w:pPr>
              <w:pStyle w:val="DMETW2940BIPCOMPARABLE"/>
              <w:widowControl w:val="false"/>
              <w:jc w:val="right"/>
              <w:rPr>
                <w:b/>
                <w:color w:val="auto"/>
                <w:sz w:val="16"/>
                <w:szCs w:val="16"/>
              </w:rPr>
            </w:pPr>
            <w:r>
              <w:rPr>
                <w:b/>
                <w:color w:val="auto"/>
                <w:sz w:val="16"/>
                <w:szCs w:val="16"/>
              </w:rPr>
              <w:t>(2,7)</w:t>
            </w:r>
          </w:p>
        </w:tc>
        <w:tc>
          <w:tcPr>
            <w:tcW w:w="708" w:type="dxa"/>
            <w:tcBorders/>
            <w:vAlign w:val="bottom"/>
          </w:tcPr>
          <w:p>
            <w:pPr>
              <w:pStyle w:val="DMETW2940BIPCOMPARABLE"/>
              <w:widowControl w:val="false"/>
              <w:jc w:val="right"/>
              <w:rPr>
                <w:b/>
                <w:color w:val="auto"/>
                <w:sz w:val="16"/>
                <w:szCs w:val="16"/>
              </w:rPr>
            </w:pPr>
            <w:r>
              <w:rPr>
                <w:b/>
                <w:color w:val="auto"/>
                <w:sz w:val="16"/>
                <w:szCs w:val="16"/>
              </w:rPr>
              <w:t>12,0</w:t>
            </w:r>
          </w:p>
        </w:tc>
        <w:tc>
          <w:tcPr>
            <w:tcW w:w="709" w:type="dxa"/>
            <w:tcBorders/>
            <w:tcMar>
              <w:left w:w="108" w:type="dxa"/>
              <w:right w:w="108" w:type="dxa"/>
            </w:tcMar>
            <w:vAlign w:val="bottom"/>
          </w:tcPr>
          <w:p>
            <w:pPr>
              <w:pStyle w:val="DMETW2940BIPCOMPARABLE"/>
              <w:widowControl w:val="false"/>
              <w:ind w:right="-108" w:hanging="0"/>
              <w:jc w:val="right"/>
              <w:rPr>
                <w:b/>
                <w:color w:val="auto"/>
                <w:sz w:val="16"/>
                <w:szCs w:val="16"/>
              </w:rPr>
            </w:pPr>
            <w:r>
              <w:rPr>
                <w:b/>
                <w:color w:val="auto"/>
                <w:sz w:val="16"/>
                <w:szCs w:val="16"/>
              </w:rPr>
              <w:t>0,033</w:t>
            </w:r>
          </w:p>
        </w:tc>
      </w:tr>
      <w:tr>
        <w:trPr>
          <w:trHeight w:val="423" w:hRule="atLeast"/>
        </w:trPr>
        <w:tc>
          <w:tcPr>
            <w:tcW w:w="1842" w:type="dxa"/>
            <w:tcBorders/>
            <w:vAlign w:val="bottom"/>
          </w:tcPr>
          <w:p>
            <w:pPr>
              <w:pStyle w:val="DMETW1943BIPCOMPARABLE"/>
              <w:widowControl w:val="false"/>
              <w:rPr>
                <w:sz w:val="16"/>
                <w:szCs w:val="16"/>
                <w:lang w:val="el-GR"/>
              </w:rPr>
            </w:pPr>
            <w:r>
              <w:rPr>
                <w:sz w:val="16"/>
                <w:szCs w:val="16"/>
                <w:lang w:val="el-GR"/>
              </w:rPr>
              <w:t>Λοιπά φορολογικά στοιχεία</w:t>
            </w:r>
          </w:p>
        </w:tc>
        <w:tc>
          <w:tcPr>
            <w:tcW w:w="849" w:type="dxa"/>
            <w:tcBorders>
              <w:bottom w:val="single" w:sz="4" w:space="0" w:color="000000"/>
            </w:tcBorders>
            <w:vAlign w:val="bottom"/>
          </w:tcPr>
          <w:p>
            <w:pPr>
              <w:pStyle w:val="DMETW1943BIPCOMPARABLE"/>
              <w:widowControl w:val="false"/>
              <w:jc w:val="right"/>
              <w:rPr>
                <w:sz w:val="16"/>
                <w:szCs w:val="16"/>
                <w:lang w:val="el-GR"/>
              </w:rPr>
            </w:pPr>
            <w:r>
              <w:rPr>
                <w:b/>
                <w:sz w:val="16"/>
                <w:szCs w:val="16"/>
              </w:rPr>
              <w:t>—</w:t>
            </w:r>
          </w:p>
        </w:tc>
        <w:tc>
          <w:tcPr>
            <w:tcW w:w="710" w:type="dxa"/>
            <w:tcBorders>
              <w:bottom w:val="single" w:sz="4" w:space="0" w:color="000000"/>
            </w:tcBorders>
            <w:vAlign w:val="bottom"/>
          </w:tcPr>
          <w:p>
            <w:pPr>
              <w:pStyle w:val="DMETW1943BIPCOMPARABLE"/>
              <w:widowControl w:val="false"/>
              <w:ind w:left="-38" w:hanging="25"/>
              <w:jc w:val="right"/>
              <w:rPr>
                <w:sz w:val="16"/>
                <w:szCs w:val="16"/>
                <w:lang w:val="el-GR"/>
              </w:rPr>
            </w:pPr>
            <w:r>
              <w:rPr>
                <w:b/>
                <w:sz w:val="16"/>
                <w:szCs w:val="16"/>
              </w:rPr>
              <w:t>—</w:t>
            </w:r>
          </w:p>
        </w:tc>
        <w:tc>
          <w:tcPr>
            <w:tcW w:w="852" w:type="dxa"/>
            <w:tcBorders>
              <w:bottom w:val="single" w:sz="4" w:space="0" w:color="000000"/>
            </w:tcBorders>
            <w:vAlign w:val="bottom"/>
          </w:tcPr>
          <w:p>
            <w:pPr>
              <w:pStyle w:val="DMETW1943BIPCOMPARABLE"/>
              <w:widowControl w:val="false"/>
              <w:jc w:val="right"/>
              <w:rPr>
                <w:sz w:val="16"/>
                <w:szCs w:val="16"/>
                <w:lang w:val="el-GR"/>
              </w:rPr>
            </w:pPr>
            <w:r>
              <w:rPr>
                <w:b/>
                <w:sz w:val="16"/>
                <w:szCs w:val="16"/>
              </w:rPr>
              <w:t>—</w:t>
            </w:r>
          </w:p>
        </w:tc>
        <w:tc>
          <w:tcPr>
            <w:tcW w:w="850" w:type="dxa"/>
            <w:tcBorders>
              <w:bottom w:val="single" w:sz="4" w:space="0" w:color="000000"/>
            </w:tcBorders>
            <w:vAlign w:val="bottom"/>
          </w:tcPr>
          <w:p>
            <w:pPr>
              <w:pStyle w:val="DMETW1943BIPCOMPARABLE"/>
              <w:widowControl w:val="false"/>
              <w:ind w:left="-63" w:firstLine="63"/>
              <w:jc w:val="right"/>
              <w:rPr>
                <w:sz w:val="16"/>
                <w:szCs w:val="16"/>
                <w:lang w:val="el-GR"/>
              </w:rPr>
            </w:pPr>
            <w:r>
              <w:rPr>
                <w:b/>
                <w:sz w:val="16"/>
                <w:szCs w:val="16"/>
              </w:rPr>
              <w:t>—</w:t>
            </w:r>
          </w:p>
        </w:tc>
        <w:tc>
          <w:tcPr>
            <w:tcW w:w="849" w:type="dxa"/>
            <w:tcBorders>
              <w:bottom w:val="single" w:sz="4" w:space="0" w:color="000000"/>
            </w:tcBorders>
            <w:tcMar>
              <w:left w:w="108" w:type="dxa"/>
              <w:right w:w="108" w:type="dxa"/>
            </w:tcMar>
            <w:vAlign w:val="bottom"/>
          </w:tcPr>
          <w:p>
            <w:pPr>
              <w:pStyle w:val="DMETW1943BIPCOMPARABLE"/>
              <w:widowControl w:val="false"/>
              <w:ind w:right="-104" w:hanging="0"/>
              <w:jc w:val="right"/>
              <w:rPr>
                <w:b/>
                <w:sz w:val="16"/>
                <w:szCs w:val="16"/>
              </w:rPr>
            </w:pPr>
            <w:r>
              <w:rPr>
                <w:b/>
                <w:sz w:val="16"/>
                <w:szCs w:val="16"/>
              </w:rPr>
              <w:t>—</w:t>
            </w:r>
          </w:p>
        </w:tc>
        <w:tc>
          <w:tcPr>
            <w:tcW w:w="1561" w:type="dxa"/>
            <w:tcBorders>
              <w:bottom w:val="single" w:sz="4" w:space="0" w:color="000000"/>
            </w:tcBorders>
            <w:tcMar>
              <w:left w:w="108" w:type="dxa"/>
              <w:right w:w="108" w:type="dxa"/>
            </w:tcMar>
            <w:vAlign w:val="bottom"/>
          </w:tcPr>
          <w:p>
            <w:pPr>
              <w:pStyle w:val="DMETW1943BIPCOMPARABLE"/>
              <w:widowControl w:val="false"/>
              <w:jc w:val="center"/>
              <w:rPr>
                <w:sz w:val="16"/>
                <w:szCs w:val="16"/>
                <w:lang w:val="el-GR"/>
              </w:rPr>
            </w:pPr>
            <w:r>
              <w:rPr>
                <w:b/>
                <w:sz w:val="16"/>
                <w:szCs w:val="16"/>
              </w:rPr>
              <w:t>—</w:t>
            </w:r>
          </w:p>
        </w:tc>
        <w:tc>
          <w:tcPr>
            <w:tcW w:w="566" w:type="dxa"/>
            <w:tcBorders>
              <w:bottom w:val="single" w:sz="4" w:space="0" w:color="000000"/>
            </w:tcBorders>
            <w:vAlign w:val="bottom"/>
          </w:tcPr>
          <w:p>
            <w:pPr>
              <w:pStyle w:val="DMETW1943BIPCOMPARABLE"/>
              <w:widowControl w:val="false"/>
              <w:jc w:val="right"/>
              <w:rPr>
                <w:sz w:val="16"/>
                <w:szCs w:val="16"/>
                <w:lang w:val="el-GR"/>
              </w:rPr>
            </w:pPr>
            <w:r>
              <w:rPr>
                <w:b/>
                <w:sz w:val="16"/>
                <w:szCs w:val="16"/>
              </w:rPr>
              <w:t>—</w:t>
            </w:r>
          </w:p>
        </w:tc>
        <w:tc>
          <w:tcPr>
            <w:tcW w:w="709" w:type="dxa"/>
            <w:tcBorders>
              <w:bottom w:val="single" w:sz="4" w:space="0" w:color="000000"/>
            </w:tcBorders>
            <w:vAlign w:val="bottom"/>
          </w:tcPr>
          <w:p>
            <w:pPr>
              <w:pStyle w:val="DMETW1943BIPCOMPARABLE"/>
              <w:widowControl w:val="false"/>
              <w:jc w:val="right"/>
              <w:rPr>
                <w:sz w:val="16"/>
                <w:szCs w:val="16"/>
                <w:lang w:val="el-GR"/>
              </w:rPr>
            </w:pPr>
            <w:r>
              <w:rPr>
                <w:b/>
                <w:sz w:val="16"/>
                <w:szCs w:val="16"/>
              </w:rPr>
              <w:t>(3,6)</w:t>
            </w:r>
          </w:p>
        </w:tc>
        <w:tc>
          <w:tcPr>
            <w:tcW w:w="708" w:type="dxa"/>
            <w:tcBorders>
              <w:bottom w:val="single" w:sz="4" w:space="0" w:color="000000"/>
            </w:tcBorders>
            <w:vAlign w:val="bottom"/>
          </w:tcPr>
          <w:p>
            <w:pPr>
              <w:pStyle w:val="DMETW1943BIPCOMPARABLE"/>
              <w:widowControl w:val="false"/>
              <w:jc w:val="right"/>
              <w:rPr>
                <w:sz w:val="16"/>
                <w:szCs w:val="16"/>
                <w:lang w:val="el-GR"/>
              </w:rPr>
            </w:pPr>
            <w:r>
              <w:rPr>
                <w:b/>
                <w:sz w:val="16"/>
                <w:szCs w:val="16"/>
              </w:rPr>
              <w:t>(3,6)</w:t>
            </w:r>
          </w:p>
        </w:tc>
        <w:tc>
          <w:tcPr>
            <w:tcW w:w="709" w:type="dxa"/>
            <w:tcBorders>
              <w:bottom w:val="single" w:sz="4" w:space="0" w:color="000000"/>
            </w:tcBorders>
            <w:tcMar>
              <w:left w:w="108" w:type="dxa"/>
              <w:right w:w="108" w:type="dxa"/>
            </w:tcMar>
            <w:vAlign w:val="bottom"/>
          </w:tcPr>
          <w:p>
            <w:pPr>
              <w:pStyle w:val="DMETW1943BIPCOMPARABLE"/>
              <w:widowControl w:val="false"/>
              <w:ind w:right="-108" w:hanging="0"/>
              <w:jc w:val="right"/>
              <w:rPr>
                <w:sz w:val="16"/>
                <w:szCs w:val="16"/>
                <w:lang w:val="el-GR"/>
              </w:rPr>
            </w:pPr>
            <w:r>
              <w:rPr>
                <w:b/>
                <w:sz w:val="16"/>
                <w:szCs w:val="16"/>
              </w:rPr>
              <w:t>(0,010)</w:t>
            </w:r>
          </w:p>
        </w:tc>
      </w:tr>
      <w:tr>
        <w:trPr>
          <w:trHeight w:val="149" w:hRule="atLeast"/>
        </w:trPr>
        <w:tc>
          <w:tcPr>
            <w:tcW w:w="1842" w:type="dxa"/>
            <w:tcBorders/>
            <w:vAlign w:val="bottom"/>
          </w:tcPr>
          <w:p>
            <w:pPr>
              <w:pStyle w:val="DMETW2940BIPCOMPARABLE"/>
              <w:widowControl w:val="false"/>
              <w:rPr>
                <w:b/>
                <w:color w:val="auto"/>
                <w:sz w:val="17"/>
                <w:szCs w:val="17"/>
              </w:rPr>
            </w:pPr>
            <w:r>
              <w:rPr>
                <w:b/>
                <w:color w:val="auto"/>
                <w:sz w:val="16"/>
                <w:szCs w:val="16"/>
              </w:rPr>
              <w:t>Συγκρίσιμα μεγέθη</w:t>
            </w:r>
          </w:p>
        </w:tc>
        <w:tc>
          <w:tcPr>
            <w:tcW w:w="849" w:type="dxa"/>
            <w:tcBorders>
              <w:top w:val="single" w:sz="4" w:space="0" w:color="000000"/>
              <w:bottom w:val="single" w:sz="4" w:space="0" w:color="000000"/>
            </w:tcBorders>
            <w:vAlign w:val="bottom"/>
          </w:tcPr>
          <w:p>
            <w:pPr>
              <w:pStyle w:val="DMETW2940BIPCOMPARABLE"/>
              <w:widowControl w:val="false"/>
              <w:jc w:val="right"/>
              <w:rPr>
                <w:b/>
                <w:color w:val="auto"/>
                <w:sz w:val="16"/>
                <w:szCs w:val="16"/>
              </w:rPr>
            </w:pPr>
            <w:r>
              <w:rPr>
                <w:b/>
                <w:color w:val="auto"/>
                <w:sz w:val="16"/>
                <w:szCs w:val="16"/>
              </w:rPr>
              <w:t>(3.875,0)</w:t>
            </w:r>
          </w:p>
        </w:tc>
        <w:tc>
          <w:tcPr>
            <w:tcW w:w="710" w:type="dxa"/>
            <w:tcBorders>
              <w:top w:val="single" w:sz="4" w:space="0" w:color="000000"/>
              <w:bottom w:val="single" w:sz="4" w:space="0" w:color="000000"/>
            </w:tcBorders>
            <w:vAlign w:val="bottom"/>
          </w:tcPr>
          <w:p>
            <w:pPr>
              <w:pStyle w:val="DMETW2940BIPCOMPARABLE"/>
              <w:widowControl w:val="false"/>
              <w:ind w:left="-38" w:hanging="25"/>
              <w:jc w:val="right"/>
              <w:rPr>
                <w:b/>
                <w:color w:val="auto"/>
                <w:sz w:val="16"/>
                <w:szCs w:val="16"/>
              </w:rPr>
            </w:pPr>
            <w:r>
              <w:rPr>
                <w:b/>
                <w:color w:val="auto"/>
                <w:sz w:val="16"/>
                <w:szCs w:val="16"/>
              </w:rPr>
              <w:t>2.354,4</w:t>
            </w:r>
          </w:p>
        </w:tc>
        <w:tc>
          <w:tcPr>
            <w:tcW w:w="852" w:type="dxa"/>
            <w:tcBorders>
              <w:top w:val="single" w:sz="4" w:space="0" w:color="000000"/>
              <w:bottom w:val="single" w:sz="4" w:space="0" w:color="000000"/>
            </w:tcBorders>
            <w:vAlign w:val="bottom"/>
          </w:tcPr>
          <w:p>
            <w:pPr>
              <w:pStyle w:val="DMETW2940BIPCOMPARABLE"/>
              <w:widowControl w:val="false"/>
              <w:jc w:val="right"/>
              <w:rPr>
                <w:b/>
                <w:color w:val="auto"/>
                <w:sz w:val="16"/>
                <w:szCs w:val="16"/>
              </w:rPr>
            </w:pPr>
            <w:r>
              <w:rPr>
                <w:b/>
                <w:color w:val="auto"/>
                <w:sz w:val="16"/>
                <w:szCs w:val="16"/>
              </w:rPr>
              <w:t>(1.602,3)</w:t>
            </w:r>
          </w:p>
        </w:tc>
        <w:tc>
          <w:tcPr>
            <w:tcW w:w="850" w:type="dxa"/>
            <w:tcBorders>
              <w:top w:val="single" w:sz="4" w:space="0" w:color="000000"/>
              <w:bottom w:val="single" w:sz="4" w:space="0" w:color="000000"/>
            </w:tcBorders>
            <w:vAlign w:val="bottom"/>
          </w:tcPr>
          <w:p>
            <w:pPr>
              <w:pStyle w:val="DMETW2940BIPCOMPARABLE"/>
              <w:widowControl w:val="false"/>
              <w:ind w:left="-63" w:firstLine="63"/>
              <w:jc w:val="right"/>
              <w:rPr>
                <w:b/>
                <w:color w:val="auto"/>
                <w:sz w:val="16"/>
                <w:szCs w:val="16"/>
              </w:rPr>
            </w:pPr>
            <w:r>
              <w:rPr>
                <w:b/>
                <w:color w:val="auto"/>
                <w:sz w:val="16"/>
                <w:szCs w:val="16"/>
              </w:rPr>
              <w:t>760,1</w:t>
            </w:r>
          </w:p>
        </w:tc>
        <w:tc>
          <w:tcPr>
            <w:tcW w:w="849" w:type="dxa"/>
            <w:tcBorders>
              <w:top w:val="single" w:sz="4" w:space="0" w:color="000000"/>
              <w:bottom w:val="single" w:sz="4" w:space="0" w:color="000000"/>
            </w:tcBorders>
            <w:tcMar>
              <w:left w:w="108" w:type="dxa"/>
              <w:right w:w="108" w:type="dxa"/>
            </w:tcMar>
            <w:vAlign w:val="bottom"/>
          </w:tcPr>
          <w:p>
            <w:pPr>
              <w:pStyle w:val="DMETW2940BIPCOMPARABLE"/>
              <w:widowControl w:val="false"/>
              <w:ind w:right="-104" w:hanging="0"/>
              <w:jc w:val="right"/>
              <w:rPr>
                <w:b/>
                <w:color w:val="auto"/>
                <w:sz w:val="16"/>
                <w:szCs w:val="16"/>
              </w:rPr>
            </w:pPr>
            <w:r>
              <w:rPr>
                <w:b/>
                <w:color w:val="auto"/>
                <w:sz w:val="16"/>
                <w:szCs w:val="16"/>
              </w:rPr>
              <w:t>1.001,0</w:t>
            </w:r>
          </w:p>
        </w:tc>
        <w:tc>
          <w:tcPr>
            <w:tcW w:w="1561" w:type="dxa"/>
            <w:tcBorders>
              <w:top w:val="single" w:sz="4" w:space="0" w:color="000000"/>
              <w:bottom w:val="single" w:sz="4" w:space="0" w:color="000000"/>
            </w:tcBorders>
            <w:tcMar>
              <w:left w:w="108" w:type="dxa"/>
              <w:right w:w="108" w:type="dxa"/>
            </w:tcMar>
            <w:vAlign w:val="bottom"/>
          </w:tcPr>
          <w:p>
            <w:pPr>
              <w:pStyle w:val="DMETW2940BIPCOMPARABLE"/>
              <w:widowControl w:val="false"/>
              <w:jc w:val="center"/>
              <w:rPr>
                <w:b/>
                <w:color w:val="auto"/>
                <w:sz w:val="16"/>
                <w:szCs w:val="16"/>
                <w:lang w:val="el-GR"/>
              </w:rPr>
            </w:pPr>
            <w:r>
              <w:rPr>
                <w:b/>
                <w:color w:val="auto"/>
                <w:sz w:val="16"/>
                <w:szCs w:val="16"/>
                <w:lang w:val="el-GR"/>
              </w:rPr>
              <w:t>0,5</w:t>
            </w:r>
          </w:p>
        </w:tc>
        <w:tc>
          <w:tcPr>
            <w:tcW w:w="566" w:type="dxa"/>
            <w:tcBorders>
              <w:top w:val="single" w:sz="4" w:space="0" w:color="000000"/>
              <w:bottom w:val="single" w:sz="4" w:space="0" w:color="000000"/>
            </w:tcBorders>
            <w:vAlign w:val="bottom"/>
          </w:tcPr>
          <w:p>
            <w:pPr>
              <w:pStyle w:val="DMETW2940BIPCOMPARABLE"/>
              <w:widowControl w:val="false"/>
              <w:jc w:val="right"/>
              <w:rPr>
                <w:b/>
                <w:color w:val="auto"/>
                <w:sz w:val="16"/>
                <w:szCs w:val="16"/>
              </w:rPr>
            </w:pPr>
            <w:r>
              <w:rPr>
                <w:b/>
                <w:color w:val="auto"/>
                <w:sz w:val="16"/>
                <w:szCs w:val="16"/>
              </w:rPr>
              <w:t>752,6</w:t>
            </w:r>
          </w:p>
        </w:tc>
        <w:tc>
          <w:tcPr>
            <w:tcW w:w="709" w:type="dxa"/>
            <w:tcBorders>
              <w:top w:val="single" w:sz="4" w:space="0" w:color="000000"/>
              <w:bottom w:val="single" w:sz="4" w:space="0" w:color="000000"/>
            </w:tcBorders>
            <w:vAlign w:val="bottom"/>
          </w:tcPr>
          <w:p>
            <w:pPr>
              <w:pStyle w:val="DMETW2940BIPCOMPARABLE"/>
              <w:widowControl w:val="false"/>
              <w:jc w:val="right"/>
              <w:rPr>
                <w:b/>
                <w:color w:val="auto"/>
                <w:sz w:val="16"/>
                <w:szCs w:val="16"/>
              </w:rPr>
            </w:pPr>
            <w:r>
              <w:rPr>
                <w:b/>
                <w:color w:val="auto"/>
                <w:sz w:val="16"/>
                <w:szCs w:val="16"/>
              </w:rPr>
              <w:t>(204,1)</w:t>
            </w:r>
          </w:p>
        </w:tc>
        <w:tc>
          <w:tcPr>
            <w:tcW w:w="708" w:type="dxa"/>
            <w:tcBorders>
              <w:top w:val="single" w:sz="4" w:space="0" w:color="000000"/>
              <w:bottom w:val="single" w:sz="4" w:space="0" w:color="000000"/>
            </w:tcBorders>
            <w:vAlign w:val="bottom"/>
          </w:tcPr>
          <w:p>
            <w:pPr>
              <w:pStyle w:val="DMETW2940BIPCOMPARABLE"/>
              <w:widowControl w:val="false"/>
              <w:jc w:val="right"/>
              <w:rPr>
                <w:b/>
                <w:color w:val="auto"/>
                <w:sz w:val="16"/>
                <w:szCs w:val="16"/>
              </w:rPr>
            </w:pPr>
            <w:r>
              <w:rPr>
                <w:b/>
                <w:color w:val="auto"/>
                <w:sz w:val="16"/>
                <w:szCs w:val="16"/>
              </w:rPr>
              <w:t>548,5</w:t>
            </w:r>
          </w:p>
        </w:tc>
        <w:tc>
          <w:tcPr>
            <w:tcW w:w="709" w:type="dxa"/>
            <w:tcBorders>
              <w:top w:val="single" w:sz="4" w:space="0" w:color="000000"/>
              <w:bottom w:val="single" w:sz="4" w:space="0" w:color="000000"/>
            </w:tcBorders>
            <w:tcMar>
              <w:left w:w="108" w:type="dxa"/>
              <w:right w:w="108" w:type="dxa"/>
            </w:tcMar>
            <w:vAlign w:val="bottom"/>
          </w:tcPr>
          <w:p>
            <w:pPr>
              <w:pStyle w:val="DMETW2940BIPCOMPARABLE"/>
              <w:widowControl w:val="false"/>
              <w:ind w:right="-108" w:hanging="0"/>
              <w:jc w:val="right"/>
              <w:rPr>
                <w:b/>
                <w:color w:val="auto"/>
                <w:sz w:val="16"/>
                <w:szCs w:val="16"/>
              </w:rPr>
            </w:pPr>
            <w:r>
              <w:rPr>
                <w:b/>
                <w:color w:val="auto"/>
                <w:sz w:val="16"/>
                <w:szCs w:val="16"/>
              </w:rPr>
              <w:t>1,507</w:t>
            </w:r>
          </w:p>
        </w:tc>
      </w:tr>
    </w:tbl>
    <w:p>
      <w:pPr>
        <w:pStyle w:val="Normal"/>
        <w:ind w:left="-180" w:hanging="0"/>
        <w:jc w:val="both"/>
        <w:rPr>
          <w:rFonts w:ascii="Effra Corp" w:hAnsi="Effra Corp" w:eastAsia="Effra Corp" w:cs="Effra Corp"/>
          <w:spacing w:val="-2"/>
          <w:sz w:val="21"/>
          <w:lang w:val="el-GR" w:bidi="el-GR"/>
        </w:rPr>
      </w:pPr>
      <w:r>
        <w:rPr>
          <w:rFonts w:eastAsia="Effra Corp" w:cs="Effra Corp" w:ascii="Effra Corp" w:hAnsi="Effra Corp"/>
          <w:spacing w:val="-2"/>
          <w:sz w:val="21"/>
          <w:lang w:val="el-GR" w:bidi="el-GR"/>
        </w:rPr>
      </w:r>
    </w:p>
    <w:tbl>
      <w:tblPr>
        <w:tblW w:w="10596" w:type="dxa"/>
        <w:jc w:val="left"/>
        <w:tblInd w:w="-284" w:type="dxa"/>
        <w:tblLayout w:type="fixed"/>
        <w:tblCellMar>
          <w:top w:w="0" w:type="dxa"/>
          <w:left w:w="60" w:type="dxa"/>
          <w:bottom w:w="0" w:type="dxa"/>
          <w:right w:w="60" w:type="dxa"/>
        </w:tblCellMar>
        <w:tblLook w:firstRow="1" w:noVBand="1" w:lastRow="0" w:firstColumn="1" w:lastColumn="0" w:noHBand="0" w:val="04a0"/>
      </w:tblPr>
      <w:tblGrid>
        <w:gridCol w:w="1837"/>
        <w:gridCol w:w="856"/>
        <w:gridCol w:w="710"/>
        <w:gridCol w:w="850"/>
        <w:gridCol w:w="851"/>
        <w:gridCol w:w="849"/>
        <w:gridCol w:w="709"/>
        <w:gridCol w:w="709"/>
        <w:gridCol w:w="709"/>
        <w:gridCol w:w="709"/>
        <w:gridCol w:w="1805"/>
      </w:tblGrid>
      <w:tr>
        <w:trPr>
          <w:trHeight w:val="262" w:hRule="exact"/>
        </w:trPr>
        <w:tc>
          <w:tcPr>
            <w:tcW w:w="1837" w:type="dxa"/>
            <w:tcBorders/>
            <w:vAlign w:val="bottom"/>
          </w:tcPr>
          <w:p>
            <w:pPr>
              <w:pStyle w:val="DMETW2940BIPCOMPARABLE"/>
              <w:widowControl w:val="false"/>
              <w:rPr>
                <w:color w:val="auto"/>
                <w:sz w:val="17"/>
                <w:szCs w:val="17"/>
              </w:rPr>
            </w:pPr>
            <w:r>
              <w:rPr>
                <w:color w:val="auto"/>
                <w:sz w:val="17"/>
                <w:szCs w:val="17"/>
              </w:rPr>
            </w:r>
          </w:p>
        </w:tc>
        <w:tc>
          <w:tcPr>
            <w:tcW w:w="6952" w:type="dxa"/>
            <w:gridSpan w:val="9"/>
            <w:tcBorders/>
            <w:shd w:color="auto" w:fill="BFBFBF" w:val="clear"/>
            <w:vAlign w:val="bottom"/>
          </w:tcPr>
          <w:p>
            <w:pPr>
              <w:pStyle w:val="DMETW2940BIPCOMPARABLE"/>
              <w:widowControl w:val="false"/>
              <w:jc w:val="center"/>
              <w:rPr>
                <w:color w:val="auto"/>
                <w:sz w:val="16"/>
                <w:szCs w:val="16"/>
                <w:lang w:val="el-GR"/>
              </w:rPr>
            </w:pPr>
            <w:r>
              <w:rPr>
                <w:b/>
                <w:color w:val="auto"/>
                <w:sz w:val="16"/>
                <w:szCs w:val="16"/>
                <w:lang w:val="el-GR"/>
              </w:rPr>
              <w:t>Α’ Εξάμηνο</w:t>
            </w:r>
            <w:r>
              <w:rPr>
                <w:b/>
                <w:color w:val="auto"/>
                <w:sz w:val="16"/>
                <w:szCs w:val="16"/>
              </w:rPr>
              <w:t xml:space="preserve"> 202</w:t>
            </w:r>
            <w:r>
              <w:rPr>
                <w:b/>
                <w:color w:val="auto"/>
                <w:sz w:val="16"/>
                <w:szCs w:val="16"/>
                <w:lang w:val="el-GR"/>
              </w:rPr>
              <w:t>5</w:t>
            </w:r>
          </w:p>
        </w:tc>
        <w:tc>
          <w:tcPr>
            <w:tcW w:w="1805" w:type="dxa"/>
            <w:tcBorders/>
            <w:tcMar>
              <w:left w:w="108" w:type="dxa"/>
              <w:right w:w="108" w:type="dxa"/>
            </w:tcMar>
            <w:vAlign w:val="bottom"/>
          </w:tcPr>
          <w:p>
            <w:pPr>
              <w:pStyle w:val="Normal"/>
              <w:widowControl w:val="false"/>
              <w:rPr>
                <w:rFonts w:ascii="Effra Corp" w:hAnsi="Effra Corp" w:eastAsia="Effra Corp" w:cs="Effra Corp"/>
                <w:sz w:val="20"/>
                <w:szCs w:val="20"/>
                <w:lang w:eastAsia="en-US"/>
              </w:rPr>
            </w:pPr>
            <w:r>
              <w:rPr>
                <w:rFonts w:eastAsia="Effra Corp" w:cs="Effra Corp" w:ascii="Effra Corp" w:hAnsi="Effra Corp"/>
                <w:sz w:val="20"/>
                <w:szCs w:val="20"/>
                <w:lang w:eastAsia="en-US"/>
              </w:rPr>
            </w:r>
          </w:p>
        </w:tc>
      </w:tr>
      <w:tr>
        <w:trPr>
          <w:trHeight w:val="785" w:hRule="exact"/>
        </w:trPr>
        <w:tc>
          <w:tcPr>
            <w:tcW w:w="1837" w:type="dxa"/>
            <w:tcBorders/>
            <w:vAlign w:val="bottom"/>
          </w:tcPr>
          <w:p>
            <w:pPr>
              <w:pStyle w:val="DMETW2940BIPCOMPARABLE"/>
              <w:widowControl w:val="false"/>
              <w:rPr>
                <w:color w:val="auto"/>
                <w:sz w:val="17"/>
                <w:szCs w:val="17"/>
              </w:rPr>
            </w:pPr>
            <w:r>
              <w:rPr>
                <w:color w:val="auto"/>
                <w:sz w:val="17"/>
                <w:szCs w:val="17"/>
              </w:rPr>
            </w:r>
          </w:p>
        </w:tc>
        <w:tc>
          <w:tcPr>
            <w:tcW w:w="856"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Κόστος πωληθέ</w:t>
            </w:r>
            <w:r>
              <w:rPr>
                <w:b/>
                <w:color w:val="auto"/>
                <w:sz w:val="14"/>
                <w:szCs w:val="14"/>
                <w:lang w:val="el-GR"/>
              </w:rPr>
              <w:t>-ν</w:t>
            </w:r>
            <w:r>
              <w:rPr>
                <w:b/>
                <w:color w:val="auto"/>
                <w:sz w:val="14"/>
                <w:szCs w:val="14"/>
              </w:rPr>
              <w:t>των</w:t>
            </w:r>
          </w:p>
        </w:tc>
        <w:tc>
          <w:tcPr>
            <w:tcW w:w="710"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Μικτά κέρδη</w:t>
            </w:r>
          </w:p>
        </w:tc>
        <w:tc>
          <w:tcPr>
            <w:tcW w:w="850"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Λειτουργι-κά έξοδα</w:t>
            </w:r>
          </w:p>
        </w:tc>
        <w:tc>
          <w:tcPr>
            <w:tcW w:w="851"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Λειτουρ</w:t>
            </w:r>
            <w:r>
              <w:rPr>
                <w:b/>
                <w:color w:val="auto"/>
                <w:sz w:val="14"/>
                <w:szCs w:val="14"/>
                <w:lang w:val="el-GR"/>
              </w:rPr>
              <w:t>γι-</w:t>
            </w:r>
            <w:r>
              <w:rPr>
                <w:b/>
                <w:color w:val="auto"/>
                <w:sz w:val="14"/>
                <w:szCs w:val="14"/>
              </w:rPr>
              <w:t>κά κέρδη (EBIT)</w:t>
            </w:r>
          </w:p>
        </w:tc>
        <w:tc>
          <w:tcPr>
            <w:tcW w:w="849"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Προσαρμo-σμένο EBITDA</w:t>
            </w:r>
          </w:p>
        </w:tc>
        <w:tc>
          <w:tcPr>
            <w:tcW w:w="709" w:type="dxa"/>
            <w:tcBorders/>
            <w:shd w:color="auto" w:fill="BFBFBF" w:val="clear"/>
            <w:vAlign w:val="bottom"/>
          </w:tcPr>
          <w:p>
            <w:pPr>
              <w:pStyle w:val="DMETW2940BIPCOMPARABLE"/>
              <w:widowControl w:val="false"/>
              <w:jc w:val="right"/>
              <w:rPr>
                <w:b/>
                <w:color w:val="auto"/>
                <w:sz w:val="14"/>
                <w:szCs w:val="14"/>
              </w:rPr>
            </w:pPr>
            <w:r>
              <w:rPr>
                <w:b/>
                <w:color w:val="auto"/>
                <w:sz w:val="14"/>
                <w:szCs w:val="14"/>
                <w:lang w:eastAsia="el-GR" w:bidi="el-GR"/>
              </w:rPr>
              <w:t>Κέρδη προ φόρων</w:t>
            </w:r>
          </w:p>
        </w:tc>
        <w:tc>
          <w:tcPr>
            <w:tcW w:w="709"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Φόροι</w:t>
            </w:r>
          </w:p>
        </w:tc>
        <w:tc>
          <w:tcPr>
            <w:tcW w:w="709" w:type="dxa"/>
            <w:tcBorders/>
            <w:shd w:color="auto" w:fill="BFBFBF" w:val="clear"/>
            <w:vAlign w:val="bottom"/>
          </w:tcPr>
          <w:p>
            <w:pPr>
              <w:pStyle w:val="DMETW2940BIPCOMPARABLE"/>
              <w:widowControl w:val="false"/>
              <w:jc w:val="right"/>
              <w:rPr>
                <w:b/>
                <w:color w:val="auto"/>
                <w:sz w:val="14"/>
                <w:szCs w:val="14"/>
              </w:rPr>
            </w:pPr>
            <w:r>
              <w:rPr>
                <w:b/>
                <w:color w:val="auto"/>
                <w:sz w:val="14"/>
                <w:szCs w:val="14"/>
              </w:rPr>
              <w:t>Καθαρά Κέρδη</w:t>
            </w:r>
            <w:r>
              <w:rPr>
                <w:b/>
                <w:color w:val="auto"/>
                <w:sz w:val="14"/>
                <w:szCs w:val="14"/>
                <w:vertAlign w:val="superscript"/>
              </w:rPr>
              <w:t>2</w:t>
            </w:r>
            <w:r>
              <w:rPr>
                <w:b/>
                <w:color w:val="auto"/>
                <w:sz w:val="14"/>
                <w:szCs w:val="14"/>
              </w:rPr>
              <w:t xml:space="preserve"> </w:t>
            </w:r>
          </w:p>
        </w:tc>
        <w:tc>
          <w:tcPr>
            <w:tcW w:w="709" w:type="dxa"/>
            <w:tcBorders/>
            <w:shd w:color="auto" w:fill="BFBFBF" w:val="clear"/>
            <w:tcMar>
              <w:left w:w="108" w:type="dxa"/>
              <w:right w:w="108" w:type="dxa"/>
            </w:tcMar>
            <w:vAlign w:val="bottom"/>
          </w:tcPr>
          <w:p>
            <w:pPr>
              <w:pStyle w:val="DMETW2940BIPCOMPARABLE"/>
              <w:widowControl w:val="false"/>
              <w:jc w:val="right"/>
              <w:rPr>
                <w:b/>
                <w:color w:val="auto"/>
                <w:sz w:val="14"/>
                <w:szCs w:val="14"/>
              </w:rPr>
            </w:pPr>
            <w:r>
              <w:rPr>
                <w:b/>
                <w:color w:val="auto"/>
                <w:sz w:val="14"/>
                <w:szCs w:val="14"/>
              </w:rPr>
              <w:t>Κέρδη ανά μετοχή (€)</w:t>
            </w:r>
          </w:p>
        </w:tc>
        <w:tc>
          <w:tcPr>
            <w:tcW w:w="1805" w:type="dxa"/>
            <w:tcBorders/>
            <w:tcMar>
              <w:left w:w="108" w:type="dxa"/>
              <w:right w:w="108" w:type="dxa"/>
            </w:tcMar>
          </w:tcPr>
          <w:p>
            <w:pPr>
              <w:pStyle w:val="Normal"/>
              <w:widowControl w:val="false"/>
              <w:rPr/>
            </w:pPr>
            <w:r>
              <w:rPr/>
            </w:r>
          </w:p>
        </w:tc>
      </w:tr>
      <w:tr>
        <w:trPr>
          <w:trHeight w:val="283" w:hRule="atLeast"/>
        </w:trPr>
        <w:tc>
          <w:tcPr>
            <w:tcW w:w="1837" w:type="dxa"/>
            <w:tcBorders/>
            <w:vAlign w:val="bottom"/>
          </w:tcPr>
          <w:p>
            <w:pPr>
              <w:pStyle w:val="DMETW2940BIPCOMPARABLE"/>
              <w:widowControl w:val="false"/>
              <w:rPr>
                <w:b/>
                <w:color w:val="auto"/>
                <w:sz w:val="17"/>
                <w:szCs w:val="17"/>
              </w:rPr>
            </w:pPr>
            <w:r>
              <w:rPr>
                <w:b/>
                <w:color w:val="auto"/>
                <w:sz w:val="16"/>
                <w:szCs w:val="16"/>
              </w:rPr>
              <w:t>Δημοσιευμένα μεγέθη</w:t>
            </w:r>
          </w:p>
        </w:tc>
        <w:tc>
          <w:tcPr>
            <w:tcW w:w="856" w:type="dxa"/>
            <w:tcBorders/>
            <w:vAlign w:val="bottom"/>
          </w:tcPr>
          <w:p>
            <w:pPr>
              <w:pStyle w:val="DMETW2940BIPCOMPARABLE"/>
              <w:widowControl w:val="false"/>
              <w:jc w:val="right"/>
              <w:rPr>
                <w:color w:val="auto"/>
                <w:sz w:val="16"/>
                <w:szCs w:val="16"/>
              </w:rPr>
            </w:pPr>
            <w:r>
              <w:rPr>
                <w:bCs/>
                <w:color w:val="auto"/>
                <w:sz w:val="16"/>
                <w:szCs w:val="16"/>
              </w:rPr>
              <w:t>(3</w:t>
            </w:r>
            <w:r>
              <w:rPr>
                <w:bCs/>
                <w:color w:val="auto"/>
                <w:sz w:val="16"/>
                <w:szCs w:val="16"/>
                <w:lang w:val="el-GR"/>
              </w:rPr>
              <w:t>.</w:t>
            </w:r>
            <w:r>
              <w:rPr>
                <w:bCs/>
                <w:color w:val="auto"/>
                <w:sz w:val="16"/>
                <w:szCs w:val="16"/>
              </w:rPr>
              <w:t>556</w:t>
            </w:r>
            <w:r>
              <w:rPr>
                <w:bCs/>
                <w:color w:val="auto"/>
                <w:sz w:val="16"/>
                <w:szCs w:val="16"/>
                <w:lang w:val="el-GR"/>
              </w:rPr>
              <w:t>,</w:t>
            </w:r>
            <w:r>
              <w:rPr>
                <w:bCs/>
                <w:color w:val="auto"/>
                <w:sz w:val="16"/>
                <w:szCs w:val="16"/>
              </w:rPr>
              <w:t>4)</w:t>
            </w:r>
          </w:p>
        </w:tc>
        <w:tc>
          <w:tcPr>
            <w:tcW w:w="710" w:type="dxa"/>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063</w:t>
            </w:r>
            <w:r>
              <w:rPr>
                <w:bCs/>
                <w:color w:val="auto"/>
                <w:sz w:val="16"/>
                <w:szCs w:val="16"/>
                <w:lang w:val="el-GR"/>
              </w:rPr>
              <w:t>,</w:t>
            </w:r>
            <w:r>
              <w:rPr>
                <w:bCs/>
                <w:color w:val="auto"/>
                <w:sz w:val="16"/>
                <w:szCs w:val="16"/>
              </w:rPr>
              <w:t>9</w:t>
            </w:r>
          </w:p>
        </w:tc>
        <w:tc>
          <w:tcPr>
            <w:tcW w:w="850" w:type="dxa"/>
            <w:tcBorders/>
            <w:vAlign w:val="bottom"/>
          </w:tcPr>
          <w:p>
            <w:pPr>
              <w:pStyle w:val="DMETW2940BIPCOMPARABLE"/>
              <w:widowControl w:val="false"/>
              <w:jc w:val="right"/>
              <w:rPr>
                <w:color w:val="auto"/>
                <w:sz w:val="16"/>
                <w:szCs w:val="16"/>
              </w:rPr>
            </w:pPr>
            <w:r>
              <w:rPr>
                <w:bCs/>
                <w:color w:val="auto"/>
                <w:sz w:val="16"/>
                <w:szCs w:val="16"/>
              </w:rPr>
              <w:t>(1</w:t>
            </w:r>
            <w:r>
              <w:rPr>
                <w:bCs/>
                <w:color w:val="auto"/>
                <w:sz w:val="16"/>
                <w:szCs w:val="16"/>
                <w:lang w:val="el-GR"/>
              </w:rPr>
              <w:t>.</w:t>
            </w:r>
            <w:r>
              <w:rPr>
                <w:bCs/>
                <w:color w:val="auto"/>
                <w:sz w:val="16"/>
                <w:szCs w:val="16"/>
              </w:rPr>
              <w:t>425</w:t>
            </w:r>
            <w:r>
              <w:rPr>
                <w:bCs/>
                <w:color w:val="auto"/>
                <w:sz w:val="16"/>
                <w:szCs w:val="16"/>
                <w:lang w:val="el-GR"/>
              </w:rPr>
              <w:t>,</w:t>
            </w:r>
            <w:r>
              <w:rPr>
                <w:bCs/>
                <w:color w:val="auto"/>
                <w:sz w:val="16"/>
                <w:szCs w:val="16"/>
              </w:rPr>
              <w:t>6)</w:t>
            </w:r>
          </w:p>
        </w:tc>
        <w:tc>
          <w:tcPr>
            <w:tcW w:w="851" w:type="dxa"/>
            <w:tcBorders/>
            <w:vAlign w:val="bottom"/>
          </w:tcPr>
          <w:p>
            <w:pPr>
              <w:pStyle w:val="DMETW2940BIPCOMPARABLE"/>
              <w:widowControl w:val="false"/>
              <w:jc w:val="right"/>
              <w:rPr>
                <w:color w:val="auto"/>
                <w:sz w:val="16"/>
                <w:szCs w:val="16"/>
              </w:rPr>
            </w:pPr>
            <w:r>
              <w:rPr>
                <w:bCs/>
                <w:color w:val="auto"/>
                <w:sz w:val="16"/>
                <w:szCs w:val="16"/>
              </w:rPr>
              <w:t>644</w:t>
            </w:r>
            <w:r>
              <w:rPr>
                <w:bCs/>
                <w:color w:val="auto"/>
                <w:sz w:val="16"/>
                <w:szCs w:val="16"/>
                <w:lang w:val="el-GR"/>
              </w:rPr>
              <w:t>,</w:t>
            </w:r>
            <w:r>
              <w:rPr>
                <w:bCs/>
                <w:color w:val="auto"/>
                <w:sz w:val="16"/>
                <w:szCs w:val="16"/>
              </w:rPr>
              <w:t>6</w:t>
            </w:r>
          </w:p>
        </w:tc>
        <w:tc>
          <w:tcPr>
            <w:tcW w:w="849" w:type="dxa"/>
            <w:tcBorders/>
            <w:vAlign w:val="bottom"/>
          </w:tcPr>
          <w:p>
            <w:pPr>
              <w:pStyle w:val="DMETW2940BIPCOMPARABLE"/>
              <w:widowControl w:val="false"/>
              <w:jc w:val="right"/>
              <w:rPr>
                <w:color w:val="auto"/>
                <w:sz w:val="16"/>
                <w:szCs w:val="16"/>
              </w:rPr>
            </w:pPr>
            <w:r>
              <w:rPr>
                <w:bCs/>
                <w:color w:val="auto"/>
                <w:sz w:val="16"/>
                <w:szCs w:val="16"/>
              </w:rPr>
              <w:t>861</w:t>
            </w:r>
            <w:r>
              <w:rPr>
                <w:bCs/>
                <w:color w:val="auto"/>
                <w:sz w:val="16"/>
                <w:szCs w:val="16"/>
                <w:lang w:val="el-GR"/>
              </w:rPr>
              <w:t>,</w:t>
            </w:r>
            <w:r>
              <w:rPr>
                <w:bCs/>
                <w:color w:val="auto"/>
                <w:sz w:val="16"/>
                <w:szCs w:val="16"/>
              </w:rPr>
              <w:t>2</w:t>
            </w:r>
          </w:p>
        </w:tc>
        <w:tc>
          <w:tcPr>
            <w:tcW w:w="709" w:type="dxa"/>
            <w:tcBorders/>
            <w:vAlign w:val="bottom"/>
          </w:tcPr>
          <w:p>
            <w:pPr>
              <w:pStyle w:val="DMETW2940BIPCOMPARABLE"/>
              <w:widowControl w:val="false"/>
              <w:jc w:val="right"/>
              <w:rPr>
                <w:color w:val="auto"/>
                <w:sz w:val="16"/>
                <w:szCs w:val="16"/>
              </w:rPr>
            </w:pPr>
            <w:r>
              <w:rPr>
                <w:bCs/>
                <w:color w:val="auto"/>
                <w:sz w:val="16"/>
                <w:szCs w:val="16"/>
              </w:rPr>
              <w:t>644</w:t>
            </w:r>
            <w:r>
              <w:rPr>
                <w:bCs/>
                <w:color w:val="auto"/>
                <w:sz w:val="16"/>
                <w:szCs w:val="16"/>
                <w:lang w:val="el-GR"/>
              </w:rPr>
              <w:t>,</w:t>
            </w:r>
            <w:r>
              <w:rPr>
                <w:bCs/>
                <w:color w:val="auto"/>
                <w:sz w:val="16"/>
                <w:szCs w:val="16"/>
              </w:rPr>
              <w:t>6</w:t>
            </w:r>
          </w:p>
        </w:tc>
        <w:tc>
          <w:tcPr>
            <w:tcW w:w="709" w:type="dxa"/>
            <w:tcBorders/>
            <w:vAlign w:val="bottom"/>
          </w:tcPr>
          <w:p>
            <w:pPr>
              <w:pStyle w:val="DMETW2940BIPCOMPARABLE"/>
              <w:widowControl w:val="false"/>
              <w:jc w:val="right"/>
              <w:rPr>
                <w:color w:val="auto"/>
                <w:sz w:val="16"/>
                <w:szCs w:val="16"/>
              </w:rPr>
            </w:pPr>
            <w:r>
              <w:rPr>
                <w:bCs/>
                <w:color w:val="auto"/>
                <w:sz w:val="16"/>
                <w:szCs w:val="16"/>
              </w:rPr>
              <w:t>(174</w:t>
            </w:r>
            <w:r>
              <w:rPr>
                <w:bCs/>
                <w:color w:val="auto"/>
                <w:sz w:val="16"/>
                <w:szCs w:val="16"/>
                <w:lang w:val="el-GR"/>
              </w:rPr>
              <w:t>,</w:t>
            </w:r>
            <w:r>
              <w:rPr>
                <w:bCs/>
                <w:color w:val="auto"/>
                <w:sz w:val="16"/>
                <w:szCs w:val="16"/>
              </w:rPr>
              <w:t>1)</w:t>
            </w:r>
          </w:p>
        </w:tc>
        <w:tc>
          <w:tcPr>
            <w:tcW w:w="709" w:type="dxa"/>
            <w:tcBorders/>
            <w:vAlign w:val="bottom"/>
          </w:tcPr>
          <w:p>
            <w:pPr>
              <w:pStyle w:val="DMETW2940BIPCOMPARABLE"/>
              <w:widowControl w:val="false"/>
              <w:jc w:val="right"/>
              <w:rPr>
                <w:color w:val="auto"/>
                <w:sz w:val="16"/>
                <w:szCs w:val="16"/>
              </w:rPr>
            </w:pPr>
            <w:r>
              <w:rPr>
                <w:bCs/>
                <w:color w:val="auto"/>
                <w:sz w:val="16"/>
                <w:szCs w:val="16"/>
              </w:rPr>
              <w:t>470</w:t>
            </w:r>
            <w:r>
              <w:rPr>
                <w:bCs/>
                <w:color w:val="auto"/>
                <w:sz w:val="16"/>
                <w:szCs w:val="16"/>
                <w:lang w:val="el-GR"/>
              </w:rPr>
              <w:t>,</w:t>
            </w:r>
            <w:r>
              <w:rPr>
                <w:bCs/>
                <w:color w:val="auto"/>
                <w:sz w:val="16"/>
                <w:szCs w:val="16"/>
              </w:rPr>
              <w:t>6</w:t>
            </w:r>
          </w:p>
        </w:tc>
        <w:tc>
          <w:tcPr>
            <w:tcW w:w="709" w:type="dxa"/>
            <w:tcBorders/>
            <w:tcMar>
              <w:left w:w="108" w:type="dxa"/>
              <w:right w:w="108" w:type="dxa"/>
            </w:tcMar>
            <w:vAlign w:val="bottom"/>
          </w:tcPr>
          <w:p>
            <w:pPr>
              <w:pStyle w:val="DMETW2940BIPCOMPARABLE"/>
              <w:widowControl w:val="false"/>
              <w:jc w:val="right"/>
              <w:rPr>
                <w:color w:val="auto"/>
                <w:sz w:val="16"/>
                <w:szCs w:val="16"/>
              </w:rPr>
            </w:pPr>
            <w:r>
              <w:rPr>
                <w:bCs/>
                <w:color w:val="auto"/>
                <w:sz w:val="16"/>
                <w:szCs w:val="16"/>
              </w:rPr>
              <w:t>1</w:t>
            </w:r>
            <w:r>
              <w:rPr>
                <w:bCs/>
                <w:color w:val="auto"/>
                <w:sz w:val="16"/>
                <w:szCs w:val="16"/>
                <w:lang w:val="el-GR"/>
              </w:rPr>
              <w:t>,</w:t>
            </w:r>
            <w:r>
              <w:rPr>
                <w:bCs/>
                <w:color w:val="auto"/>
                <w:sz w:val="16"/>
                <w:szCs w:val="16"/>
              </w:rPr>
              <w:t>297</w:t>
            </w:r>
          </w:p>
        </w:tc>
        <w:tc>
          <w:tcPr>
            <w:tcW w:w="1805" w:type="dxa"/>
            <w:tcBorders/>
            <w:tcMar>
              <w:left w:w="108" w:type="dxa"/>
              <w:right w:w="108" w:type="dxa"/>
            </w:tcMar>
          </w:tcPr>
          <w:p>
            <w:pPr>
              <w:pStyle w:val="Normal"/>
              <w:widowControl w:val="false"/>
              <w:rPr/>
            </w:pPr>
            <w:r>
              <w:rPr/>
            </w:r>
          </w:p>
        </w:tc>
      </w:tr>
      <w:tr>
        <w:trPr>
          <w:trHeight w:val="283" w:hRule="atLeast"/>
        </w:trPr>
        <w:tc>
          <w:tcPr>
            <w:tcW w:w="1837" w:type="dxa"/>
            <w:tcBorders/>
            <w:vAlign w:val="bottom"/>
          </w:tcPr>
          <w:p>
            <w:pPr>
              <w:pStyle w:val="DMETW2940BIPCOMPARABLE"/>
              <w:widowControl w:val="false"/>
              <w:rPr>
                <w:color w:val="auto"/>
                <w:sz w:val="17"/>
                <w:szCs w:val="17"/>
              </w:rPr>
            </w:pPr>
            <w:r>
              <w:rPr>
                <w:color w:val="auto"/>
                <w:sz w:val="16"/>
                <w:szCs w:val="16"/>
              </w:rPr>
              <w:t>Έξοδα αναδιάρθρωσης</w:t>
            </w:r>
          </w:p>
        </w:tc>
        <w:tc>
          <w:tcPr>
            <w:tcW w:w="856" w:type="dxa"/>
            <w:tcBorders/>
            <w:vAlign w:val="bottom"/>
          </w:tcPr>
          <w:p>
            <w:pPr>
              <w:pStyle w:val="DMETW2940BIPCOMPARABLE"/>
              <w:widowControl w:val="false"/>
              <w:jc w:val="right"/>
              <w:rPr>
                <w:color w:val="auto"/>
                <w:sz w:val="16"/>
                <w:szCs w:val="16"/>
              </w:rPr>
            </w:pPr>
            <w:r>
              <w:rPr>
                <w:bCs/>
                <w:color w:val="auto"/>
                <w:sz w:val="16"/>
                <w:szCs w:val="16"/>
              </w:rPr>
              <w:t>—</w:t>
            </w:r>
          </w:p>
        </w:tc>
        <w:tc>
          <w:tcPr>
            <w:tcW w:w="710" w:type="dxa"/>
            <w:tcBorders/>
            <w:vAlign w:val="bottom"/>
          </w:tcPr>
          <w:p>
            <w:pPr>
              <w:pStyle w:val="DMETW2940BIPCOMPARABLE"/>
              <w:widowControl w:val="false"/>
              <w:jc w:val="right"/>
              <w:rPr>
                <w:color w:val="auto"/>
                <w:sz w:val="16"/>
                <w:szCs w:val="16"/>
              </w:rPr>
            </w:pPr>
            <w:r>
              <w:rPr>
                <w:bCs/>
                <w:color w:val="auto"/>
                <w:sz w:val="16"/>
                <w:szCs w:val="16"/>
              </w:rPr>
              <w:t>—</w:t>
            </w:r>
          </w:p>
        </w:tc>
        <w:tc>
          <w:tcPr>
            <w:tcW w:w="850" w:type="dxa"/>
            <w:tcBorders/>
            <w:vAlign w:val="bottom"/>
          </w:tcPr>
          <w:p>
            <w:pPr>
              <w:pStyle w:val="DMETW2940BIPCOMPARABLE"/>
              <w:widowControl w:val="false"/>
              <w:jc w:val="right"/>
              <w:rPr>
                <w:color w:val="auto"/>
                <w:sz w:val="16"/>
                <w:szCs w:val="16"/>
              </w:rPr>
            </w:pPr>
            <w:r>
              <w:rPr>
                <w:bCs/>
                <w:color w:val="auto"/>
                <w:sz w:val="16"/>
                <w:szCs w:val="16"/>
              </w:rPr>
              <w:t>7</w:t>
            </w:r>
            <w:r>
              <w:rPr>
                <w:bCs/>
                <w:color w:val="auto"/>
                <w:sz w:val="16"/>
                <w:szCs w:val="16"/>
                <w:lang w:val="el-GR"/>
              </w:rPr>
              <w:t>,</w:t>
            </w:r>
            <w:r>
              <w:rPr>
                <w:bCs/>
                <w:color w:val="auto"/>
                <w:sz w:val="16"/>
                <w:szCs w:val="16"/>
              </w:rPr>
              <w:t>0</w:t>
            </w:r>
          </w:p>
        </w:tc>
        <w:tc>
          <w:tcPr>
            <w:tcW w:w="851" w:type="dxa"/>
            <w:tcBorders/>
            <w:vAlign w:val="bottom"/>
          </w:tcPr>
          <w:p>
            <w:pPr>
              <w:pStyle w:val="DMETW2940BIPCOMPARABLE"/>
              <w:widowControl w:val="false"/>
              <w:jc w:val="right"/>
              <w:rPr>
                <w:color w:val="auto"/>
                <w:sz w:val="16"/>
                <w:szCs w:val="16"/>
              </w:rPr>
            </w:pPr>
            <w:r>
              <w:rPr>
                <w:bCs/>
                <w:color w:val="auto"/>
                <w:sz w:val="16"/>
                <w:szCs w:val="16"/>
              </w:rPr>
              <w:t>7</w:t>
            </w:r>
            <w:r>
              <w:rPr>
                <w:bCs/>
                <w:color w:val="auto"/>
                <w:sz w:val="16"/>
                <w:szCs w:val="16"/>
                <w:lang w:val="el-GR"/>
              </w:rPr>
              <w:t>,</w:t>
            </w:r>
            <w:r>
              <w:rPr>
                <w:bCs/>
                <w:color w:val="auto"/>
                <w:sz w:val="16"/>
                <w:szCs w:val="16"/>
              </w:rPr>
              <w:t>0</w:t>
            </w:r>
          </w:p>
        </w:tc>
        <w:tc>
          <w:tcPr>
            <w:tcW w:w="849" w:type="dxa"/>
            <w:tcBorders/>
            <w:vAlign w:val="bottom"/>
          </w:tcPr>
          <w:p>
            <w:pPr>
              <w:pStyle w:val="DMETW2940BIPCOMPARABLE"/>
              <w:widowControl w:val="false"/>
              <w:jc w:val="right"/>
              <w:rPr>
                <w:color w:val="auto"/>
                <w:sz w:val="16"/>
                <w:szCs w:val="16"/>
              </w:rPr>
            </w:pPr>
            <w:r>
              <w:rPr>
                <w:bCs/>
                <w:color w:val="auto"/>
                <w:sz w:val="16"/>
                <w:szCs w:val="16"/>
              </w:rPr>
              <w:t>7</w:t>
            </w:r>
            <w:r>
              <w:rPr>
                <w:bCs/>
                <w:color w:val="auto"/>
                <w:sz w:val="16"/>
                <w:szCs w:val="16"/>
                <w:lang w:val="el-GR"/>
              </w:rPr>
              <w:t>,</w:t>
            </w:r>
            <w:r>
              <w:rPr>
                <w:bCs/>
                <w:color w:val="auto"/>
                <w:sz w:val="16"/>
                <w:szCs w:val="16"/>
              </w:rPr>
              <w:t>0</w:t>
            </w:r>
          </w:p>
        </w:tc>
        <w:tc>
          <w:tcPr>
            <w:tcW w:w="709" w:type="dxa"/>
            <w:tcBorders/>
            <w:vAlign w:val="bottom"/>
          </w:tcPr>
          <w:p>
            <w:pPr>
              <w:pStyle w:val="DMETW2940BIPCOMPARABLE"/>
              <w:widowControl w:val="false"/>
              <w:jc w:val="right"/>
              <w:rPr>
                <w:color w:val="auto"/>
                <w:sz w:val="16"/>
                <w:szCs w:val="16"/>
              </w:rPr>
            </w:pPr>
            <w:r>
              <w:rPr>
                <w:bCs/>
                <w:color w:val="auto"/>
                <w:sz w:val="16"/>
                <w:szCs w:val="16"/>
              </w:rPr>
              <w:t>7</w:t>
            </w:r>
            <w:r>
              <w:rPr>
                <w:bCs/>
                <w:color w:val="auto"/>
                <w:sz w:val="16"/>
                <w:szCs w:val="16"/>
                <w:lang w:val="el-GR"/>
              </w:rPr>
              <w:t>,</w:t>
            </w:r>
            <w:r>
              <w:rPr>
                <w:bCs/>
                <w:color w:val="auto"/>
                <w:sz w:val="16"/>
                <w:szCs w:val="16"/>
              </w:rPr>
              <w:t>0</w:t>
            </w:r>
          </w:p>
        </w:tc>
        <w:tc>
          <w:tcPr>
            <w:tcW w:w="709" w:type="dxa"/>
            <w:tcBorders/>
            <w:vAlign w:val="bottom"/>
          </w:tcPr>
          <w:p>
            <w:pPr>
              <w:pStyle w:val="DMETW2940BIPCOMPARABLE"/>
              <w:widowControl w:val="false"/>
              <w:jc w:val="right"/>
              <w:rPr>
                <w:color w:val="auto"/>
                <w:sz w:val="16"/>
                <w:szCs w:val="16"/>
              </w:rPr>
            </w:pPr>
            <w:r>
              <w:rPr>
                <w:bCs/>
                <w:color w:val="auto"/>
                <w:sz w:val="16"/>
                <w:szCs w:val="16"/>
              </w:rPr>
              <w:t>(1</w:t>
            </w:r>
            <w:r>
              <w:rPr>
                <w:bCs/>
                <w:color w:val="auto"/>
                <w:sz w:val="16"/>
                <w:szCs w:val="16"/>
                <w:lang w:val="el-GR"/>
              </w:rPr>
              <w:t>,</w:t>
            </w:r>
            <w:r>
              <w:rPr>
                <w:bCs/>
                <w:color w:val="auto"/>
                <w:sz w:val="16"/>
                <w:szCs w:val="16"/>
              </w:rPr>
              <w:t>6)</w:t>
            </w:r>
          </w:p>
        </w:tc>
        <w:tc>
          <w:tcPr>
            <w:tcW w:w="709" w:type="dxa"/>
            <w:tcBorders/>
            <w:vAlign w:val="bottom"/>
          </w:tcPr>
          <w:p>
            <w:pPr>
              <w:pStyle w:val="DMETW2940BIPCOMPARABLE"/>
              <w:widowControl w:val="false"/>
              <w:jc w:val="right"/>
              <w:rPr>
                <w:color w:val="auto"/>
                <w:sz w:val="16"/>
                <w:szCs w:val="16"/>
              </w:rPr>
            </w:pPr>
            <w:r>
              <w:rPr>
                <w:bCs/>
                <w:color w:val="auto"/>
                <w:sz w:val="16"/>
                <w:szCs w:val="16"/>
              </w:rPr>
              <w:t>5</w:t>
            </w:r>
            <w:r>
              <w:rPr>
                <w:bCs/>
                <w:color w:val="auto"/>
                <w:sz w:val="16"/>
                <w:szCs w:val="16"/>
                <w:lang w:val="el-GR"/>
              </w:rPr>
              <w:t>,</w:t>
            </w:r>
            <w:r>
              <w:rPr>
                <w:bCs/>
                <w:color w:val="auto"/>
                <w:sz w:val="16"/>
                <w:szCs w:val="16"/>
              </w:rPr>
              <w:t>4</w:t>
            </w:r>
          </w:p>
        </w:tc>
        <w:tc>
          <w:tcPr>
            <w:tcW w:w="709" w:type="dxa"/>
            <w:tcBorders/>
            <w:tcMar>
              <w:left w:w="108" w:type="dxa"/>
              <w:right w:w="108" w:type="dxa"/>
            </w:tcMar>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015</w:t>
            </w:r>
          </w:p>
        </w:tc>
        <w:tc>
          <w:tcPr>
            <w:tcW w:w="1805" w:type="dxa"/>
            <w:tcBorders/>
            <w:tcMar>
              <w:left w:w="108" w:type="dxa"/>
              <w:right w:w="108" w:type="dxa"/>
            </w:tcMar>
          </w:tcPr>
          <w:p>
            <w:pPr>
              <w:pStyle w:val="Normal"/>
              <w:widowControl w:val="false"/>
              <w:rPr/>
            </w:pPr>
            <w:r>
              <w:rPr/>
            </w:r>
          </w:p>
        </w:tc>
      </w:tr>
      <w:tr>
        <w:trPr>
          <w:trHeight w:val="454" w:hRule="atLeast"/>
        </w:trPr>
        <w:tc>
          <w:tcPr>
            <w:tcW w:w="1837" w:type="dxa"/>
            <w:tcBorders/>
            <w:vAlign w:val="bottom"/>
          </w:tcPr>
          <w:p>
            <w:pPr>
              <w:pStyle w:val="DMETW1943BIPCOMPARABLE"/>
              <w:widowControl w:val="false"/>
              <w:rPr>
                <w:sz w:val="16"/>
                <w:szCs w:val="16"/>
                <w:lang w:val="el-GR"/>
              </w:rPr>
            </w:pPr>
            <w:r>
              <w:rPr>
                <w:sz w:val="16"/>
                <w:szCs w:val="16"/>
              </w:rPr>
              <w:t xml:space="preserve">Αντιστάθμιση κινδύνου </w:t>
            </w:r>
          </w:p>
          <w:p>
            <w:pPr>
              <w:pStyle w:val="DMETW2940BIPCOMPARABLE"/>
              <w:widowControl w:val="false"/>
              <w:rPr>
                <w:color w:val="auto"/>
                <w:sz w:val="17"/>
                <w:szCs w:val="17"/>
              </w:rPr>
            </w:pPr>
            <w:r>
              <w:rPr>
                <w:color w:val="auto"/>
                <w:sz w:val="16"/>
                <w:szCs w:val="16"/>
                <w:lang w:val="el-GR"/>
              </w:rPr>
              <w:t xml:space="preserve">   </w:t>
            </w:r>
            <w:r>
              <w:rPr>
                <w:color w:val="auto"/>
                <w:sz w:val="16"/>
                <w:szCs w:val="16"/>
              </w:rPr>
              <w:t>πρώτων υλών</w:t>
            </w:r>
          </w:p>
        </w:tc>
        <w:tc>
          <w:tcPr>
            <w:tcW w:w="856" w:type="dxa"/>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3)</w:t>
            </w:r>
          </w:p>
        </w:tc>
        <w:tc>
          <w:tcPr>
            <w:tcW w:w="710" w:type="dxa"/>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3)</w:t>
            </w:r>
          </w:p>
        </w:tc>
        <w:tc>
          <w:tcPr>
            <w:tcW w:w="850" w:type="dxa"/>
            <w:tcBorders/>
            <w:vAlign w:val="bottom"/>
          </w:tcPr>
          <w:p>
            <w:pPr>
              <w:pStyle w:val="DMETW2940BIPCOMPARABLE"/>
              <w:widowControl w:val="false"/>
              <w:jc w:val="right"/>
              <w:rPr>
                <w:color w:val="auto"/>
                <w:sz w:val="16"/>
                <w:szCs w:val="16"/>
              </w:rPr>
            </w:pPr>
            <w:r>
              <w:rPr>
                <w:bCs/>
                <w:color w:val="auto"/>
                <w:sz w:val="16"/>
                <w:szCs w:val="16"/>
              </w:rPr>
              <w:t>—</w:t>
            </w:r>
          </w:p>
        </w:tc>
        <w:tc>
          <w:tcPr>
            <w:tcW w:w="851" w:type="dxa"/>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3)</w:t>
            </w:r>
          </w:p>
        </w:tc>
        <w:tc>
          <w:tcPr>
            <w:tcW w:w="849" w:type="dxa"/>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3)</w:t>
            </w:r>
          </w:p>
        </w:tc>
        <w:tc>
          <w:tcPr>
            <w:tcW w:w="709" w:type="dxa"/>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3)</w:t>
            </w:r>
          </w:p>
        </w:tc>
        <w:tc>
          <w:tcPr>
            <w:tcW w:w="709" w:type="dxa"/>
            <w:tcBorders/>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709" w:type="dxa"/>
            <w:tcBorders/>
            <w:vAlign w:val="bottom"/>
          </w:tcPr>
          <w:p>
            <w:pPr>
              <w:pStyle w:val="DMETW2940BIPCOMPARABLE"/>
              <w:widowControl w:val="false"/>
              <w:jc w:val="right"/>
              <w:rPr>
                <w:color w:val="auto"/>
                <w:sz w:val="16"/>
                <w:szCs w:val="16"/>
              </w:rPr>
            </w:pPr>
            <w:r>
              <w:rPr>
                <w:bCs/>
                <w:color w:val="auto"/>
                <w:sz w:val="16"/>
                <w:szCs w:val="16"/>
              </w:rPr>
              <w:t>(1</w:t>
            </w:r>
            <w:r>
              <w:rPr>
                <w:bCs/>
                <w:color w:val="auto"/>
                <w:sz w:val="16"/>
                <w:szCs w:val="16"/>
                <w:lang w:val="el-GR"/>
              </w:rPr>
              <w:t>,</w:t>
            </w:r>
            <w:r>
              <w:rPr>
                <w:bCs/>
                <w:color w:val="auto"/>
                <w:sz w:val="16"/>
                <w:szCs w:val="16"/>
              </w:rPr>
              <w:t>8)</w:t>
            </w:r>
          </w:p>
        </w:tc>
        <w:tc>
          <w:tcPr>
            <w:tcW w:w="709" w:type="dxa"/>
            <w:tcBorders/>
            <w:tcMar>
              <w:left w:w="108" w:type="dxa"/>
              <w:right w:w="108" w:type="dxa"/>
            </w:tcMar>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005)</w:t>
            </w:r>
          </w:p>
        </w:tc>
        <w:tc>
          <w:tcPr>
            <w:tcW w:w="1805" w:type="dxa"/>
            <w:tcBorders/>
            <w:tcMar>
              <w:left w:w="108" w:type="dxa"/>
              <w:right w:w="108" w:type="dxa"/>
            </w:tcMar>
          </w:tcPr>
          <w:p>
            <w:pPr>
              <w:pStyle w:val="Normal"/>
              <w:widowControl w:val="false"/>
              <w:rPr/>
            </w:pPr>
            <w:r>
              <w:rPr/>
            </w:r>
          </w:p>
        </w:tc>
      </w:tr>
      <w:tr>
        <w:trPr>
          <w:trHeight w:val="283" w:hRule="atLeast"/>
        </w:trPr>
        <w:tc>
          <w:tcPr>
            <w:tcW w:w="1837" w:type="dxa"/>
            <w:tcBorders/>
            <w:vAlign w:val="bottom"/>
          </w:tcPr>
          <w:p>
            <w:pPr>
              <w:pStyle w:val="DMETW2940BIPCOMPARABLE"/>
              <w:widowControl w:val="false"/>
              <w:rPr>
                <w:color w:val="auto"/>
                <w:sz w:val="17"/>
                <w:szCs w:val="17"/>
              </w:rPr>
            </w:pPr>
            <w:r>
              <w:rPr>
                <w:color w:val="auto"/>
                <w:sz w:val="16"/>
                <w:szCs w:val="16"/>
              </w:rPr>
              <w:t>Έξοδα εξαγοράς</w:t>
            </w:r>
          </w:p>
        </w:tc>
        <w:tc>
          <w:tcPr>
            <w:tcW w:w="856" w:type="dxa"/>
            <w:tcBorders/>
            <w:vAlign w:val="bottom"/>
          </w:tcPr>
          <w:p>
            <w:pPr>
              <w:pStyle w:val="DMETW2940BIPCOMPARABLE"/>
              <w:widowControl w:val="false"/>
              <w:jc w:val="right"/>
              <w:rPr>
                <w:color w:val="auto"/>
                <w:sz w:val="16"/>
                <w:szCs w:val="16"/>
              </w:rPr>
            </w:pPr>
            <w:r>
              <w:rPr>
                <w:bCs/>
                <w:color w:val="auto"/>
                <w:sz w:val="16"/>
                <w:szCs w:val="16"/>
              </w:rPr>
              <w:t>—</w:t>
            </w:r>
          </w:p>
        </w:tc>
        <w:tc>
          <w:tcPr>
            <w:tcW w:w="710" w:type="dxa"/>
            <w:tcBorders/>
            <w:vAlign w:val="bottom"/>
          </w:tcPr>
          <w:p>
            <w:pPr>
              <w:pStyle w:val="DMETW2940BIPCOMPARABLE"/>
              <w:widowControl w:val="false"/>
              <w:jc w:val="right"/>
              <w:rPr>
                <w:color w:val="auto"/>
                <w:sz w:val="16"/>
                <w:szCs w:val="16"/>
              </w:rPr>
            </w:pPr>
            <w:r>
              <w:rPr>
                <w:bCs/>
                <w:color w:val="auto"/>
                <w:sz w:val="16"/>
                <w:szCs w:val="16"/>
              </w:rPr>
              <w:t>—</w:t>
            </w:r>
          </w:p>
        </w:tc>
        <w:tc>
          <w:tcPr>
            <w:tcW w:w="850" w:type="dxa"/>
            <w:tcBorders/>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851" w:type="dxa"/>
            <w:tcBorders/>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849" w:type="dxa"/>
            <w:tcBorders/>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709" w:type="dxa"/>
            <w:tcBorders/>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709" w:type="dxa"/>
            <w:tcBorders/>
            <w:vAlign w:val="bottom"/>
          </w:tcPr>
          <w:p>
            <w:pPr>
              <w:pStyle w:val="DMETW2940BIPCOMPARABLE"/>
              <w:widowControl w:val="false"/>
              <w:jc w:val="right"/>
              <w:rPr>
                <w:color w:val="auto"/>
                <w:sz w:val="16"/>
                <w:szCs w:val="16"/>
              </w:rPr>
            </w:pPr>
            <w:r>
              <w:rPr>
                <w:bCs/>
                <w:color w:val="auto"/>
                <w:sz w:val="16"/>
                <w:szCs w:val="16"/>
              </w:rPr>
              <w:t>—</w:t>
            </w:r>
          </w:p>
        </w:tc>
        <w:tc>
          <w:tcPr>
            <w:tcW w:w="709" w:type="dxa"/>
            <w:tcBorders/>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709" w:type="dxa"/>
            <w:tcBorders/>
            <w:tcMar>
              <w:left w:w="108" w:type="dxa"/>
              <w:right w:w="108" w:type="dxa"/>
            </w:tcMar>
            <w:vAlign w:val="bottom"/>
          </w:tcPr>
          <w:p>
            <w:pPr>
              <w:pStyle w:val="DMETW2940BIPCOMPARABLE"/>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001</w:t>
            </w:r>
          </w:p>
        </w:tc>
        <w:tc>
          <w:tcPr>
            <w:tcW w:w="1805" w:type="dxa"/>
            <w:tcBorders/>
            <w:tcMar>
              <w:left w:w="108" w:type="dxa"/>
              <w:right w:w="108" w:type="dxa"/>
            </w:tcMar>
          </w:tcPr>
          <w:p>
            <w:pPr>
              <w:pStyle w:val="Normal"/>
              <w:widowControl w:val="false"/>
              <w:rPr/>
            </w:pPr>
            <w:r>
              <w:rPr/>
            </w:r>
          </w:p>
        </w:tc>
      </w:tr>
      <w:tr>
        <w:trPr>
          <w:trHeight w:val="309" w:hRule="exact"/>
        </w:trPr>
        <w:tc>
          <w:tcPr>
            <w:tcW w:w="1837" w:type="dxa"/>
            <w:tcBorders/>
            <w:vAlign w:val="bottom"/>
          </w:tcPr>
          <w:p>
            <w:pPr>
              <w:pStyle w:val="DMETW2940BIPCOMPARABLE"/>
              <w:widowControl w:val="false"/>
              <w:rPr>
                <w:b/>
                <w:color w:val="auto"/>
                <w:sz w:val="17"/>
                <w:szCs w:val="17"/>
              </w:rPr>
            </w:pPr>
            <w:r>
              <w:rPr>
                <w:b/>
                <w:color w:val="auto"/>
                <w:sz w:val="16"/>
                <w:szCs w:val="16"/>
              </w:rPr>
              <w:t>Συγκρίσιμα μεγέθη</w:t>
            </w:r>
          </w:p>
        </w:tc>
        <w:tc>
          <w:tcPr>
            <w:tcW w:w="856"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(3</w:t>
            </w:r>
            <w:r>
              <w:rPr>
                <w:bCs/>
                <w:color w:val="auto"/>
                <w:sz w:val="16"/>
                <w:szCs w:val="16"/>
                <w:lang w:val="el-GR"/>
              </w:rPr>
              <w:t>.</w:t>
            </w:r>
            <w:r>
              <w:rPr>
                <w:bCs/>
                <w:color w:val="auto"/>
                <w:sz w:val="16"/>
                <w:szCs w:val="16"/>
              </w:rPr>
              <w:t>558</w:t>
            </w:r>
            <w:r>
              <w:rPr>
                <w:bCs/>
                <w:color w:val="auto"/>
                <w:sz w:val="16"/>
                <w:szCs w:val="16"/>
                <w:lang w:val="el-GR"/>
              </w:rPr>
              <w:t>,</w:t>
            </w:r>
            <w:r>
              <w:rPr>
                <w:bCs/>
                <w:color w:val="auto"/>
                <w:sz w:val="16"/>
                <w:szCs w:val="16"/>
              </w:rPr>
              <w:t>7)</w:t>
            </w:r>
          </w:p>
        </w:tc>
        <w:tc>
          <w:tcPr>
            <w:tcW w:w="710"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061</w:t>
            </w:r>
            <w:r>
              <w:rPr>
                <w:bCs/>
                <w:color w:val="auto"/>
                <w:sz w:val="16"/>
                <w:szCs w:val="16"/>
                <w:lang w:val="el-GR"/>
              </w:rPr>
              <w:t>,</w:t>
            </w:r>
            <w:r>
              <w:rPr>
                <w:bCs/>
                <w:color w:val="auto"/>
                <w:sz w:val="16"/>
                <w:szCs w:val="16"/>
              </w:rPr>
              <w:t>6</w:t>
            </w:r>
          </w:p>
        </w:tc>
        <w:tc>
          <w:tcPr>
            <w:tcW w:w="850"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(1</w:t>
            </w:r>
            <w:r>
              <w:rPr>
                <w:bCs/>
                <w:color w:val="auto"/>
                <w:sz w:val="16"/>
                <w:szCs w:val="16"/>
                <w:lang w:val="el-GR"/>
              </w:rPr>
              <w:t>.</w:t>
            </w:r>
            <w:r>
              <w:rPr>
                <w:bCs/>
                <w:color w:val="auto"/>
                <w:sz w:val="16"/>
                <w:szCs w:val="16"/>
              </w:rPr>
              <w:t>418</w:t>
            </w:r>
            <w:r>
              <w:rPr>
                <w:bCs/>
                <w:color w:val="auto"/>
                <w:sz w:val="16"/>
                <w:szCs w:val="16"/>
                <w:lang w:val="el-GR"/>
              </w:rPr>
              <w:t>,</w:t>
            </w:r>
            <w:r>
              <w:rPr>
                <w:bCs/>
                <w:color w:val="auto"/>
                <w:sz w:val="16"/>
                <w:szCs w:val="16"/>
              </w:rPr>
              <w:t>1)</w:t>
            </w:r>
          </w:p>
        </w:tc>
        <w:tc>
          <w:tcPr>
            <w:tcW w:w="851"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649</w:t>
            </w:r>
            <w:r>
              <w:rPr>
                <w:bCs/>
                <w:color w:val="auto"/>
                <w:sz w:val="16"/>
                <w:szCs w:val="16"/>
                <w:lang w:val="el-GR"/>
              </w:rPr>
              <w:t>,</w:t>
            </w:r>
            <w:r>
              <w:rPr>
                <w:bCs/>
                <w:color w:val="auto"/>
                <w:sz w:val="16"/>
                <w:szCs w:val="16"/>
              </w:rPr>
              <w:t>8</w:t>
            </w:r>
          </w:p>
        </w:tc>
        <w:tc>
          <w:tcPr>
            <w:tcW w:w="849"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866</w:t>
            </w:r>
            <w:r>
              <w:rPr>
                <w:bCs/>
                <w:color w:val="auto"/>
                <w:sz w:val="16"/>
                <w:szCs w:val="16"/>
                <w:lang w:val="el-GR"/>
              </w:rPr>
              <w:t>,</w:t>
            </w:r>
            <w:r>
              <w:rPr>
                <w:bCs/>
                <w:color w:val="auto"/>
                <w:sz w:val="16"/>
                <w:szCs w:val="16"/>
              </w:rPr>
              <w:t>4</w:t>
            </w:r>
          </w:p>
        </w:tc>
        <w:tc>
          <w:tcPr>
            <w:tcW w:w="709"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649</w:t>
            </w:r>
            <w:r>
              <w:rPr>
                <w:bCs/>
                <w:color w:val="auto"/>
                <w:sz w:val="16"/>
                <w:szCs w:val="16"/>
                <w:lang w:val="el-GR"/>
              </w:rPr>
              <w:t>,</w:t>
            </w:r>
            <w:r>
              <w:rPr>
                <w:bCs/>
                <w:color w:val="auto"/>
                <w:sz w:val="16"/>
                <w:szCs w:val="16"/>
              </w:rPr>
              <w:t>8</w:t>
            </w:r>
          </w:p>
        </w:tc>
        <w:tc>
          <w:tcPr>
            <w:tcW w:w="709"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(175</w:t>
            </w:r>
            <w:r>
              <w:rPr>
                <w:bCs/>
                <w:color w:val="auto"/>
                <w:sz w:val="16"/>
                <w:szCs w:val="16"/>
                <w:lang w:val="el-GR"/>
              </w:rPr>
              <w:t>,</w:t>
            </w:r>
            <w:r>
              <w:rPr>
                <w:bCs/>
                <w:color w:val="auto"/>
                <w:sz w:val="16"/>
                <w:szCs w:val="16"/>
              </w:rPr>
              <w:t>2)</w:t>
            </w:r>
          </w:p>
        </w:tc>
        <w:tc>
          <w:tcPr>
            <w:tcW w:w="709" w:type="dxa"/>
            <w:tcBorders>
              <w:top w:val="single" w:sz="4" w:space="0" w:color="000000"/>
              <w:bottom w:val="single" w:sz="4" w:space="0" w:color="000000"/>
            </w:tcBorders>
            <w:vAlign w:val="bottom"/>
          </w:tcPr>
          <w:p>
            <w:pPr>
              <w:pStyle w:val="DMETW2940BIPCOMPARABLE"/>
              <w:widowControl w:val="false"/>
              <w:jc w:val="right"/>
              <w:rPr>
                <w:color w:val="auto"/>
                <w:sz w:val="16"/>
                <w:szCs w:val="16"/>
              </w:rPr>
            </w:pPr>
            <w:r>
              <w:rPr>
                <w:bCs/>
                <w:color w:val="auto"/>
                <w:sz w:val="16"/>
                <w:szCs w:val="16"/>
              </w:rPr>
              <w:t>474</w:t>
            </w:r>
            <w:r>
              <w:rPr>
                <w:bCs/>
                <w:color w:val="auto"/>
                <w:sz w:val="16"/>
                <w:szCs w:val="16"/>
                <w:lang w:val="el-GR"/>
              </w:rPr>
              <w:t>,</w:t>
            </w:r>
            <w:r>
              <w:rPr>
                <w:bCs/>
                <w:color w:val="auto"/>
                <w:sz w:val="16"/>
                <w:szCs w:val="16"/>
              </w:rPr>
              <w:t>7</w:t>
            </w:r>
          </w:p>
        </w:tc>
        <w:tc>
          <w:tcPr>
            <w:tcW w:w="709" w:type="dxa"/>
            <w:tcBorders>
              <w:top w:val="single" w:sz="4" w:space="0" w:color="000000"/>
              <w:bottom w:val="single" w:sz="4" w:space="0" w:color="000000"/>
            </w:tcBorders>
            <w:tcMar>
              <w:left w:w="108" w:type="dxa"/>
              <w:right w:w="108" w:type="dxa"/>
            </w:tcMar>
            <w:vAlign w:val="bottom"/>
          </w:tcPr>
          <w:p>
            <w:pPr>
              <w:pStyle w:val="DMETW2940BIPCOMPARABLE"/>
              <w:widowControl w:val="false"/>
              <w:jc w:val="right"/>
              <w:rPr>
                <w:color w:val="auto"/>
                <w:sz w:val="16"/>
                <w:szCs w:val="16"/>
              </w:rPr>
            </w:pPr>
            <w:r>
              <w:rPr>
                <w:bCs/>
                <w:color w:val="auto"/>
                <w:sz w:val="16"/>
                <w:szCs w:val="16"/>
              </w:rPr>
              <w:t>1</w:t>
            </w:r>
            <w:r>
              <w:rPr>
                <w:bCs/>
                <w:color w:val="auto"/>
                <w:sz w:val="16"/>
                <w:szCs w:val="16"/>
                <w:lang w:val="el-GR"/>
              </w:rPr>
              <w:t>,</w:t>
            </w:r>
            <w:r>
              <w:rPr>
                <w:bCs/>
                <w:color w:val="auto"/>
                <w:sz w:val="16"/>
                <w:szCs w:val="16"/>
              </w:rPr>
              <w:t>308</w:t>
            </w:r>
          </w:p>
        </w:tc>
        <w:tc>
          <w:tcPr>
            <w:tcW w:w="1805" w:type="dxa"/>
            <w:tcBorders/>
            <w:tcMar>
              <w:left w:w="108" w:type="dxa"/>
              <w:right w:w="108" w:type="dxa"/>
            </w:tcMar>
          </w:tcPr>
          <w:p>
            <w:pPr>
              <w:pStyle w:val="Normal"/>
              <w:widowControl w:val="false"/>
              <w:rPr/>
            </w:pPr>
            <w:r>
              <w:rPr/>
            </w:r>
          </w:p>
        </w:tc>
      </w:tr>
    </w:tbl>
    <w:p>
      <w:pPr>
        <w:pStyle w:val="Normal"/>
        <w:ind w:left="-180" w:right="13" w:hanging="90"/>
        <w:rPr>
          <w:rFonts w:ascii="Effra Corp" w:hAnsi="Effra Corp" w:cs="Arial"/>
          <w:i/>
          <w:i/>
          <w:spacing w:val="-2"/>
          <w:sz w:val="14"/>
          <w:szCs w:val="14"/>
          <w:vertAlign w:val="superscript"/>
        </w:rPr>
      </w:pPr>
      <w:r>
        <w:rPr>
          <w:rFonts w:cs="Arial" w:ascii="Effra Corp" w:hAnsi="Effra Corp"/>
          <w:i/>
          <w:spacing w:val="-2"/>
          <w:sz w:val="14"/>
          <w:szCs w:val="14"/>
          <w:vertAlign w:val="superscript"/>
        </w:rPr>
      </w:r>
    </w:p>
    <w:p>
      <w:pPr>
        <w:pStyle w:val="Normal"/>
        <w:ind w:left="-180" w:right="13" w:hanging="90"/>
        <w:jc w:val="both"/>
        <w:rPr>
          <w:rFonts w:ascii="Effra Corp" w:hAnsi="Effra Corp" w:eastAsia="Effra Corp" w:cs="Effra Corp"/>
          <w:i/>
          <w:i/>
          <w:spacing w:val="-2"/>
          <w:sz w:val="14"/>
          <w:lang w:val="el-GR" w:bidi="el-GR"/>
        </w:rPr>
      </w:pPr>
      <w:r>
        <w:rPr>
          <w:rFonts w:cs="Arial" w:ascii="Effra Corp" w:hAnsi="Effra Corp"/>
          <w:i/>
          <w:spacing w:val="-2"/>
          <w:sz w:val="14"/>
          <w:szCs w:val="14"/>
          <w:vertAlign w:val="superscript"/>
          <w:lang w:val="el-GR"/>
        </w:rPr>
        <w:t xml:space="preserve">1 </w:t>
      </w:r>
      <w:r>
        <w:rPr>
          <w:rFonts w:eastAsia="Effra Corp" w:cs="Effra Corp" w:ascii="Effra Corp" w:hAnsi="Effra Corp"/>
          <w:i/>
          <w:spacing w:val="-2"/>
          <w:sz w:val="14"/>
          <w:lang w:val="el-GR" w:bidi="el-GR"/>
        </w:rPr>
        <w:t>Τα κόστη αποεπένδυσης που περιλαμβάνονται στη γραμμή της κατάστασης αποτελεσμάτων «Μερίδιο στα αποτελέσματα μη ενσωματωμένων συμμετοχών λογιστικοποιημένων με τη μέθοδο της καθαρής θέσης» ανήλθαν σε €16,1 εκατ. για την περίοδο. Το ποσό αυτό αντικατοπτρίζει την προσαρμογή της επίπτωσης στο μερίδιο του Ομίλου στα αποτελέσματα μη ενσωματωμένων συμμετοχών λογιστικοποιημένων με τη μέθοδο της καθαρής θέσης, η οποία προέκυψε από τη ζημία που αναγνωρίστηκε από τη F</w:t>
      </w:r>
      <w:r>
        <w:rPr>
          <w:rFonts w:eastAsia="Effra Corp" w:cs="Effra Corp" w:ascii="Effra Corp" w:hAnsi="Effra Corp"/>
          <w:i/>
          <w:spacing w:val="-2"/>
          <w:sz w:val="14"/>
          <w:lang w:bidi="el-GR"/>
        </w:rPr>
        <w:t>rigoglass</w:t>
      </w:r>
      <w:r>
        <w:rPr>
          <w:rFonts w:eastAsia="Effra Corp" w:cs="Effra Corp" w:ascii="Effra Corp" w:hAnsi="Effra Corp"/>
          <w:i/>
          <w:spacing w:val="-2"/>
          <w:sz w:val="14"/>
          <w:lang w:val="el-GR" w:bidi="el-GR"/>
        </w:rPr>
        <w:t xml:space="preserve"> Industries (Nigeria) Limited —εταιρεία συγγενή του Ομίλου— σε σχέση με την παραίτηση από την είσπραξη ενδοομιλικού δανείου, στο πλαίσιο της πώλησης της δραστηριότητας υαλουργίας στη Νιγηρία από τον Όμιλο Frigoglass. Δεν υπήρξε σχετική προσαρμογή αυτού του είδους κατά τη συγκριτική περίοδο.</w:t>
      </w:r>
    </w:p>
    <w:p>
      <w:pPr>
        <w:pStyle w:val="Normal"/>
        <w:ind w:left="-180" w:right="13" w:hanging="90"/>
        <w:jc w:val="both"/>
        <w:rPr>
          <w:rFonts w:ascii="Effra Corp" w:hAnsi="Effra Corp" w:cs="Arial"/>
          <w:i/>
          <w:i/>
          <w:spacing w:val="-2"/>
          <w:sz w:val="14"/>
          <w:szCs w:val="14"/>
          <w:lang w:val="el-GR"/>
        </w:rPr>
      </w:pPr>
      <w:r>
        <w:rPr>
          <w:rFonts w:eastAsia="Effra Corp" w:cs="Effra Corp" w:ascii="Effra Corp" w:hAnsi="Effra Corp"/>
          <w:i/>
          <w:spacing w:val="-2"/>
          <w:sz w:val="14"/>
          <w:vertAlign w:val="superscript"/>
          <w:lang w:val="el-GR" w:bidi="el-GR"/>
        </w:rPr>
        <w:t xml:space="preserve">2 </w:t>
      </w:r>
      <w:r>
        <w:rPr>
          <w:rFonts w:eastAsia="Effra Corp" w:cs="Effra Corp" w:ascii="Effra Corp" w:hAnsi="Effra Corp"/>
          <w:i/>
          <w:spacing w:val="-2"/>
          <w:sz w:val="14"/>
          <w:lang w:val="el-GR" w:bidi="el-GR"/>
        </w:rPr>
        <w:t>Τα καθαρά κέρδη και τα συγκρίσιμα καθαρά κέρδη αναφέρονται στα καθαρά κέρδη και στα συγκρίσιμα καθαρά κέρδη μετά φόρων που αναλογούν σε ιδιοκτήτες της μητρικής εταιρείας</w:t>
      </w:r>
      <w:r>
        <w:rPr>
          <w:rFonts w:cs="Arial" w:ascii="Effra Corp" w:hAnsi="Effra Corp"/>
          <w:i/>
          <w:spacing w:val="-2"/>
          <w:sz w:val="14"/>
          <w:szCs w:val="14"/>
          <w:lang w:val="el-GR"/>
        </w:rPr>
        <w:t>.</w:t>
      </w:r>
    </w:p>
    <w:p>
      <w:pPr>
        <w:pStyle w:val="Normal"/>
        <w:rPr>
          <w:rFonts w:ascii="Effra Corp" w:hAnsi="Effra Corp" w:eastAsia="Effra Corp" w:cs="Effra Corp"/>
          <w:i/>
          <w:i/>
          <w:spacing w:val="-2"/>
          <w:sz w:val="14"/>
          <w:vertAlign w:val="superscript"/>
          <w:lang w:val="el-GR" w:bidi="el-GR"/>
        </w:rPr>
      </w:pPr>
      <w:r>
        <w:rPr>
          <w:rFonts w:eastAsia="Effra Corp" w:cs="Effra Corp" w:ascii="Effra Corp" w:hAnsi="Effra Corp"/>
          <w:i/>
          <w:spacing w:val="-2"/>
          <w:sz w:val="14"/>
          <w:vertAlign w:val="superscript"/>
          <w:lang w:val="el-GR" w:bidi="el-GR"/>
        </w:rPr>
      </w:r>
      <w:r>
        <w:br w:type="page"/>
      </w:r>
    </w:p>
    <w:p>
      <w:pPr>
        <w:pStyle w:val="BodyText3"/>
        <w:shd w:val="clear" w:color="auto" w:fill="BFBFBF"/>
        <w:spacing w:before="0" w:after="120"/>
        <w:rPr>
          <w:rFonts w:ascii="Effra Corp" w:hAnsi="Effra Corp"/>
          <w:b/>
          <w:sz w:val="21"/>
          <w:lang w:val="el-GR"/>
        </w:rPr>
      </w:pPr>
      <w:r>
        <w:rPr>
          <w:rFonts w:eastAsia="Effra Corp" w:cs="Effra Corp" w:ascii="Effra Corp" w:hAnsi="Effra Corp"/>
          <w:b/>
          <w:sz w:val="21"/>
          <w:lang w:val="el-GR" w:bidi="el-GR"/>
        </w:rPr>
        <w:t>Ορισμοί και συμφωνίες Εναλλακτικών δεικτών μέτρησης απόδοσης («ΕΔΜΑ») (συνέχεια)</w:t>
      </w:r>
    </w:p>
    <w:p>
      <w:pPr>
        <w:pStyle w:val="ListParagraph"/>
        <w:numPr>
          <w:ilvl w:val="0"/>
          <w:numId w:val="22"/>
        </w:numPr>
        <w:spacing w:before="0" w:after="120"/>
        <w:ind w:left="426" w:hanging="426"/>
        <w:contextualSpacing/>
        <w:rPr>
          <w:rFonts w:ascii="Effra Corp" w:hAnsi="Effra Corp" w:cs="Arial"/>
          <w:b/>
          <w:color w:val="000000"/>
          <w:sz w:val="21"/>
          <w:szCs w:val="21"/>
        </w:rPr>
      </w:pPr>
      <w:r>
        <w:rPr>
          <w:rFonts w:cs="Arial" w:ascii="Effra Corp" w:hAnsi="Effra Corp"/>
          <w:b/>
          <w:color w:val="000000"/>
          <w:sz w:val="21"/>
          <w:szCs w:val="21"/>
          <w:lang w:val="el-GR"/>
        </w:rPr>
        <w:t>Σ</w:t>
      </w:r>
      <w:r>
        <w:rPr>
          <w:rFonts w:eastAsia="Effra Corp" w:cs="Effra Corp" w:ascii="Effra Corp" w:hAnsi="Effra Corp"/>
          <w:b/>
          <w:color w:val="000000"/>
          <w:sz w:val="21"/>
          <w:lang w:val="el-GR" w:bidi="el-GR"/>
        </w:rPr>
        <w:t>υγκρίσιμοι ΕΔΜΑ</w:t>
      </w:r>
      <w:r>
        <w:rPr>
          <w:rFonts w:eastAsia="Effra Corp" w:cs="Effra Corp" w:ascii="Effra Corp" w:hAnsi="Effra Corp"/>
          <w:b/>
          <w:color w:val="000000"/>
          <w:sz w:val="21"/>
          <w:vertAlign w:val="superscript"/>
          <w:lang w:val="el-GR" w:bidi="el-GR"/>
        </w:rPr>
        <w:t xml:space="preserve"> </w:t>
      </w:r>
      <w:r>
        <w:rPr>
          <w:rFonts w:cs="Arial" w:ascii="Effra Corp" w:hAnsi="Effra Corp"/>
          <w:b/>
          <w:color w:val="000000"/>
          <w:sz w:val="21"/>
          <w:szCs w:val="21"/>
          <w:lang w:val="el-GR"/>
        </w:rPr>
        <w:t>(συνέχεια)</w:t>
      </w:r>
    </w:p>
    <w:p>
      <w:pPr>
        <w:pStyle w:val="BodyText3"/>
        <w:spacing w:before="0" w:after="120"/>
        <w:rPr>
          <w:rFonts w:ascii="Effra Corp" w:hAnsi="Effra Corp" w:eastAsia="Effra Corp" w:cs="Effra Corp"/>
          <w:b/>
          <w:sz w:val="21"/>
          <w:lang w:val="el-GR" w:bidi="el-GR"/>
        </w:rPr>
      </w:pPr>
      <w:r>
        <w:rPr>
          <w:rFonts w:eastAsia="Effra Corp" w:cs="Effra Corp" w:ascii="Effra Corp" w:hAnsi="Effra Corp"/>
          <w:b/>
          <w:sz w:val="21"/>
          <w:lang w:val="el-GR" w:bidi="el-GR"/>
        </w:rPr>
        <w:t>Συμφωνία συγκρίσιμων οικονομικών μεγεθών (ποσά σε € εκατ.  εκτός από τα στοιχεία ανά μετοχή)</w:t>
      </w:r>
    </w:p>
    <w:p>
      <w:pPr>
        <w:pStyle w:val="Normal"/>
        <w:rPr>
          <w:rFonts w:ascii="Effra Corp" w:hAnsi="Effra Corp" w:cs="Arial"/>
          <w:spacing w:val="-2"/>
          <w:sz w:val="12"/>
          <w:szCs w:val="12"/>
          <w:lang w:val="el-GR"/>
        </w:rPr>
      </w:pPr>
      <w:r>
        <w:rPr>
          <w:rFonts w:cs="Arial" w:ascii="Effra Corp" w:hAnsi="Effra Corp"/>
          <w:spacing w:val="-2"/>
          <w:sz w:val="12"/>
          <w:szCs w:val="12"/>
          <w:lang w:val="el-GR"/>
        </w:rPr>
      </w:r>
    </w:p>
    <w:tbl>
      <w:tblPr>
        <w:tblW w:w="10207" w:type="dxa"/>
        <w:jc w:val="left"/>
        <w:tblInd w:w="-284" w:type="dxa"/>
        <w:tblLayout w:type="fixed"/>
        <w:tblCellMar>
          <w:top w:w="0" w:type="dxa"/>
          <w:left w:w="60" w:type="dxa"/>
          <w:bottom w:w="0" w:type="dxa"/>
          <w:right w:w="60" w:type="dxa"/>
        </w:tblCellMar>
        <w:tblLook w:firstRow="1" w:noVBand="1" w:lastRow="0" w:firstColumn="1" w:lastColumn="0" w:noHBand="0" w:val="04a0"/>
      </w:tblPr>
      <w:tblGrid>
        <w:gridCol w:w="4819"/>
        <w:gridCol w:w="1418"/>
        <w:gridCol w:w="1560"/>
        <w:gridCol w:w="1417"/>
        <w:gridCol w:w="993"/>
      </w:tblGrid>
      <w:tr>
        <w:trPr>
          <w:trHeight w:val="275" w:hRule="exact"/>
        </w:trPr>
        <w:tc>
          <w:tcPr>
            <w:tcW w:w="4819" w:type="dxa"/>
            <w:tcBorders/>
            <w:vAlign w:val="bottom"/>
          </w:tcPr>
          <w:p>
            <w:pPr>
              <w:pStyle w:val="DMETW2940BIPEBIT"/>
              <w:widowControl w:val="false"/>
              <w:ind w:firstLine="221"/>
              <w:rPr>
                <w:color w:val="auto"/>
                <w:sz w:val="16"/>
                <w:szCs w:val="16"/>
                <w:lang w:val="el-GR"/>
              </w:rPr>
            </w:pPr>
            <w:r>
              <w:rPr>
                <w:color w:val="auto"/>
                <w:sz w:val="16"/>
                <w:szCs w:val="16"/>
                <w:lang w:val="el-GR"/>
              </w:rPr>
            </w:r>
            <w:bookmarkStart w:id="5" w:name="DOC_TBL00004_1_1"/>
            <w:bookmarkStart w:id="6" w:name="DOC_TBL00004_1_1"/>
            <w:bookmarkEnd w:id="6"/>
          </w:p>
        </w:tc>
        <w:tc>
          <w:tcPr>
            <w:tcW w:w="5388" w:type="dxa"/>
            <w:gridSpan w:val="4"/>
            <w:tcBorders/>
            <w:shd w:color="auto" w:fill="BFBFBF" w:val="clear"/>
            <w:vAlign w:val="bottom"/>
          </w:tcPr>
          <w:p>
            <w:pPr>
              <w:pStyle w:val="DMETW2940BIPEBIT"/>
              <w:widowControl w:val="false"/>
              <w:jc w:val="center"/>
              <w:rPr>
                <w:b/>
                <w:color w:val="auto"/>
                <w:sz w:val="16"/>
                <w:szCs w:val="16"/>
                <w:lang w:val="el-GR"/>
              </w:rPr>
            </w:pPr>
            <w:r>
              <w:rPr>
                <w:b/>
                <w:color w:val="auto"/>
                <w:sz w:val="16"/>
                <w:szCs w:val="16"/>
                <w:lang w:val="el-GR"/>
              </w:rPr>
              <w:t xml:space="preserve">Α’ Εξάμηνο </w:t>
            </w:r>
            <w:r>
              <w:rPr>
                <w:b/>
                <w:color w:val="auto"/>
                <w:sz w:val="16"/>
                <w:szCs w:val="16"/>
              </w:rPr>
              <w:t>202</w:t>
            </w:r>
            <w:r>
              <w:rPr>
                <w:b/>
                <w:color w:val="auto"/>
                <w:sz w:val="16"/>
                <w:szCs w:val="16"/>
                <w:lang w:val="el-GR"/>
              </w:rPr>
              <w:t>6</w:t>
            </w:r>
          </w:p>
        </w:tc>
      </w:tr>
      <w:tr>
        <w:trPr>
          <w:trHeight w:val="365" w:hRule="exact"/>
        </w:trPr>
        <w:tc>
          <w:tcPr>
            <w:tcW w:w="4819" w:type="dxa"/>
            <w:tcBorders/>
            <w:vAlign w:val="bottom"/>
          </w:tcPr>
          <w:p>
            <w:pPr>
              <w:pStyle w:val="DMETW2940BIPEBIT"/>
              <w:widowControl w:val="false"/>
              <w:ind w:firstLine="221"/>
              <w:rPr>
                <w:color w:val="auto"/>
                <w:sz w:val="16"/>
                <w:szCs w:val="16"/>
              </w:rPr>
            </w:pPr>
            <w:r>
              <w:rPr>
                <w:color w:val="auto"/>
                <w:sz w:val="16"/>
                <w:szCs w:val="16"/>
              </w:rPr>
            </w:r>
          </w:p>
        </w:tc>
        <w:tc>
          <w:tcPr>
            <w:tcW w:w="1418" w:type="dxa"/>
            <w:tcBorders/>
            <w:shd w:color="auto" w:fill="BFBFBF" w:val="clear"/>
            <w:vAlign w:val="bottom"/>
          </w:tcPr>
          <w:p>
            <w:pPr>
              <w:pStyle w:val="DMETW2940BIPEBIT"/>
              <w:widowControl w:val="false"/>
              <w:ind w:left="-205" w:firstLine="205"/>
              <w:jc w:val="right"/>
              <w:rPr>
                <w:b/>
                <w:color w:val="auto"/>
                <w:sz w:val="16"/>
                <w:szCs w:val="16"/>
              </w:rPr>
            </w:pPr>
            <w:r>
              <w:rPr>
                <w:b/>
                <w:color w:val="auto"/>
                <w:sz w:val="16"/>
                <w:szCs w:val="16"/>
              </w:rPr>
              <w:t>Αναπτυγμένες αγορές</w:t>
            </w:r>
          </w:p>
        </w:tc>
        <w:tc>
          <w:tcPr>
            <w:tcW w:w="1560" w:type="dxa"/>
            <w:tcBorders/>
            <w:shd w:color="auto" w:fill="BFBFBF" w:val="clear"/>
            <w:vAlign w:val="bottom"/>
          </w:tcPr>
          <w:p>
            <w:pPr>
              <w:pStyle w:val="DMETW2940BIPEBIT"/>
              <w:widowControl w:val="false"/>
              <w:jc w:val="right"/>
              <w:rPr>
                <w:b/>
                <w:color w:val="auto"/>
                <w:sz w:val="16"/>
                <w:szCs w:val="16"/>
              </w:rPr>
            </w:pPr>
            <w:r>
              <w:rPr>
                <w:b/>
                <w:color w:val="auto"/>
                <w:sz w:val="16"/>
                <w:szCs w:val="16"/>
              </w:rPr>
              <w:t>Αναπτυσσόμενες αγορές</w:t>
            </w:r>
          </w:p>
        </w:tc>
        <w:tc>
          <w:tcPr>
            <w:tcW w:w="1417" w:type="dxa"/>
            <w:tcBorders/>
            <w:shd w:color="auto" w:fill="BFBFBF" w:val="clear"/>
            <w:vAlign w:val="bottom"/>
          </w:tcPr>
          <w:p>
            <w:pPr>
              <w:pStyle w:val="DMETW2940BIPEBIT"/>
              <w:widowControl w:val="false"/>
              <w:jc w:val="right"/>
              <w:rPr>
                <w:b/>
                <w:color w:val="auto"/>
                <w:sz w:val="16"/>
                <w:szCs w:val="16"/>
              </w:rPr>
            </w:pPr>
            <w:r>
              <w:rPr>
                <w:b/>
                <w:color w:val="auto"/>
                <w:sz w:val="16"/>
                <w:szCs w:val="16"/>
              </w:rPr>
              <w:t>Αναδυόμενες αγορές</w:t>
            </w:r>
          </w:p>
        </w:tc>
        <w:tc>
          <w:tcPr>
            <w:tcW w:w="993" w:type="dxa"/>
            <w:tcBorders/>
            <w:shd w:color="auto" w:fill="BFBFBF" w:val="clear"/>
            <w:vAlign w:val="bottom"/>
          </w:tcPr>
          <w:p>
            <w:pPr>
              <w:pStyle w:val="DMETW2940BIPEBIT"/>
              <w:widowControl w:val="false"/>
              <w:jc w:val="right"/>
              <w:rPr>
                <w:b/>
                <w:color w:val="auto"/>
                <w:sz w:val="16"/>
                <w:szCs w:val="16"/>
              </w:rPr>
            </w:pPr>
            <w:r>
              <w:rPr>
                <w:b/>
                <w:color w:val="auto"/>
                <w:sz w:val="16"/>
                <w:szCs w:val="16"/>
              </w:rPr>
              <w:t>Όμιλος</w:t>
            </w:r>
          </w:p>
        </w:tc>
      </w:tr>
      <w:tr>
        <w:trPr>
          <w:trHeight w:val="275" w:hRule="exact"/>
        </w:trPr>
        <w:tc>
          <w:tcPr>
            <w:tcW w:w="4819" w:type="dxa"/>
            <w:tcBorders/>
            <w:vAlign w:val="bottom"/>
          </w:tcPr>
          <w:p>
            <w:pPr>
              <w:pStyle w:val="DMETW2940BIPEBIT"/>
              <w:widowControl w:val="false"/>
              <w:ind w:firstLine="221"/>
              <w:rPr>
                <w:b/>
                <w:color w:val="auto"/>
                <w:sz w:val="16"/>
                <w:szCs w:val="16"/>
              </w:rPr>
            </w:pPr>
            <w:r>
              <w:rPr>
                <w:b/>
                <w:color w:val="auto"/>
                <w:sz w:val="16"/>
                <w:szCs w:val="16"/>
              </w:rPr>
              <w:t>Λειτουργικά κέρδη (EBIT)</w:t>
            </w:r>
          </w:p>
        </w:tc>
        <w:tc>
          <w:tcPr>
            <w:tcW w:w="1418"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196,3 </w:t>
            </w:r>
          </w:p>
        </w:tc>
        <w:tc>
          <w:tcPr>
            <w:tcW w:w="1560"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125,3 </w:t>
            </w:r>
          </w:p>
        </w:tc>
        <w:tc>
          <w:tcPr>
            <w:tcW w:w="1417"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425,3 </w:t>
            </w:r>
          </w:p>
        </w:tc>
        <w:tc>
          <w:tcPr>
            <w:tcW w:w="993"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746,9 </w:t>
            </w:r>
          </w:p>
        </w:tc>
      </w:tr>
      <w:tr>
        <w:trPr>
          <w:trHeight w:val="283" w:hRule="atLeast"/>
        </w:trPr>
        <w:tc>
          <w:tcPr>
            <w:tcW w:w="4819" w:type="dxa"/>
            <w:tcBorders/>
            <w:vAlign w:val="bottom"/>
          </w:tcPr>
          <w:p>
            <w:pPr>
              <w:pStyle w:val="DMETW2940BIPEBIT"/>
              <w:widowControl w:val="false"/>
              <w:ind w:firstLine="221"/>
              <w:rPr>
                <w:color w:val="auto"/>
                <w:sz w:val="16"/>
                <w:szCs w:val="16"/>
              </w:rPr>
            </w:pPr>
            <w:r>
              <w:rPr>
                <w:color w:val="auto"/>
                <w:sz w:val="16"/>
                <w:szCs w:val="16"/>
              </w:rPr>
              <w:t>Έξοδα αναδιάρθρωσης</w:t>
            </w:r>
          </w:p>
        </w:tc>
        <w:tc>
          <w:tcPr>
            <w:tcW w:w="1418"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   </w:t>
            </w:r>
          </w:p>
        </w:tc>
        <w:tc>
          <w:tcPr>
            <w:tcW w:w="1560"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0,5 </w:t>
            </w:r>
          </w:p>
        </w:tc>
        <w:tc>
          <w:tcPr>
            <w:tcW w:w="1417"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(0,3)</w:t>
            </w:r>
          </w:p>
        </w:tc>
        <w:tc>
          <w:tcPr>
            <w:tcW w:w="993"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0,2 </w:t>
            </w:r>
          </w:p>
        </w:tc>
      </w:tr>
      <w:tr>
        <w:trPr>
          <w:trHeight w:val="283" w:hRule="atLeast"/>
        </w:trPr>
        <w:tc>
          <w:tcPr>
            <w:tcW w:w="4819" w:type="dxa"/>
            <w:tcBorders/>
            <w:vAlign w:val="bottom"/>
          </w:tcPr>
          <w:p>
            <w:pPr>
              <w:pStyle w:val="DMETW2940BIPEBIT"/>
              <w:widowControl w:val="false"/>
              <w:ind w:firstLine="221"/>
              <w:rPr>
                <w:color w:val="auto"/>
                <w:sz w:val="16"/>
                <w:szCs w:val="16"/>
              </w:rPr>
            </w:pPr>
            <w:r>
              <w:rPr>
                <w:color w:val="auto"/>
                <w:sz w:val="16"/>
                <w:szCs w:val="16"/>
              </w:rPr>
              <w:t>Αντιστάθμιση κινδύνου πρώτων υλών</w:t>
            </w:r>
          </w:p>
        </w:tc>
        <w:tc>
          <w:tcPr>
            <w:tcW w:w="1418"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(2,2)</w:t>
            </w:r>
          </w:p>
        </w:tc>
        <w:tc>
          <w:tcPr>
            <w:tcW w:w="1560"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(2,8)</w:t>
            </w:r>
          </w:p>
        </w:tc>
        <w:tc>
          <w:tcPr>
            <w:tcW w:w="1417"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(1,8)</w:t>
            </w:r>
          </w:p>
        </w:tc>
        <w:tc>
          <w:tcPr>
            <w:tcW w:w="993"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(6,8)</w:t>
            </w:r>
          </w:p>
        </w:tc>
      </w:tr>
      <w:tr>
        <w:trPr>
          <w:trHeight w:val="283" w:hRule="atLeast"/>
        </w:trPr>
        <w:tc>
          <w:tcPr>
            <w:tcW w:w="4819" w:type="dxa"/>
            <w:tcBorders/>
            <w:vAlign w:val="bottom"/>
          </w:tcPr>
          <w:p>
            <w:pPr>
              <w:pStyle w:val="DMETW2940BIPEBIT"/>
              <w:widowControl w:val="false"/>
              <w:ind w:firstLine="221"/>
              <w:rPr>
                <w:color w:val="auto"/>
                <w:sz w:val="16"/>
                <w:szCs w:val="16"/>
                <w:lang w:val="el-GR"/>
              </w:rPr>
            </w:pPr>
            <w:r>
              <w:rPr>
                <w:color w:val="auto"/>
                <w:sz w:val="16"/>
                <w:szCs w:val="16"/>
              </w:rPr>
              <w:t>Έξοδα εξαγοράς</w:t>
            </w:r>
            <w:r>
              <w:rPr>
                <w:color w:val="auto"/>
                <w:sz w:val="16"/>
                <w:szCs w:val="16"/>
                <w:lang w:val="el-GR"/>
              </w:rPr>
              <w:t xml:space="preserve"> και ενσωμάτωσης</w:t>
            </w:r>
          </w:p>
        </w:tc>
        <w:tc>
          <w:tcPr>
            <w:tcW w:w="1418"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0,6 </w:t>
            </w:r>
          </w:p>
        </w:tc>
        <w:tc>
          <w:tcPr>
            <w:tcW w:w="1560"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0,4 </w:t>
            </w:r>
          </w:p>
        </w:tc>
        <w:tc>
          <w:tcPr>
            <w:tcW w:w="1417"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1,9 </w:t>
            </w:r>
          </w:p>
        </w:tc>
        <w:tc>
          <w:tcPr>
            <w:tcW w:w="993" w:type="dxa"/>
            <w:tcBorders/>
            <w:vAlign w:val="bottom"/>
          </w:tcPr>
          <w:p>
            <w:pPr>
              <w:pStyle w:val="DMETW2940BIPEBIT"/>
              <w:widowControl w:val="false"/>
              <w:jc w:val="right"/>
              <w:rPr>
                <w:b/>
                <w:color w:val="auto"/>
                <w:sz w:val="16"/>
                <w:szCs w:val="16"/>
              </w:rPr>
            </w:pPr>
            <w:r>
              <w:rPr>
                <w:b/>
                <w:bCs/>
                <w:color w:val="auto"/>
                <w:sz w:val="16"/>
                <w:szCs w:val="16"/>
              </w:rPr>
              <w:t xml:space="preserve"> </w:t>
            </w:r>
            <w:r>
              <w:rPr>
                <w:b/>
                <w:bCs/>
                <w:color w:val="auto"/>
                <w:sz w:val="16"/>
                <w:szCs w:val="16"/>
              </w:rPr>
              <w:t xml:space="preserve">2,9 </w:t>
            </w:r>
          </w:p>
        </w:tc>
      </w:tr>
      <w:tr>
        <w:trPr>
          <w:trHeight w:val="283" w:hRule="atLeast"/>
        </w:trPr>
        <w:tc>
          <w:tcPr>
            <w:tcW w:w="4819" w:type="dxa"/>
            <w:tcBorders/>
            <w:vAlign w:val="bottom"/>
          </w:tcPr>
          <w:p>
            <w:pPr>
              <w:pStyle w:val="DMETW2940BIPEBIT"/>
              <w:widowControl w:val="false"/>
              <w:ind w:firstLine="221"/>
              <w:rPr>
                <w:color w:val="auto"/>
                <w:sz w:val="16"/>
                <w:szCs w:val="16"/>
                <w:lang w:val="el-GR"/>
              </w:rPr>
            </w:pPr>
            <w:r>
              <w:rPr>
                <w:color w:val="auto"/>
                <w:sz w:val="16"/>
                <w:szCs w:val="16"/>
                <w:lang w:val="el-GR"/>
              </w:rPr>
              <w:t>Έξοδα, κέρδη ή ζημίες αποεπένδυσης</w:t>
            </w:r>
          </w:p>
        </w:tc>
        <w:tc>
          <w:tcPr>
            <w:tcW w:w="1418" w:type="dxa"/>
            <w:tcBorders/>
            <w:vAlign w:val="bottom"/>
          </w:tcPr>
          <w:p>
            <w:pPr>
              <w:pStyle w:val="DMETW2940BIPEBIT"/>
              <w:widowControl w:val="false"/>
              <w:jc w:val="right"/>
              <w:rPr>
                <w:b/>
                <w:color w:val="auto"/>
                <w:sz w:val="16"/>
                <w:szCs w:val="16"/>
                <w:lang w:val="el-GR"/>
              </w:rPr>
            </w:pPr>
            <w:r>
              <w:rPr>
                <w:b/>
                <w:color w:val="auto"/>
                <w:sz w:val="16"/>
                <w:szCs w:val="16"/>
              </w:rPr>
              <w:t>—</w:t>
            </w:r>
          </w:p>
        </w:tc>
        <w:tc>
          <w:tcPr>
            <w:tcW w:w="1560" w:type="dxa"/>
            <w:tcBorders/>
            <w:vAlign w:val="bottom"/>
          </w:tcPr>
          <w:p>
            <w:pPr>
              <w:pStyle w:val="DMETW2940BIPEBIT"/>
              <w:widowControl w:val="false"/>
              <w:jc w:val="right"/>
              <w:rPr>
                <w:b/>
                <w:color w:val="auto"/>
                <w:sz w:val="16"/>
                <w:szCs w:val="16"/>
                <w:lang w:val="el-GR"/>
              </w:rPr>
            </w:pPr>
            <w:r>
              <w:rPr>
                <w:b/>
                <w:color w:val="auto"/>
                <w:sz w:val="16"/>
                <w:szCs w:val="16"/>
              </w:rPr>
              <w:t>—</w:t>
            </w:r>
          </w:p>
        </w:tc>
        <w:tc>
          <w:tcPr>
            <w:tcW w:w="1417" w:type="dxa"/>
            <w:tcBorders/>
            <w:vAlign w:val="bottom"/>
          </w:tcPr>
          <w:p>
            <w:pPr>
              <w:pStyle w:val="DMETW2940BIPEBIT"/>
              <w:widowControl w:val="false"/>
              <w:jc w:val="right"/>
              <w:rPr>
                <w:b/>
                <w:color w:val="auto"/>
                <w:sz w:val="16"/>
                <w:szCs w:val="16"/>
                <w:lang w:val="el-GR"/>
              </w:rPr>
            </w:pPr>
            <w:r>
              <w:rPr>
                <w:b/>
                <w:color w:val="auto"/>
                <w:sz w:val="16"/>
                <w:szCs w:val="16"/>
              </w:rPr>
              <w:t>1,4</w:t>
            </w:r>
          </w:p>
        </w:tc>
        <w:tc>
          <w:tcPr>
            <w:tcW w:w="993" w:type="dxa"/>
            <w:tcBorders/>
            <w:vAlign w:val="bottom"/>
          </w:tcPr>
          <w:p>
            <w:pPr>
              <w:pStyle w:val="DMETW2940BIPEBIT"/>
              <w:widowControl w:val="false"/>
              <w:jc w:val="right"/>
              <w:rPr>
                <w:b/>
                <w:color w:val="auto"/>
                <w:sz w:val="16"/>
                <w:szCs w:val="16"/>
                <w:lang w:val="el-GR"/>
              </w:rPr>
            </w:pPr>
            <w:r>
              <w:rPr>
                <w:b/>
                <w:color w:val="auto"/>
                <w:sz w:val="16"/>
                <w:szCs w:val="16"/>
              </w:rPr>
              <w:t>1,4</w:t>
            </w:r>
          </w:p>
        </w:tc>
      </w:tr>
      <w:tr>
        <w:trPr>
          <w:trHeight w:val="283" w:hRule="atLeast"/>
        </w:trPr>
        <w:tc>
          <w:tcPr>
            <w:tcW w:w="4819" w:type="dxa"/>
            <w:tcBorders/>
            <w:vAlign w:val="bottom"/>
          </w:tcPr>
          <w:p>
            <w:pPr>
              <w:pStyle w:val="DMETW2940BIPEBIT"/>
              <w:widowControl w:val="false"/>
              <w:ind w:firstLine="221"/>
              <w:rPr>
                <w:color w:val="auto"/>
                <w:sz w:val="16"/>
                <w:szCs w:val="16"/>
                <w:lang w:val="el-GR"/>
              </w:rPr>
            </w:pPr>
            <w:r>
              <w:rPr>
                <w:color w:val="auto"/>
                <w:sz w:val="16"/>
                <w:szCs w:val="16"/>
                <w:lang w:val="el-GR"/>
              </w:rPr>
              <w:t>Απομείωση υπεραξίας</w:t>
            </w:r>
          </w:p>
        </w:tc>
        <w:tc>
          <w:tcPr>
            <w:tcW w:w="1418" w:type="dxa"/>
            <w:tcBorders/>
            <w:vAlign w:val="bottom"/>
          </w:tcPr>
          <w:p>
            <w:pPr>
              <w:pStyle w:val="DMETW2940BIPEBIT"/>
              <w:widowControl w:val="false"/>
              <w:jc w:val="right"/>
              <w:rPr>
                <w:b/>
                <w:color w:val="auto"/>
                <w:sz w:val="16"/>
                <w:szCs w:val="16"/>
                <w:lang w:val="el-GR"/>
              </w:rPr>
            </w:pPr>
            <w:r>
              <w:rPr>
                <w:b/>
                <w:color w:val="auto"/>
                <w:sz w:val="16"/>
                <w:szCs w:val="16"/>
              </w:rPr>
              <w:t>—</w:t>
            </w:r>
          </w:p>
        </w:tc>
        <w:tc>
          <w:tcPr>
            <w:tcW w:w="1560" w:type="dxa"/>
            <w:tcBorders/>
            <w:vAlign w:val="bottom"/>
          </w:tcPr>
          <w:p>
            <w:pPr>
              <w:pStyle w:val="DMETW2940BIPEBIT"/>
              <w:widowControl w:val="false"/>
              <w:jc w:val="right"/>
              <w:rPr>
                <w:b/>
                <w:color w:val="auto"/>
                <w:sz w:val="16"/>
                <w:szCs w:val="16"/>
                <w:lang w:val="el-GR"/>
              </w:rPr>
            </w:pPr>
            <w:r>
              <w:rPr>
                <w:b/>
                <w:color w:val="auto"/>
                <w:sz w:val="16"/>
                <w:szCs w:val="16"/>
              </w:rPr>
              <w:t>—</w:t>
            </w:r>
          </w:p>
        </w:tc>
        <w:tc>
          <w:tcPr>
            <w:tcW w:w="1417" w:type="dxa"/>
            <w:tcBorders/>
            <w:vAlign w:val="bottom"/>
          </w:tcPr>
          <w:p>
            <w:pPr>
              <w:pStyle w:val="DMETW2940BIPEBIT"/>
              <w:widowControl w:val="false"/>
              <w:jc w:val="right"/>
              <w:rPr>
                <w:b/>
                <w:color w:val="auto"/>
                <w:sz w:val="16"/>
                <w:szCs w:val="16"/>
                <w:lang w:val="el-GR"/>
              </w:rPr>
            </w:pPr>
            <w:r>
              <w:rPr>
                <w:b/>
                <w:color w:val="auto"/>
                <w:sz w:val="16"/>
                <w:szCs w:val="16"/>
              </w:rPr>
              <w:t>0,8</w:t>
            </w:r>
          </w:p>
        </w:tc>
        <w:tc>
          <w:tcPr>
            <w:tcW w:w="993" w:type="dxa"/>
            <w:tcBorders/>
            <w:vAlign w:val="bottom"/>
          </w:tcPr>
          <w:p>
            <w:pPr>
              <w:pStyle w:val="DMETW2940BIPEBIT"/>
              <w:widowControl w:val="false"/>
              <w:jc w:val="right"/>
              <w:rPr>
                <w:b/>
                <w:color w:val="auto"/>
                <w:sz w:val="16"/>
                <w:szCs w:val="16"/>
                <w:lang w:val="el-GR"/>
              </w:rPr>
            </w:pPr>
            <w:r>
              <w:rPr>
                <w:b/>
                <w:color w:val="auto"/>
                <w:sz w:val="16"/>
                <w:szCs w:val="16"/>
              </w:rPr>
              <w:t>0,8</w:t>
            </w:r>
          </w:p>
        </w:tc>
      </w:tr>
      <w:tr>
        <w:trPr>
          <w:trHeight w:val="283" w:hRule="atLeast"/>
        </w:trPr>
        <w:tc>
          <w:tcPr>
            <w:tcW w:w="4819" w:type="dxa"/>
            <w:tcBorders/>
            <w:vAlign w:val="bottom"/>
          </w:tcPr>
          <w:p>
            <w:pPr>
              <w:pStyle w:val="DMETW2940BIPEBIT"/>
              <w:widowControl w:val="false"/>
              <w:ind w:firstLine="221"/>
              <w:rPr>
                <w:color w:val="auto"/>
                <w:sz w:val="16"/>
                <w:szCs w:val="16"/>
                <w:lang w:val="el-GR"/>
              </w:rPr>
            </w:pPr>
            <w:r>
              <w:rPr>
                <w:color w:val="auto"/>
                <w:sz w:val="16"/>
                <w:szCs w:val="16"/>
                <w:lang w:val="el-GR"/>
              </w:rPr>
              <w:t>Αντίκτυπος της σύγκρουσης μεταξύ Ρωσίας και Ουκρανίας</w:t>
            </w:r>
          </w:p>
        </w:tc>
        <w:tc>
          <w:tcPr>
            <w:tcW w:w="1418" w:type="dxa"/>
            <w:tcBorders/>
            <w:vAlign w:val="bottom"/>
          </w:tcPr>
          <w:p>
            <w:pPr>
              <w:pStyle w:val="DMETW2940BIPEBIT"/>
              <w:widowControl w:val="false"/>
              <w:jc w:val="right"/>
              <w:rPr>
                <w:b/>
                <w:color w:val="auto"/>
                <w:sz w:val="16"/>
                <w:szCs w:val="16"/>
                <w:lang w:val="el-GR"/>
              </w:rPr>
            </w:pPr>
            <w:r>
              <w:rPr>
                <w:b/>
                <w:color w:val="auto"/>
                <w:sz w:val="16"/>
                <w:szCs w:val="16"/>
              </w:rPr>
              <w:t>—</w:t>
            </w:r>
          </w:p>
        </w:tc>
        <w:tc>
          <w:tcPr>
            <w:tcW w:w="1560" w:type="dxa"/>
            <w:tcBorders/>
            <w:vAlign w:val="bottom"/>
          </w:tcPr>
          <w:p>
            <w:pPr>
              <w:pStyle w:val="DMETW2940BIPEBIT"/>
              <w:widowControl w:val="false"/>
              <w:jc w:val="right"/>
              <w:rPr>
                <w:b/>
                <w:color w:val="auto"/>
                <w:sz w:val="16"/>
                <w:szCs w:val="16"/>
                <w:lang w:val="el-GR"/>
              </w:rPr>
            </w:pPr>
            <w:r>
              <w:rPr>
                <w:b/>
                <w:color w:val="auto"/>
                <w:sz w:val="16"/>
                <w:szCs w:val="16"/>
              </w:rPr>
              <w:t>—</w:t>
            </w:r>
          </w:p>
        </w:tc>
        <w:tc>
          <w:tcPr>
            <w:tcW w:w="1417" w:type="dxa"/>
            <w:tcBorders/>
            <w:vAlign w:val="bottom"/>
          </w:tcPr>
          <w:p>
            <w:pPr>
              <w:pStyle w:val="DMETW2940BIPEBIT"/>
              <w:widowControl w:val="false"/>
              <w:jc w:val="right"/>
              <w:rPr>
                <w:b/>
                <w:color w:val="auto"/>
                <w:sz w:val="16"/>
                <w:szCs w:val="16"/>
                <w:lang w:val="el-GR"/>
              </w:rPr>
            </w:pPr>
            <w:r>
              <w:rPr>
                <w:b/>
                <w:color w:val="auto"/>
                <w:sz w:val="16"/>
                <w:szCs w:val="16"/>
              </w:rPr>
              <w:t>14,7</w:t>
            </w:r>
          </w:p>
        </w:tc>
        <w:tc>
          <w:tcPr>
            <w:tcW w:w="993" w:type="dxa"/>
            <w:tcBorders/>
            <w:vAlign w:val="bottom"/>
          </w:tcPr>
          <w:p>
            <w:pPr>
              <w:pStyle w:val="DMETW2940BIPEBIT"/>
              <w:widowControl w:val="false"/>
              <w:jc w:val="right"/>
              <w:rPr>
                <w:b/>
                <w:color w:val="auto"/>
                <w:sz w:val="16"/>
                <w:szCs w:val="16"/>
                <w:lang w:val="el-GR"/>
              </w:rPr>
            </w:pPr>
            <w:r>
              <w:rPr>
                <w:b/>
                <w:color w:val="auto"/>
                <w:sz w:val="16"/>
                <w:szCs w:val="16"/>
              </w:rPr>
              <w:t>14,7</w:t>
            </w:r>
          </w:p>
        </w:tc>
      </w:tr>
      <w:tr>
        <w:trPr>
          <w:trHeight w:val="283" w:hRule="atLeast"/>
        </w:trPr>
        <w:tc>
          <w:tcPr>
            <w:tcW w:w="4819" w:type="dxa"/>
            <w:tcBorders/>
            <w:vAlign w:val="bottom"/>
          </w:tcPr>
          <w:p>
            <w:pPr>
              <w:pStyle w:val="DMETW2940BIPEBIT"/>
              <w:widowControl w:val="false"/>
              <w:ind w:firstLine="221"/>
              <w:rPr>
                <w:b/>
                <w:color w:val="auto"/>
                <w:sz w:val="16"/>
                <w:szCs w:val="16"/>
              </w:rPr>
            </w:pPr>
            <w:r>
              <w:rPr>
                <w:b/>
                <w:color w:val="auto"/>
                <w:sz w:val="16"/>
                <w:szCs w:val="16"/>
              </w:rPr>
              <w:t>Συγκρίσιμα λειτουργικά κέρδη</w:t>
            </w:r>
          </w:p>
        </w:tc>
        <w:tc>
          <w:tcPr>
            <w:tcW w:w="1418" w:type="dxa"/>
            <w:tcBorders>
              <w:top w:val="single" w:sz="4" w:space="0" w:color="000000"/>
              <w:bottom w:val="single" w:sz="4" w:space="0" w:color="000000"/>
            </w:tcBorders>
            <w:vAlign w:val="bottom"/>
          </w:tcPr>
          <w:p>
            <w:pPr>
              <w:pStyle w:val="DMETW2940BIPEBIT"/>
              <w:widowControl w:val="false"/>
              <w:jc w:val="right"/>
              <w:rPr>
                <w:b/>
                <w:color w:val="auto"/>
                <w:sz w:val="16"/>
                <w:szCs w:val="16"/>
              </w:rPr>
            </w:pPr>
            <w:r>
              <w:rPr>
                <w:b/>
                <w:color w:val="auto"/>
                <w:sz w:val="16"/>
                <w:szCs w:val="16"/>
              </w:rPr>
              <w:t>194,7</w:t>
            </w:r>
          </w:p>
        </w:tc>
        <w:tc>
          <w:tcPr>
            <w:tcW w:w="1560" w:type="dxa"/>
            <w:tcBorders>
              <w:top w:val="single" w:sz="4" w:space="0" w:color="000000"/>
              <w:bottom w:val="single" w:sz="4" w:space="0" w:color="000000"/>
            </w:tcBorders>
            <w:vAlign w:val="bottom"/>
          </w:tcPr>
          <w:p>
            <w:pPr>
              <w:pStyle w:val="DMETW2940BIPEBIT"/>
              <w:widowControl w:val="false"/>
              <w:jc w:val="right"/>
              <w:rPr>
                <w:b/>
                <w:color w:val="auto"/>
                <w:sz w:val="16"/>
                <w:szCs w:val="16"/>
              </w:rPr>
            </w:pPr>
            <w:r>
              <w:rPr>
                <w:b/>
                <w:color w:val="auto"/>
                <w:sz w:val="16"/>
                <w:szCs w:val="16"/>
              </w:rPr>
              <w:t>123,4</w:t>
            </w:r>
          </w:p>
        </w:tc>
        <w:tc>
          <w:tcPr>
            <w:tcW w:w="1417" w:type="dxa"/>
            <w:tcBorders>
              <w:top w:val="single" w:sz="4" w:space="0" w:color="000000"/>
              <w:bottom w:val="single" w:sz="4" w:space="0" w:color="000000"/>
            </w:tcBorders>
            <w:vAlign w:val="bottom"/>
          </w:tcPr>
          <w:p>
            <w:pPr>
              <w:pStyle w:val="DMETW2940BIPEBIT"/>
              <w:widowControl w:val="false"/>
              <w:jc w:val="right"/>
              <w:rPr>
                <w:b/>
                <w:color w:val="auto"/>
                <w:sz w:val="16"/>
                <w:szCs w:val="16"/>
              </w:rPr>
            </w:pPr>
            <w:r>
              <w:rPr>
                <w:b/>
                <w:color w:val="auto"/>
                <w:sz w:val="16"/>
                <w:szCs w:val="16"/>
              </w:rPr>
              <w:t>442,0</w:t>
            </w:r>
          </w:p>
        </w:tc>
        <w:tc>
          <w:tcPr>
            <w:tcW w:w="993" w:type="dxa"/>
            <w:tcBorders>
              <w:top w:val="single" w:sz="4" w:space="0" w:color="000000"/>
              <w:bottom w:val="single" w:sz="4" w:space="0" w:color="000000"/>
            </w:tcBorders>
            <w:vAlign w:val="bottom"/>
          </w:tcPr>
          <w:p>
            <w:pPr>
              <w:pStyle w:val="DMETW2940BIPEBIT"/>
              <w:widowControl w:val="false"/>
              <w:jc w:val="right"/>
              <w:rPr>
                <w:b/>
                <w:color w:val="auto"/>
                <w:sz w:val="16"/>
                <w:szCs w:val="16"/>
              </w:rPr>
            </w:pPr>
            <w:r>
              <w:rPr>
                <w:b/>
                <w:color w:val="auto"/>
                <w:sz w:val="16"/>
                <w:szCs w:val="16"/>
              </w:rPr>
              <w:t>760,1</w:t>
            </w:r>
          </w:p>
        </w:tc>
      </w:tr>
      <w:tr>
        <w:trPr>
          <w:trHeight w:val="165" w:hRule="exact"/>
        </w:trPr>
        <w:tc>
          <w:tcPr>
            <w:tcW w:w="4819" w:type="dxa"/>
            <w:tcBorders/>
            <w:vAlign w:val="bottom"/>
          </w:tcPr>
          <w:p>
            <w:pPr>
              <w:pStyle w:val="DMETW2940BIPEBIT"/>
              <w:widowControl w:val="false"/>
              <w:ind w:firstLine="221"/>
              <w:rPr>
                <w:b/>
                <w:color w:val="auto"/>
                <w:sz w:val="16"/>
                <w:szCs w:val="16"/>
              </w:rPr>
            </w:pPr>
            <w:r>
              <w:rPr>
                <w:b/>
                <w:color w:val="auto"/>
                <w:sz w:val="16"/>
                <w:szCs w:val="16"/>
              </w:rPr>
            </w:r>
          </w:p>
        </w:tc>
        <w:tc>
          <w:tcPr>
            <w:tcW w:w="1418" w:type="dxa"/>
            <w:tcBorders>
              <w:top w:val="single" w:sz="4" w:space="0" w:color="000000"/>
            </w:tcBorders>
            <w:vAlign w:val="bottom"/>
          </w:tcPr>
          <w:p>
            <w:pPr>
              <w:pStyle w:val="DMETW2940BIPEBIT"/>
              <w:widowControl w:val="false"/>
              <w:jc w:val="right"/>
              <w:rPr>
                <w:b/>
                <w:color w:val="auto"/>
                <w:sz w:val="16"/>
                <w:szCs w:val="16"/>
              </w:rPr>
            </w:pPr>
            <w:r>
              <w:rPr>
                <w:b/>
                <w:color w:val="auto"/>
                <w:sz w:val="16"/>
                <w:szCs w:val="16"/>
              </w:rPr>
            </w:r>
          </w:p>
        </w:tc>
        <w:tc>
          <w:tcPr>
            <w:tcW w:w="1560" w:type="dxa"/>
            <w:tcBorders>
              <w:top w:val="single" w:sz="4" w:space="0" w:color="000000"/>
            </w:tcBorders>
            <w:vAlign w:val="bottom"/>
          </w:tcPr>
          <w:p>
            <w:pPr>
              <w:pStyle w:val="DMETW2940BIPEBIT"/>
              <w:widowControl w:val="false"/>
              <w:jc w:val="right"/>
              <w:rPr>
                <w:b/>
                <w:color w:val="auto"/>
                <w:sz w:val="16"/>
                <w:szCs w:val="16"/>
              </w:rPr>
            </w:pPr>
            <w:r>
              <w:rPr>
                <w:b/>
                <w:color w:val="auto"/>
                <w:sz w:val="16"/>
                <w:szCs w:val="16"/>
              </w:rPr>
            </w:r>
          </w:p>
        </w:tc>
        <w:tc>
          <w:tcPr>
            <w:tcW w:w="1417" w:type="dxa"/>
            <w:tcBorders>
              <w:top w:val="single" w:sz="4" w:space="0" w:color="000000"/>
            </w:tcBorders>
            <w:vAlign w:val="bottom"/>
          </w:tcPr>
          <w:p>
            <w:pPr>
              <w:pStyle w:val="DMETW2940BIPEBIT"/>
              <w:widowControl w:val="false"/>
              <w:jc w:val="right"/>
              <w:rPr>
                <w:b/>
                <w:color w:val="auto"/>
                <w:sz w:val="16"/>
                <w:szCs w:val="16"/>
              </w:rPr>
            </w:pPr>
            <w:r>
              <w:rPr>
                <w:b/>
                <w:color w:val="auto"/>
                <w:sz w:val="16"/>
                <w:szCs w:val="16"/>
              </w:rPr>
            </w:r>
          </w:p>
        </w:tc>
        <w:tc>
          <w:tcPr>
            <w:tcW w:w="993" w:type="dxa"/>
            <w:tcBorders>
              <w:top w:val="single" w:sz="4" w:space="0" w:color="000000"/>
            </w:tcBorders>
            <w:vAlign w:val="bottom"/>
          </w:tcPr>
          <w:p>
            <w:pPr>
              <w:pStyle w:val="DMETW2940BIPEBIT"/>
              <w:widowControl w:val="false"/>
              <w:jc w:val="right"/>
              <w:rPr>
                <w:b/>
                <w:color w:val="auto"/>
                <w:sz w:val="16"/>
                <w:szCs w:val="16"/>
              </w:rPr>
            </w:pPr>
            <w:r>
              <w:rPr>
                <w:b/>
                <w:color w:val="auto"/>
                <w:sz w:val="16"/>
                <w:szCs w:val="16"/>
              </w:rPr>
            </w:r>
          </w:p>
        </w:tc>
      </w:tr>
      <w:tr>
        <w:trPr>
          <w:trHeight w:val="275" w:hRule="exact"/>
        </w:trPr>
        <w:tc>
          <w:tcPr>
            <w:tcW w:w="4819" w:type="dxa"/>
            <w:tcBorders/>
            <w:vAlign w:val="bottom"/>
          </w:tcPr>
          <w:p>
            <w:pPr>
              <w:pStyle w:val="DMETW2940BIPEBIT"/>
              <w:widowControl w:val="false"/>
              <w:ind w:firstLine="221"/>
              <w:jc w:val="right"/>
              <w:rPr>
                <w:color w:val="auto"/>
                <w:sz w:val="16"/>
                <w:szCs w:val="16"/>
              </w:rPr>
            </w:pPr>
            <w:r>
              <w:rPr>
                <w:color w:val="auto"/>
                <w:sz w:val="16"/>
                <w:szCs w:val="16"/>
              </w:rPr>
            </w:r>
          </w:p>
        </w:tc>
        <w:tc>
          <w:tcPr>
            <w:tcW w:w="5388" w:type="dxa"/>
            <w:gridSpan w:val="4"/>
            <w:tcBorders/>
            <w:shd w:color="auto" w:fill="BFBFBF" w:val="clear"/>
            <w:vAlign w:val="bottom"/>
          </w:tcPr>
          <w:p>
            <w:pPr>
              <w:pStyle w:val="DMETW2940BIPEBIT"/>
              <w:widowControl w:val="false"/>
              <w:jc w:val="center"/>
              <w:rPr>
                <w:b/>
                <w:color w:val="auto"/>
                <w:sz w:val="16"/>
                <w:szCs w:val="16"/>
              </w:rPr>
            </w:pPr>
            <w:r>
              <w:rPr>
                <w:b/>
                <w:color w:val="auto"/>
                <w:sz w:val="16"/>
                <w:szCs w:val="16"/>
                <w:lang w:val="el-GR"/>
              </w:rPr>
              <w:t>Α’ Εξάμηνο 2025</w:t>
            </w:r>
          </w:p>
        </w:tc>
      </w:tr>
      <w:tr>
        <w:trPr>
          <w:trHeight w:val="410" w:hRule="exact"/>
        </w:trPr>
        <w:tc>
          <w:tcPr>
            <w:tcW w:w="4819" w:type="dxa"/>
            <w:tcBorders/>
            <w:vAlign w:val="bottom"/>
          </w:tcPr>
          <w:p>
            <w:pPr>
              <w:pStyle w:val="DMETW2940BIPEBIT"/>
              <w:widowControl w:val="false"/>
              <w:ind w:firstLine="221"/>
              <w:rPr>
                <w:color w:val="auto"/>
                <w:sz w:val="16"/>
                <w:szCs w:val="16"/>
              </w:rPr>
            </w:pPr>
            <w:r>
              <w:rPr>
                <w:color w:val="auto"/>
                <w:sz w:val="16"/>
                <w:szCs w:val="16"/>
              </w:rPr>
            </w:r>
          </w:p>
        </w:tc>
        <w:tc>
          <w:tcPr>
            <w:tcW w:w="1418" w:type="dxa"/>
            <w:tcBorders/>
            <w:shd w:color="auto" w:fill="BFBFBF" w:val="clear"/>
            <w:vAlign w:val="bottom"/>
          </w:tcPr>
          <w:p>
            <w:pPr>
              <w:pStyle w:val="DMETW2940BIPEBIT"/>
              <w:widowControl w:val="false"/>
              <w:jc w:val="right"/>
              <w:rPr>
                <w:b/>
                <w:color w:val="auto"/>
                <w:sz w:val="16"/>
                <w:szCs w:val="16"/>
              </w:rPr>
            </w:pPr>
            <w:r>
              <w:rPr>
                <w:b/>
                <w:color w:val="auto"/>
                <w:sz w:val="16"/>
                <w:szCs w:val="16"/>
              </w:rPr>
              <w:t>Αναπτυγμένες αγορές</w:t>
            </w:r>
          </w:p>
        </w:tc>
        <w:tc>
          <w:tcPr>
            <w:tcW w:w="1560" w:type="dxa"/>
            <w:tcBorders/>
            <w:shd w:color="auto" w:fill="BFBFBF" w:val="clear"/>
            <w:vAlign w:val="bottom"/>
          </w:tcPr>
          <w:p>
            <w:pPr>
              <w:pStyle w:val="DMETW2940BIPEBIT"/>
              <w:widowControl w:val="false"/>
              <w:tabs>
                <w:tab w:val="clear" w:pos="720"/>
                <w:tab w:val="left" w:pos="299" w:leader="none"/>
              </w:tabs>
              <w:ind w:left="-126" w:firstLine="126"/>
              <w:jc w:val="right"/>
              <w:rPr>
                <w:b/>
                <w:color w:val="auto"/>
                <w:sz w:val="16"/>
                <w:szCs w:val="16"/>
              </w:rPr>
            </w:pPr>
            <w:r>
              <w:rPr>
                <w:b/>
                <w:color w:val="auto"/>
                <w:sz w:val="16"/>
                <w:szCs w:val="16"/>
              </w:rPr>
              <w:t>Αναπτυσσόμενες αγορές</w:t>
            </w:r>
          </w:p>
        </w:tc>
        <w:tc>
          <w:tcPr>
            <w:tcW w:w="1417" w:type="dxa"/>
            <w:tcBorders/>
            <w:shd w:color="auto" w:fill="BFBFBF" w:val="clear"/>
            <w:vAlign w:val="bottom"/>
          </w:tcPr>
          <w:p>
            <w:pPr>
              <w:pStyle w:val="DMETW2940BIPEBIT"/>
              <w:widowControl w:val="false"/>
              <w:jc w:val="right"/>
              <w:rPr>
                <w:b/>
                <w:color w:val="auto"/>
                <w:sz w:val="16"/>
                <w:szCs w:val="16"/>
              </w:rPr>
            </w:pPr>
            <w:r>
              <w:rPr>
                <w:b/>
                <w:color w:val="auto"/>
                <w:sz w:val="16"/>
                <w:szCs w:val="16"/>
              </w:rPr>
              <w:t>Αναδυόμενες αγορές</w:t>
            </w:r>
          </w:p>
        </w:tc>
        <w:tc>
          <w:tcPr>
            <w:tcW w:w="993" w:type="dxa"/>
            <w:tcBorders/>
            <w:shd w:color="auto" w:fill="BFBFBF" w:val="clear"/>
            <w:vAlign w:val="bottom"/>
          </w:tcPr>
          <w:p>
            <w:pPr>
              <w:pStyle w:val="DMETW2940BIPEBIT"/>
              <w:widowControl w:val="false"/>
              <w:jc w:val="right"/>
              <w:rPr>
                <w:b/>
                <w:color w:val="auto"/>
                <w:sz w:val="16"/>
                <w:szCs w:val="16"/>
              </w:rPr>
            </w:pPr>
            <w:r>
              <w:rPr>
                <w:b/>
                <w:color w:val="auto"/>
                <w:sz w:val="16"/>
                <w:szCs w:val="16"/>
              </w:rPr>
              <w:t>Όμιλος</w:t>
            </w:r>
          </w:p>
        </w:tc>
      </w:tr>
      <w:tr>
        <w:trPr>
          <w:trHeight w:val="283" w:hRule="atLeast"/>
        </w:trPr>
        <w:tc>
          <w:tcPr>
            <w:tcW w:w="4819" w:type="dxa"/>
            <w:tcBorders/>
            <w:vAlign w:val="bottom"/>
          </w:tcPr>
          <w:p>
            <w:pPr>
              <w:pStyle w:val="DMETW2940BIPEBIT"/>
              <w:widowControl w:val="false"/>
              <w:ind w:firstLine="221"/>
              <w:rPr>
                <w:b/>
                <w:color w:val="auto"/>
                <w:sz w:val="16"/>
                <w:szCs w:val="16"/>
              </w:rPr>
            </w:pPr>
            <w:r>
              <w:rPr>
                <w:b/>
                <w:color w:val="auto"/>
                <w:sz w:val="16"/>
                <w:szCs w:val="16"/>
              </w:rPr>
              <w:t>Λειτουργικά κέρδη (EBIT)</w:t>
            </w:r>
          </w:p>
        </w:tc>
        <w:tc>
          <w:tcPr>
            <w:tcW w:w="1418" w:type="dxa"/>
            <w:tcBorders/>
            <w:vAlign w:val="bottom"/>
          </w:tcPr>
          <w:p>
            <w:pPr>
              <w:pStyle w:val="DMETW2940BIPEBIT"/>
              <w:widowControl w:val="false"/>
              <w:jc w:val="right"/>
              <w:rPr>
                <w:color w:val="auto"/>
                <w:sz w:val="16"/>
                <w:szCs w:val="16"/>
              </w:rPr>
            </w:pPr>
            <w:r>
              <w:rPr>
                <w:bCs/>
                <w:color w:val="auto"/>
                <w:sz w:val="16"/>
                <w:szCs w:val="16"/>
              </w:rPr>
              <w:t>180</w:t>
            </w:r>
            <w:r>
              <w:rPr>
                <w:bCs/>
                <w:color w:val="auto"/>
                <w:sz w:val="16"/>
                <w:szCs w:val="16"/>
                <w:lang w:val="el-GR"/>
              </w:rPr>
              <w:t>,</w:t>
            </w:r>
            <w:r>
              <w:rPr>
                <w:bCs/>
                <w:color w:val="auto"/>
                <w:sz w:val="16"/>
                <w:szCs w:val="16"/>
              </w:rPr>
              <w:t>9</w:t>
            </w:r>
          </w:p>
        </w:tc>
        <w:tc>
          <w:tcPr>
            <w:tcW w:w="1560" w:type="dxa"/>
            <w:tcBorders/>
            <w:vAlign w:val="bottom"/>
          </w:tcPr>
          <w:p>
            <w:pPr>
              <w:pStyle w:val="DMETW2940BIPEBIT"/>
              <w:widowControl w:val="false"/>
              <w:jc w:val="right"/>
              <w:rPr>
                <w:color w:val="auto"/>
                <w:sz w:val="16"/>
                <w:szCs w:val="16"/>
              </w:rPr>
            </w:pPr>
            <w:r>
              <w:rPr>
                <w:bCs/>
                <w:color w:val="auto"/>
                <w:sz w:val="16"/>
                <w:szCs w:val="16"/>
              </w:rPr>
              <w:t>118</w:t>
            </w:r>
            <w:r>
              <w:rPr>
                <w:bCs/>
                <w:color w:val="auto"/>
                <w:sz w:val="16"/>
                <w:szCs w:val="16"/>
                <w:lang w:val="el-GR"/>
              </w:rPr>
              <w:t>,</w:t>
            </w:r>
            <w:r>
              <w:rPr>
                <w:bCs/>
                <w:color w:val="auto"/>
                <w:sz w:val="16"/>
                <w:szCs w:val="16"/>
              </w:rPr>
              <w:t>4</w:t>
            </w:r>
          </w:p>
        </w:tc>
        <w:tc>
          <w:tcPr>
            <w:tcW w:w="1417" w:type="dxa"/>
            <w:tcBorders/>
            <w:vAlign w:val="bottom"/>
          </w:tcPr>
          <w:p>
            <w:pPr>
              <w:pStyle w:val="DMETW2940BIPEBIT"/>
              <w:widowControl w:val="false"/>
              <w:jc w:val="right"/>
              <w:rPr>
                <w:color w:val="auto"/>
                <w:sz w:val="16"/>
                <w:szCs w:val="16"/>
              </w:rPr>
            </w:pPr>
            <w:r>
              <w:rPr>
                <w:bCs/>
                <w:color w:val="auto"/>
                <w:sz w:val="16"/>
                <w:szCs w:val="16"/>
              </w:rPr>
              <w:t>345</w:t>
            </w:r>
            <w:r>
              <w:rPr>
                <w:bCs/>
                <w:color w:val="auto"/>
                <w:sz w:val="16"/>
                <w:szCs w:val="16"/>
                <w:lang w:val="el-GR"/>
              </w:rPr>
              <w:t>,</w:t>
            </w:r>
            <w:r>
              <w:rPr>
                <w:bCs/>
                <w:color w:val="auto"/>
                <w:sz w:val="16"/>
                <w:szCs w:val="16"/>
              </w:rPr>
              <w:t>3</w:t>
            </w:r>
          </w:p>
        </w:tc>
        <w:tc>
          <w:tcPr>
            <w:tcW w:w="993" w:type="dxa"/>
            <w:tcBorders/>
            <w:vAlign w:val="bottom"/>
          </w:tcPr>
          <w:p>
            <w:pPr>
              <w:pStyle w:val="DMETW2940BIPEBIT"/>
              <w:widowControl w:val="false"/>
              <w:jc w:val="right"/>
              <w:rPr>
                <w:color w:val="auto"/>
                <w:sz w:val="16"/>
                <w:szCs w:val="16"/>
              </w:rPr>
            </w:pPr>
            <w:r>
              <w:rPr>
                <w:bCs/>
                <w:color w:val="auto"/>
                <w:sz w:val="16"/>
                <w:szCs w:val="16"/>
              </w:rPr>
              <w:t>644</w:t>
            </w:r>
            <w:r>
              <w:rPr>
                <w:bCs/>
                <w:color w:val="auto"/>
                <w:sz w:val="16"/>
                <w:szCs w:val="16"/>
                <w:lang w:val="el-GR"/>
              </w:rPr>
              <w:t>,</w:t>
            </w:r>
            <w:r>
              <w:rPr>
                <w:bCs/>
                <w:color w:val="auto"/>
                <w:sz w:val="16"/>
                <w:szCs w:val="16"/>
              </w:rPr>
              <w:t>6</w:t>
            </w:r>
          </w:p>
        </w:tc>
      </w:tr>
      <w:tr>
        <w:trPr>
          <w:trHeight w:val="283" w:hRule="atLeast"/>
        </w:trPr>
        <w:tc>
          <w:tcPr>
            <w:tcW w:w="4819" w:type="dxa"/>
            <w:tcBorders/>
            <w:vAlign w:val="bottom"/>
          </w:tcPr>
          <w:p>
            <w:pPr>
              <w:pStyle w:val="DMETW2940BIPEBIT"/>
              <w:widowControl w:val="false"/>
              <w:ind w:firstLine="221"/>
              <w:rPr>
                <w:color w:val="auto"/>
                <w:sz w:val="16"/>
                <w:szCs w:val="16"/>
              </w:rPr>
            </w:pPr>
            <w:r>
              <w:rPr>
                <w:color w:val="auto"/>
                <w:sz w:val="16"/>
                <w:szCs w:val="16"/>
              </w:rPr>
              <w:t>Έξοδα αναδιάρθρωσης</w:t>
            </w:r>
          </w:p>
        </w:tc>
        <w:tc>
          <w:tcPr>
            <w:tcW w:w="1418" w:type="dxa"/>
            <w:tcBorders/>
            <w:vAlign w:val="bottom"/>
          </w:tcPr>
          <w:p>
            <w:pPr>
              <w:pStyle w:val="DMETW2940BIPEBIT"/>
              <w:widowControl w:val="false"/>
              <w:jc w:val="right"/>
              <w:rPr>
                <w:color w:val="auto"/>
                <w:sz w:val="16"/>
                <w:szCs w:val="16"/>
              </w:rPr>
            </w:pPr>
            <w:r>
              <w:rPr>
                <w:bCs/>
                <w:color w:val="auto"/>
                <w:sz w:val="16"/>
                <w:szCs w:val="16"/>
              </w:rPr>
              <w:t>—</w:t>
            </w:r>
          </w:p>
        </w:tc>
        <w:tc>
          <w:tcPr>
            <w:tcW w:w="1560" w:type="dxa"/>
            <w:tcBorders/>
            <w:vAlign w:val="bottom"/>
          </w:tcPr>
          <w:p>
            <w:pPr>
              <w:pStyle w:val="DMETW2940BIPEBIT"/>
              <w:widowControl w:val="false"/>
              <w:jc w:val="right"/>
              <w:rPr>
                <w:color w:val="auto"/>
                <w:sz w:val="16"/>
                <w:szCs w:val="16"/>
              </w:rPr>
            </w:pPr>
            <w:r>
              <w:rPr>
                <w:bCs/>
                <w:color w:val="auto"/>
                <w:sz w:val="16"/>
                <w:szCs w:val="16"/>
              </w:rPr>
              <w:t>—</w:t>
            </w:r>
          </w:p>
        </w:tc>
        <w:tc>
          <w:tcPr>
            <w:tcW w:w="1417" w:type="dxa"/>
            <w:tcBorders/>
            <w:vAlign w:val="bottom"/>
          </w:tcPr>
          <w:p>
            <w:pPr>
              <w:pStyle w:val="DMETW2940BIPEBIT"/>
              <w:widowControl w:val="false"/>
              <w:jc w:val="right"/>
              <w:rPr>
                <w:color w:val="auto"/>
                <w:sz w:val="16"/>
                <w:szCs w:val="16"/>
              </w:rPr>
            </w:pPr>
            <w:r>
              <w:rPr>
                <w:bCs/>
                <w:color w:val="auto"/>
                <w:sz w:val="16"/>
                <w:szCs w:val="16"/>
              </w:rPr>
              <w:t>7</w:t>
            </w:r>
            <w:r>
              <w:rPr>
                <w:bCs/>
                <w:color w:val="auto"/>
                <w:sz w:val="16"/>
                <w:szCs w:val="16"/>
                <w:lang w:val="el-GR"/>
              </w:rPr>
              <w:t>,</w:t>
            </w:r>
            <w:r>
              <w:rPr>
                <w:bCs/>
                <w:color w:val="auto"/>
                <w:sz w:val="16"/>
                <w:szCs w:val="16"/>
              </w:rPr>
              <w:t>0</w:t>
            </w:r>
          </w:p>
        </w:tc>
        <w:tc>
          <w:tcPr>
            <w:tcW w:w="993" w:type="dxa"/>
            <w:tcBorders/>
            <w:vAlign w:val="bottom"/>
          </w:tcPr>
          <w:p>
            <w:pPr>
              <w:pStyle w:val="DMETW2940BIPEBIT"/>
              <w:widowControl w:val="false"/>
              <w:jc w:val="right"/>
              <w:rPr>
                <w:color w:val="auto"/>
                <w:sz w:val="16"/>
                <w:szCs w:val="16"/>
              </w:rPr>
            </w:pPr>
            <w:r>
              <w:rPr>
                <w:bCs/>
                <w:color w:val="auto"/>
                <w:sz w:val="16"/>
                <w:szCs w:val="16"/>
              </w:rPr>
              <w:t>7</w:t>
            </w:r>
            <w:r>
              <w:rPr>
                <w:bCs/>
                <w:color w:val="auto"/>
                <w:sz w:val="16"/>
                <w:szCs w:val="16"/>
                <w:lang w:val="el-GR"/>
              </w:rPr>
              <w:t>,</w:t>
            </w:r>
            <w:r>
              <w:rPr>
                <w:bCs/>
                <w:color w:val="auto"/>
                <w:sz w:val="16"/>
                <w:szCs w:val="16"/>
              </w:rPr>
              <w:t>0</w:t>
            </w:r>
          </w:p>
        </w:tc>
      </w:tr>
      <w:tr>
        <w:trPr>
          <w:trHeight w:val="283" w:hRule="atLeast"/>
        </w:trPr>
        <w:tc>
          <w:tcPr>
            <w:tcW w:w="4819" w:type="dxa"/>
            <w:tcBorders/>
            <w:vAlign w:val="bottom"/>
          </w:tcPr>
          <w:p>
            <w:pPr>
              <w:pStyle w:val="DMETW2940BIPEBIT"/>
              <w:widowControl w:val="false"/>
              <w:ind w:firstLine="221"/>
              <w:rPr>
                <w:color w:val="auto"/>
                <w:sz w:val="16"/>
                <w:szCs w:val="16"/>
              </w:rPr>
            </w:pPr>
            <w:r>
              <w:rPr>
                <w:color w:val="auto"/>
                <w:sz w:val="16"/>
                <w:szCs w:val="16"/>
              </w:rPr>
              <w:t>Αντιστάθμιση κινδύνου πρώτων υλών</w:t>
            </w:r>
          </w:p>
        </w:tc>
        <w:tc>
          <w:tcPr>
            <w:tcW w:w="1418" w:type="dxa"/>
            <w:tcBorders/>
            <w:vAlign w:val="bottom"/>
          </w:tcPr>
          <w:p>
            <w:pPr>
              <w:pStyle w:val="DMETW2940BIPEBIT"/>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1</w:t>
            </w:r>
          </w:p>
        </w:tc>
        <w:tc>
          <w:tcPr>
            <w:tcW w:w="1560" w:type="dxa"/>
            <w:tcBorders/>
            <w:vAlign w:val="bottom"/>
          </w:tcPr>
          <w:p>
            <w:pPr>
              <w:pStyle w:val="DMETW2940BIPEBIT"/>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4)</w:t>
            </w:r>
          </w:p>
        </w:tc>
        <w:tc>
          <w:tcPr>
            <w:tcW w:w="1417" w:type="dxa"/>
            <w:tcBorders/>
            <w:vAlign w:val="bottom"/>
          </w:tcPr>
          <w:p>
            <w:pPr>
              <w:pStyle w:val="DMETW2940BIPEBIT"/>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0)</w:t>
            </w:r>
          </w:p>
        </w:tc>
        <w:tc>
          <w:tcPr>
            <w:tcW w:w="993" w:type="dxa"/>
            <w:tcBorders/>
            <w:vAlign w:val="bottom"/>
          </w:tcPr>
          <w:p>
            <w:pPr>
              <w:pStyle w:val="DMETW2940BIPEBIT"/>
              <w:widowControl w:val="false"/>
              <w:jc w:val="right"/>
              <w:rPr>
                <w:color w:val="auto"/>
                <w:sz w:val="16"/>
                <w:szCs w:val="16"/>
              </w:rPr>
            </w:pPr>
            <w:r>
              <w:rPr>
                <w:bCs/>
                <w:color w:val="auto"/>
                <w:sz w:val="16"/>
                <w:szCs w:val="16"/>
              </w:rPr>
              <w:t>(2</w:t>
            </w:r>
            <w:r>
              <w:rPr>
                <w:bCs/>
                <w:color w:val="auto"/>
                <w:sz w:val="16"/>
                <w:szCs w:val="16"/>
                <w:lang w:val="el-GR"/>
              </w:rPr>
              <w:t>,</w:t>
            </w:r>
            <w:r>
              <w:rPr>
                <w:bCs/>
                <w:color w:val="auto"/>
                <w:sz w:val="16"/>
                <w:szCs w:val="16"/>
              </w:rPr>
              <w:t>3)</w:t>
            </w:r>
          </w:p>
        </w:tc>
      </w:tr>
      <w:tr>
        <w:trPr>
          <w:trHeight w:val="283" w:hRule="atLeast"/>
        </w:trPr>
        <w:tc>
          <w:tcPr>
            <w:tcW w:w="4819" w:type="dxa"/>
            <w:tcBorders/>
            <w:vAlign w:val="bottom"/>
          </w:tcPr>
          <w:p>
            <w:pPr>
              <w:pStyle w:val="DMETW2940BIPEBIT"/>
              <w:widowControl w:val="false"/>
              <w:ind w:firstLine="221"/>
              <w:rPr>
                <w:color w:val="auto"/>
                <w:sz w:val="16"/>
                <w:szCs w:val="16"/>
              </w:rPr>
            </w:pPr>
            <w:r>
              <w:rPr>
                <w:color w:val="auto"/>
                <w:sz w:val="16"/>
                <w:szCs w:val="16"/>
              </w:rPr>
              <w:t>Έξοδα εξαγοράς</w:t>
            </w:r>
          </w:p>
        </w:tc>
        <w:tc>
          <w:tcPr>
            <w:tcW w:w="1418" w:type="dxa"/>
            <w:tcBorders/>
            <w:vAlign w:val="bottom"/>
          </w:tcPr>
          <w:p>
            <w:pPr>
              <w:pStyle w:val="DMETW2940BIPEBIT"/>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c>
          <w:tcPr>
            <w:tcW w:w="1560" w:type="dxa"/>
            <w:tcBorders/>
            <w:vAlign w:val="bottom"/>
          </w:tcPr>
          <w:p>
            <w:pPr>
              <w:pStyle w:val="DMETW2940BIPEBIT"/>
              <w:widowControl w:val="false"/>
              <w:jc w:val="right"/>
              <w:rPr>
                <w:color w:val="auto"/>
                <w:sz w:val="16"/>
                <w:szCs w:val="16"/>
              </w:rPr>
            </w:pPr>
            <w:r>
              <w:rPr>
                <w:bCs/>
                <w:color w:val="auto"/>
                <w:sz w:val="16"/>
                <w:szCs w:val="16"/>
              </w:rPr>
              <w:t>—</w:t>
            </w:r>
          </w:p>
        </w:tc>
        <w:tc>
          <w:tcPr>
            <w:tcW w:w="1417" w:type="dxa"/>
            <w:tcBorders/>
            <w:vAlign w:val="bottom"/>
          </w:tcPr>
          <w:p>
            <w:pPr>
              <w:pStyle w:val="DMETW2940BIPEBIT"/>
              <w:widowControl w:val="false"/>
              <w:jc w:val="right"/>
              <w:rPr>
                <w:color w:val="auto"/>
                <w:sz w:val="16"/>
                <w:szCs w:val="16"/>
              </w:rPr>
            </w:pPr>
            <w:r>
              <w:rPr>
                <w:bCs/>
                <w:color w:val="auto"/>
                <w:sz w:val="16"/>
                <w:szCs w:val="16"/>
              </w:rPr>
              <w:t>—</w:t>
            </w:r>
          </w:p>
        </w:tc>
        <w:tc>
          <w:tcPr>
            <w:tcW w:w="993" w:type="dxa"/>
            <w:tcBorders/>
            <w:vAlign w:val="bottom"/>
          </w:tcPr>
          <w:p>
            <w:pPr>
              <w:pStyle w:val="DMETW2940BIPEBIT"/>
              <w:widowControl w:val="false"/>
              <w:jc w:val="right"/>
              <w:rPr>
                <w:color w:val="auto"/>
                <w:sz w:val="16"/>
                <w:szCs w:val="16"/>
              </w:rPr>
            </w:pPr>
            <w:r>
              <w:rPr>
                <w:bCs/>
                <w:color w:val="auto"/>
                <w:sz w:val="16"/>
                <w:szCs w:val="16"/>
              </w:rPr>
              <w:t>0</w:t>
            </w:r>
            <w:r>
              <w:rPr>
                <w:bCs/>
                <w:color w:val="auto"/>
                <w:sz w:val="16"/>
                <w:szCs w:val="16"/>
                <w:lang w:val="el-GR"/>
              </w:rPr>
              <w:t>,</w:t>
            </w:r>
            <w:r>
              <w:rPr>
                <w:bCs/>
                <w:color w:val="auto"/>
                <w:sz w:val="16"/>
                <w:szCs w:val="16"/>
              </w:rPr>
              <w:t>5</w:t>
            </w:r>
          </w:p>
        </w:tc>
      </w:tr>
      <w:tr>
        <w:trPr>
          <w:trHeight w:val="283" w:hRule="atLeast"/>
        </w:trPr>
        <w:tc>
          <w:tcPr>
            <w:tcW w:w="4819" w:type="dxa"/>
            <w:tcBorders/>
            <w:vAlign w:val="bottom"/>
          </w:tcPr>
          <w:p>
            <w:pPr>
              <w:pStyle w:val="DMETW2940BIPEBIT"/>
              <w:widowControl w:val="false"/>
              <w:ind w:firstLine="221"/>
              <w:rPr>
                <w:b/>
                <w:color w:val="auto"/>
                <w:sz w:val="16"/>
                <w:szCs w:val="16"/>
              </w:rPr>
            </w:pPr>
            <w:r>
              <w:rPr>
                <w:b/>
                <w:color w:val="auto"/>
                <w:sz w:val="16"/>
                <w:szCs w:val="16"/>
              </w:rPr>
              <w:t>Συγκρίσιμα λειτουργικά κέρδη</w:t>
            </w:r>
          </w:p>
        </w:tc>
        <w:tc>
          <w:tcPr>
            <w:tcW w:w="1418" w:type="dxa"/>
            <w:tcBorders>
              <w:top w:val="single" w:sz="4" w:space="0" w:color="000000"/>
              <w:bottom w:val="single" w:sz="4" w:space="0" w:color="000000"/>
            </w:tcBorders>
            <w:vAlign w:val="bottom"/>
          </w:tcPr>
          <w:p>
            <w:pPr>
              <w:pStyle w:val="DMETW2940BIPEBIT"/>
              <w:widowControl w:val="false"/>
              <w:jc w:val="right"/>
              <w:rPr>
                <w:color w:val="auto"/>
                <w:sz w:val="16"/>
                <w:szCs w:val="16"/>
              </w:rPr>
            </w:pPr>
            <w:r>
              <w:rPr>
                <w:bCs/>
                <w:color w:val="auto"/>
                <w:sz w:val="16"/>
                <w:szCs w:val="16"/>
              </w:rPr>
              <w:t>181</w:t>
            </w:r>
            <w:r>
              <w:rPr>
                <w:bCs/>
                <w:color w:val="auto"/>
                <w:sz w:val="16"/>
                <w:szCs w:val="16"/>
                <w:lang w:val="el-GR"/>
              </w:rPr>
              <w:t>,</w:t>
            </w:r>
            <w:r>
              <w:rPr>
                <w:bCs/>
                <w:color w:val="auto"/>
                <w:sz w:val="16"/>
                <w:szCs w:val="16"/>
              </w:rPr>
              <w:t>5</w:t>
            </w:r>
          </w:p>
        </w:tc>
        <w:tc>
          <w:tcPr>
            <w:tcW w:w="1560" w:type="dxa"/>
            <w:tcBorders>
              <w:top w:val="single" w:sz="4" w:space="0" w:color="000000"/>
              <w:bottom w:val="single" w:sz="4" w:space="0" w:color="000000"/>
            </w:tcBorders>
            <w:vAlign w:val="bottom"/>
          </w:tcPr>
          <w:p>
            <w:pPr>
              <w:pStyle w:val="DMETW2940BIPEBIT"/>
              <w:widowControl w:val="false"/>
              <w:jc w:val="right"/>
              <w:rPr>
                <w:color w:val="auto"/>
                <w:sz w:val="16"/>
                <w:szCs w:val="16"/>
              </w:rPr>
            </w:pPr>
            <w:r>
              <w:rPr>
                <w:bCs/>
                <w:color w:val="auto"/>
                <w:sz w:val="16"/>
                <w:szCs w:val="16"/>
              </w:rPr>
              <w:t>118</w:t>
            </w:r>
            <w:r>
              <w:rPr>
                <w:bCs/>
                <w:color w:val="auto"/>
                <w:sz w:val="16"/>
                <w:szCs w:val="16"/>
                <w:lang w:val="el-GR"/>
              </w:rPr>
              <w:t>,</w:t>
            </w:r>
            <w:r>
              <w:rPr>
                <w:bCs/>
                <w:color w:val="auto"/>
                <w:sz w:val="16"/>
                <w:szCs w:val="16"/>
              </w:rPr>
              <w:t>0</w:t>
            </w:r>
          </w:p>
        </w:tc>
        <w:tc>
          <w:tcPr>
            <w:tcW w:w="1417" w:type="dxa"/>
            <w:tcBorders>
              <w:top w:val="single" w:sz="4" w:space="0" w:color="000000"/>
              <w:bottom w:val="single" w:sz="4" w:space="0" w:color="000000"/>
            </w:tcBorders>
            <w:vAlign w:val="bottom"/>
          </w:tcPr>
          <w:p>
            <w:pPr>
              <w:pStyle w:val="DMETW2940BIPEBIT"/>
              <w:widowControl w:val="false"/>
              <w:jc w:val="right"/>
              <w:rPr>
                <w:color w:val="auto"/>
                <w:sz w:val="16"/>
                <w:szCs w:val="16"/>
              </w:rPr>
            </w:pPr>
            <w:r>
              <w:rPr>
                <w:bCs/>
                <w:color w:val="auto"/>
                <w:sz w:val="16"/>
                <w:szCs w:val="16"/>
              </w:rPr>
              <w:t>350</w:t>
            </w:r>
            <w:r>
              <w:rPr>
                <w:bCs/>
                <w:color w:val="auto"/>
                <w:sz w:val="16"/>
                <w:szCs w:val="16"/>
                <w:lang w:val="el-GR"/>
              </w:rPr>
              <w:t>,</w:t>
            </w:r>
            <w:r>
              <w:rPr>
                <w:bCs/>
                <w:color w:val="auto"/>
                <w:sz w:val="16"/>
                <w:szCs w:val="16"/>
              </w:rPr>
              <w:t>3</w:t>
            </w:r>
          </w:p>
        </w:tc>
        <w:tc>
          <w:tcPr>
            <w:tcW w:w="993" w:type="dxa"/>
            <w:tcBorders>
              <w:top w:val="single" w:sz="4" w:space="0" w:color="000000"/>
              <w:bottom w:val="single" w:sz="4" w:space="0" w:color="000000"/>
            </w:tcBorders>
            <w:vAlign w:val="bottom"/>
          </w:tcPr>
          <w:p>
            <w:pPr>
              <w:pStyle w:val="DMETW2940BIPEBIT"/>
              <w:widowControl w:val="false"/>
              <w:jc w:val="right"/>
              <w:rPr>
                <w:color w:val="auto"/>
                <w:sz w:val="16"/>
                <w:szCs w:val="16"/>
              </w:rPr>
            </w:pPr>
            <w:r>
              <w:rPr>
                <w:bCs/>
                <w:color w:val="auto"/>
                <w:sz w:val="16"/>
                <w:szCs w:val="16"/>
              </w:rPr>
              <w:t>649</w:t>
            </w:r>
            <w:r>
              <w:rPr>
                <w:bCs/>
                <w:color w:val="auto"/>
                <w:sz w:val="16"/>
                <w:szCs w:val="16"/>
                <w:lang w:val="el-GR"/>
              </w:rPr>
              <w:t>,</w:t>
            </w:r>
            <w:r>
              <w:rPr>
                <w:bCs/>
                <w:color w:val="auto"/>
                <w:sz w:val="16"/>
                <w:szCs w:val="16"/>
              </w:rPr>
              <w:t>8</w:t>
            </w:r>
          </w:p>
        </w:tc>
      </w:tr>
    </w:tbl>
    <w:p>
      <w:pPr>
        <w:pStyle w:val="Normal"/>
        <w:rPr>
          <w:rFonts w:ascii="Effra Corp" w:hAnsi="Effra Corp" w:eastAsia="Effra Corp" w:cs="Effra Corp"/>
          <w:b/>
          <w:spacing w:val="-2"/>
          <w:sz w:val="21"/>
          <w:lang w:val="el-GR" w:bidi="el-GR"/>
        </w:rPr>
      </w:pPr>
      <w:r>
        <w:rPr>
          <w:rFonts w:eastAsia="Effra Corp" w:cs="Effra Corp" w:ascii="Effra Corp" w:hAnsi="Effra Corp"/>
          <w:b/>
          <w:spacing w:val="-2"/>
          <w:sz w:val="21"/>
          <w:lang w:val="el-GR" w:bidi="el-GR"/>
        </w:rPr>
      </w:r>
    </w:p>
    <w:p>
      <w:pPr>
        <w:pStyle w:val="ListParagraph"/>
        <w:numPr>
          <w:ilvl w:val="0"/>
          <w:numId w:val="22"/>
        </w:numPr>
        <w:spacing w:before="0" w:after="120"/>
        <w:ind w:left="360" w:hanging="360"/>
        <w:contextualSpacing/>
        <w:rPr>
          <w:rFonts w:ascii="Effra Corp" w:hAnsi="Effra Corp" w:cs="Arial"/>
          <w:b/>
          <w:spacing w:val="-2"/>
          <w:sz w:val="21"/>
          <w:szCs w:val="21"/>
        </w:rPr>
      </w:pPr>
      <w:r>
        <w:rPr>
          <w:rFonts w:cs="Arial" w:ascii="Effra Corp" w:hAnsi="Effra Corp"/>
          <w:b/>
          <w:spacing w:val="-2"/>
          <w:sz w:val="21"/>
          <w:szCs w:val="21"/>
          <w:lang w:val="el-GR"/>
        </w:rPr>
        <w:t>Ο</w:t>
      </w:r>
      <w:r>
        <w:rPr>
          <w:rFonts w:cs="Arial" w:ascii="Effra Corp" w:hAnsi="Effra Corp"/>
          <w:b/>
          <w:spacing w:val="-2"/>
          <w:sz w:val="21"/>
          <w:szCs w:val="21"/>
        </w:rPr>
        <w:t>ργανικοί ΕΔΜΑ</w:t>
      </w:r>
    </w:p>
    <w:p>
      <w:pPr>
        <w:pStyle w:val="Normal"/>
        <w:rPr>
          <w:rFonts w:ascii="Effra Corp" w:hAnsi="Effra Corp"/>
          <w:b/>
          <w:spacing w:val="-2"/>
          <w:sz w:val="21"/>
        </w:rPr>
      </w:pPr>
      <w:r>
        <w:rPr>
          <w:rFonts w:eastAsia="Effra Corp" w:cs="Effra Corp" w:ascii="Effra Corp" w:hAnsi="Effra Corp"/>
          <w:b/>
          <w:spacing w:val="-2"/>
          <w:sz w:val="21"/>
          <w:lang w:val="el-GR" w:bidi="el-GR"/>
        </w:rPr>
        <w:t xml:space="preserve">Οργανική αύξηση </w:t>
      </w:r>
    </w:p>
    <w:p>
      <w:pPr>
        <w:pStyle w:val="Normal"/>
        <w:spacing w:before="120" w:after="120"/>
        <w:ind w:right="-77" w:hanging="0"/>
        <w:jc w:val="both"/>
        <w:rPr>
          <w:rFonts w:ascii="Effra Corp" w:hAnsi="Effra Corp"/>
          <w:sz w:val="21"/>
          <w:lang w:val="el-GR"/>
        </w:rPr>
      </w:pPr>
      <w:r>
        <w:rPr>
          <w:rFonts w:eastAsia="Effra Corp" w:cs="Effra Corp" w:ascii="Effra Corp" w:hAnsi="Effra Corp"/>
          <w:sz w:val="21"/>
          <w:szCs w:val="21"/>
          <w:lang w:val="el-GR" w:bidi="el-GR"/>
        </w:rPr>
        <w:t xml:space="preserve">Η οργανική αύξηση επιτρέπει στους χρήστες να εστιάζουν στις λειτουργικές επιδόσεις του οργανισμού, σε μια βάση που δεν επηρεάζεται από μεταβολές στις συναλλαγματικές ισοτιμίες των ξένων νομισμάτων από περίοδο σε περίοδο ή από μεταβολές στη σύνθεση ενοποίησης του Ομίλου («περίμετρος ενοποίησης»), δηλαδή εξαγορές, αποεπενδύσεις και αναδιαρθρώσεις που οδηγούν σε λογιστικοποίηση με τη μέθοδο της καθαρής θέσης. Κατά συνέπεια, η οργανική αύξηση είναι σχεδιασμένη να διευκολύνει τους χρήστες να κατανοούν καλύτερα τις υποκείμενες επιδόσεις του Ομίλου. </w:t>
      </w:r>
    </w:p>
    <w:p>
      <w:pPr>
        <w:pStyle w:val="Normal"/>
        <w:spacing w:before="120" w:after="120"/>
        <w:ind w:right="-77" w:hanging="0"/>
        <w:jc w:val="both"/>
        <w:rPr>
          <w:rFonts w:ascii="Effra Corp" w:hAnsi="Effra Corp" w:eastAsia="Effra Corp" w:cs="Effra Corp"/>
          <w:sz w:val="21"/>
          <w:szCs w:val="21"/>
          <w:lang w:val="el-GR" w:bidi="el-GR"/>
        </w:rPr>
      </w:pPr>
      <w:r>
        <w:rPr>
          <w:rFonts w:eastAsia="Effra Corp" w:cs="Effra Corp" w:ascii="Effra Corp" w:hAnsi="Effra Corp"/>
          <w:sz w:val="21"/>
          <w:lang w:val="el-GR" w:bidi="el-GR"/>
        </w:rPr>
        <w:t xml:space="preserve">Ειδικότερα, τα ακόλουθα στοιχεία προσαρμόζονται από τον όγκο πωλήσεων, τα </w:t>
      </w:r>
      <w:r>
        <w:rPr>
          <w:rFonts w:eastAsia="Effra Corp" w:cs="Effra Corp" w:ascii="Effra Corp" w:hAnsi="Effra Corp"/>
          <w:sz w:val="21"/>
          <w:szCs w:val="21"/>
          <w:lang w:val="el-GR" w:bidi="el-GR"/>
        </w:rPr>
        <w:t>καθαρά έσοδα από πωλήσεις και τα συγκρίσιμα λειτουργικά κέρδη, προκειμένου να εξαχθούν τα ποσοστά οργανικής αύξησης:</w:t>
      </w:r>
    </w:p>
    <w:p>
      <w:pPr>
        <w:pStyle w:val="Normal"/>
        <w:spacing w:before="120" w:after="120"/>
        <w:ind w:right="-77" w:hanging="0"/>
        <w:jc w:val="both"/>
        <w:rPr>
          <w:rFonts w:ascii="Effra Corp" w:hAnsi="Effra Corp" w:eastAsia="Effra Corp" w:cs="Effra Corp"/>
          <w:sz w:val="21"/>
          <w:szCs w:val="21"/>
          <w:lang w:val="el-GR" w:bidi="el-GR"/>
        </w:rPr>
      </w:pPr>
      <w:r>
        <w:rPr>
          <w:rFonts w:eastAsia="Effra Corp" w:cs="Effra Corp" w:ascii="Effra Corp" w:hAnsi="Effra Corp"/>
          <w:sz w:val="21"/>
          <w:szCs w:val="21"/>
          <w:lang w:val="el-GR" w:bidi="el-GR"/>
        </w:rPr>
        <w:t>(α) Συναλλαγματική επίδραση</w:t>
      </w:r>
    </w:p>
    <w:p>
      <w:pPr>
        <w:pStyle w:val="Normal"/>
        <w:spacing w:before="120" w:after="120"/>
        <w:ind w:right="-77" w:hanging="0"/>
        <w:jc w:val="both"/>
        <w:rPr>
          <w:rFonts w:ascii="Effra Corp" w:hAnsi="Effra Corp" w:eastAsia="Effra Corp" w:cs="Effra Corp"/>
          <w:sz w:val="21"/>
          <w:szCs w:val="21"/>
          <w:lang w:val="el-GR" w:bidi="el-GR"/>
        </w:rPr>
      </w:pPr>
      <w:r>
        <w:rPr>
          <w:rFonts w:eastAsia="Effra Corp" w:cs="Effra Corp" w:ascii="Effra Corp" w:hAnsi="Effra Corp"/>
          <w:sz w:val="21"/>
          <w:szCs w:val="21"/>
          <w:lang w:val="el-GR" w:bidi="el-GR"/>
        </w:rPr>
        <w:t>Η συναλλαγματική επίδραση στον υπολογισμό της οργανικής αύξησης αντικατοπτρίζει την προσαρμογή των καθαρών εσόδων από πωλήσεις και των συγκρίσιμων λειτουργικών κερδών της προηγούμενης περιόδου για την επίδραση των μεταβολών στις συναλλαγματικές ισοτιμίες που ισχύουν κατά την τρέχουσα περίοδο.</w:t>
      </w:r>
    </w:p>
    <w:p>
      <w:pPr>
        <w:pStyle w:val="Normal"/>
        <w:spacing w:before="120" w:after="120"/>
        <w:ind w:right="-77" w:hanging="0"/>
        <w:jc w:val="both"/>
        <w:rPr>
          <w:rFonts w:ascii="Effra Corp" w:hAnsi="Effra Corp" w:eastAsia="Effra Corp" w:cs="Effra Corp"/>
          <w:sz w:val="21"/>
          <w:szCs w:val="21"/>
          <w:lang w:val="el-GR" w:bidi="el-GR"/>
        </w:rPr>
      </w:pPr>
      <w:r>
        <w:rPr>
          <w:rFonts w:eastAsia="Effra Corp" w:cs="Effra Corp" w:ascii="Effra Corp" w:hAnsi="Effra Corp"/>
          <w:i/>
          <w:sz w:val="21"/>
          <w:lang w:val="el-GR" w:bidi="el-GR"/>
        </w:rPr>
        <w:t>(β) Αντίκτυπος μεταβολών στην περίμετρο ενοποίησης</w:t>
      </w:r>
    </w:p>
    <w:p>
      <w:pPr>
        <w:pStyle w:val="Normal"/>
        <w:spacing w:before="120" w:after="120"/>
        <w:ind w:right="-77" w:hanging="0"/>
        <w:jc w:val="both"/>
        <w:rPr>
          <w:rFonts w:ascii="Effra Corp" w:hAnsi="Effra Corp" w:eastAsia="Effra Corp" w:cs="Effra Corp"/>
          <w:sz w:val="21"/>
          <w:lang w:val="el-GR" w:bidi="el-GR"/>
        </w:rPr>
      </w:pPr>
      <w:r>
        <w:rPr>
          <w:rFonts w:eastAsia="Effra Corp" w:cs="Effra Corp" w:ascii="Effra Corp" w:hAnsi="Effra Corp"/>
          <w:sz w:val="21"/>
          <w:lang w:val="el-GR" w:bidi="el-GR"/>
        </w:rPr>
        <w:t xml:space="preserve">Οι τιμές όγκου πωλήσεων, καθαρών εσόδων από πωλήσεις και συγκρίσιμων λειτουργικών κερδών της τρέχουσας περιόδου προσαρμόζονται έναντι της επίδρασης των μεταβολών στην περίμετρο ενοποίησης. </w:t>
      </w:r>
    </w:p>
    <w:p>
      <w:pPr>
        <w:pStyle w:val="Normal"/>
        <w:spacing w:before="120" w:after="120"/>
        <w:ind w:right="-77" w:hanging="0"/>
        <w:jc w:val="both"/>
        <w:rPr>
          <w:rFonts w:ascii="Effra Corp" w:hAnsi="Effra Corp" w:eastAsia="Effra Corp" w:cs="Effra Corp"/>
          <w:sz w:val="21"/>
          <w:lang w:val="el-GR" w:bidi="el-GR"/>
        </w:rPr>
      </w:pPr>
      <w:r>
        <w:rPr>
          <w:rFonts w:eastAsia="Effra Corp" w:cs="Effra Corp" w:ascii="Effra Corp" w:hAnsi="Effra Corp"/>
          <w:sz w:val="21"/>
          <w:lang w:val="el-GR" w:bidi="el-GR"/>
        </w:rPr>
        <w:t>Πιο συγκεκριμένα, οι προσαρμογές εφαρμόζονται ως εξής:</w:t>
      </w:r>
    </w:p>
    <w:p>
      <w:pPr>
        <w:pStyle w:val="ListParagraph"/>
        <w:numPr>
          <w:ilvl w:val="0"/>
          <w:numId w:val="5"/>
        </w:numPr>
        <w:spacing w:before="120" w:after="0"/>
        <w:ind w:left="1077" w:hanging="720"/>
        <w:contextualSpacing/>
        <w:jc w:val="both"/>
        <w:rPr>
          <w:rFonts w:ascii="Effra Corp" w:hAnsi="Effra Corp" w:cs="Arial"/>
          <w:sz w:val="21"/>
          <w:szCs w:val="21"/>
        </w:rPr>
      </w:pPr>
      <w:r>
        <w:rPr>
          <w:rFonts w:cs="Arial" w:ascii="Effra Corp" w:hAnsi="Effra Corp"/>
          <w:sz w:val="21"/>
          <w:szCs w:val="21"/>
          <w:lang w:val="el-GR"/>
        </w:rPr>
        <w:t>Εξαγορές</w:t>
      </w:r>
      <w:r>
        <w:rPr>
          <w:rFonts w:cs="Arial" w:ascii="Effra Corp" w:hAnsi="Effra Corp"/>
          <w:sz w:val="21"/>
          <w:szCs w:val="21"/>
        </w:rPr>
        <w:t xml:space="preserve">: </w:t>
      </w:r>
    </w:p>
    <w:p>
      <w:pPr>
        <w:pStyle w:val="Normal"/>
        <w:spacing w:before="0" w:after="120"/>
        <w:ind w:left="357" w:hanging="0"/>
        <w:jc w:val="both"/>
        <w:rPr>
          <w:rFonts w:ascii="Effra Corp" w:hAnsi="Effra Corp" w:eastAsia="Effra Corp" w:cs="Effra Corp"/>
          <w:sz w:val="21"/>
          <w:lang w:val="el-GR" w:bidi="el-GR"/>
        </w:rPr>
      </w:pPr>
      <w:r>
        <w:rPr>
          <w:rFonts w:eastAsia="Effra Corp" w:cs="Effra Corp" w:ascii="Effra Corp" w:hAnsi="Effra Corp"/>
          <w:sz w:val="21"/>
          <w:szCs w:val="21"/>
          <w:lang w:val="el-GR" w:bidi="el-GR"/>
        </w:rPr>
        <w:t>Για τις εξαγορές του τρέχοντος έτους, τα αποτελέσματα της τρέχουσας περιόδου από τις εξαγορασμένες οντότητες δεν συμπεριλαμβάνονται στον υπολογισμό της οργανικής αύξησης. Για τις εξαγορές του προηγούμενου έτους, τα αποτελέσματα της τρέχουσας περιόδου από τις εξαγορασμένες οντότητες για την αντίστοιχη περίοδο του προηγούμενου έτους κατά την οποία οι εν λόγω οντότητες δεν είχαν ενοποιηθεί, δεν συμπεριλαμβάνονται στον υπολογισμό της οργανικής αύξησης.</w:t>
      </w:r>
    </w:p>
    <w:p>
      <w:pPr>
        <w:pStyle w:val="Normal"/>
        <w:rPr>
          <w:rFonts w:ascii="Effra Corp" w:hAnsi="Effra Corp" w:eastAsia="Effra Corp" w:cs="Effra Corp"/>
          <w:sz w:val="21"/>
          <w:lang w:val="el-GR" w:bidi="el-GR"/>
        </w:rPr>
      </w:pPr>
      <w:r>
        <w:rPr>
          <w:rFonts w:eastAsia="Effra Corp" w:cs="Effra Corp" w:ascii="Effra Corp" w:hAnsi="Effra Corp"/>
          <w:sz w:val="21"/>
          <w:lang w:val="el-GR" w:bidi="el-GR"/>
        </w:rPr>
      </w:r>
      <w:r>
        <w:br w:type="page"/>
      </w:r>
    </w:p>
    <w:p>
      <w:pPr>
        <w:pStyle w:val="BodyText3"/>
        <w:shd w:val="clear" w:color="auto" w:fill="BFBFBF"/>
        <w:spacing w:before="0" w:after="120"/>
        <w:ind w:right="13" w:hanging="0"/>
        <w:rPr>
          <w:rFonts w:ascii="Effra Corp" w:hAnsi="Effra Corp" w:eastAsia="Effra Corp" w:cs="Effra Corp"/>
          <w:b/>
          <w:sz w:val="21"/>
          <w:lang w:val="el-GR" w:bidi="el-GR"/>
        </w:rPr>
      </w:pPr>
      <w:r>
        <w:rPr>
          <w:rFonts w:eastAsia="Effra Corp" w:cs="Effra Corp" w:ascii="Effra Corp" w:hAnsi="Effra Corp"/>
          <w:b/>
          <w:sz w:val="21"/>
          <w:lang w:val="el-GR" w:bidi="el-GR"/>
        </w:rPr>
        <w:t>Ορισμοί και συμφωνίες Εναλλακτικών δεικτών μέτρησης απόδοσης («ΕΔΜΑ») (συνέχεια)</w:t>
      </w:r>
    </w:p>
    <w:p>
      <w:pPr>
        <w:pStyle w:val="ListParagraph"/>
        <w:numPr>
          <w:ilvl w:val="0"/>
          <w:numId w:val="15"/>
        </w:numPr>
        <w:spacing w:before="0" w:after="120"/>
        <w:ind w:left="426" w:hanging="426"/>
        <w:contextualSpacing/>
        <w:rPr>
          <w:rFonts w:ascii="Effra Corp" w:hAnsi="Effra Corp" w:cs="Arial"/>
          <w:b/>
          <w:spacing w:val="-2"/>
          <w:sz w:val="21"/>
          <w:szCs w:val="21"/>
        </w:rPr>
      </w:pPr>
      <w:r>
        <w:rPr>
          <w:rFonts w:cs="Arial" w:ascii="Effra Corp" w:hAnsi="Effra Corp"/>
          <w:b/>
          <w:spacing w:val="-2"/>
          <w:sz w:val="21"/>
          <w:szCs w:val="21"/>
          <w:lang w:val="el-GR"/>
        </w:rPr>
        <w:t>Ο</w:t>
      </w:r>
      <w:r>
        <w:rPr>
          <w:rFonts w:cs="Arial" w:ascii="Effra Corp" w:hAnsi="Effra Corp"/>
          <w:b/>
          <w:spacing w:val="-2"/>
          <w:sz w:val="21"/>
          <w:szCs w:val="21"/>
        </w:rPr>
        <w:t>ργανικοί ΕΔΜΑ (</w:t>
      </w:r>
      <w:r>
        <w:rPr>
          <w:rFonts w:cs="Arial" w:ascii="Effra Corp" w:hAnsi="Effra Corp"/>
          <w:b/>
          <w:spacing w:val="-2"/>
          <w:sz w:val="21"/>
          <w:szCs w:val="21"/>
          <w:lang w:val="el-GR"/>
        </w:rPr>
        <w:t>συνέχεια)</w:t>
      </w:r>
    </w:p>
    <w:p>
      <w:pPr>
        <w:pStyle w:val="Normal"/>
        <w:spacing w:before="0" w:after="120"/>
        <w:rPr>
          <w:rFonts w:ascii="Effra Corp" w:hAnsi="Effra Corp"/>
          <w:b/>
          <w:spacing w:val="-2"/>
          <w:sz w:val="21"/>
        </w:rPr>
      </w:pPr>
      <w:r>
        <w:rPr>
          <w:rFonts w:eastAsia="Effra Corp" w:cs="Effra Corp" w:ascii="Effra Corp" w:hAnsi="Effra Corp"/>
          <w:b/>
          <w:spacing w:val="-2"/>
          <w:sz w:val="21"/>
          <w:lang w:val="el-GR" w:bidi="el-GR"/>
        </w:rPr>
        <w:t>Οργανική αύξηση (συνέχεια)</w:t>
      </w:r>
    </w:p>
    <w:p>
      <w:pPr>
        <w:pStyle w:val="ListParagraph"/>
        <w:numPr>
          <w:ilvl w:val="0"/>
          <w:numId w:val="16"/>
        </w:numPr>
        <w:spacing w:before="120" w:after="0"/>
        <w:contextualSpacing/>
        <w:jc w:val="both"/>
        <w:rPr>
          <w:rFonts w:ascii="Effra Corp" w:hAnsi="Effra Corp" w:cs="Arial"/>
          <w:sz w:val="21"/>
          <w:szCs w:val="21"/>
        </w:rPr>
      </w:pPr>
      <w:r>
        <w:rPr>
          <w:rFonts w:cs="Arial" w:ascii="Effra Corp" w:hAnsi="Effra Corp"/>
          <w:sz w:val="21"/>
          <w:szCs w:val="21"/>
          <w:lang w:val="el-GR"/>
        </w:rPr>
        <w:t>Εξαγορές</w:t>
      </w:r>
      <w:r>
        <w:rPr>
          <w:rFonts w:cs="Arial" w:ascii="Effra Corp" w:hAnsi="Effra Corp"/>
          <w:sz w:val="21"/>
          <w:szCs w:val="21"/>
        </w:rPr>
        <w:t xml:space="preserve"> (</w:t>
      </w:r>
      <w:r>
        <w:rPr>
          <w:rFonts w:cs="Arial" w:ascii="Effra Corp" w:hAnsi="Effra Corp"/>
          <w:sz w:val="21"/>
          <w:szCs w:val="21"/>
          <w:lang w:val="el-GR"/>
        </w:rPr>
        <w:t>συνέχεια)</w:t>
      </w:r>
      <w:r>
        <w:rPr>
          <w:rFonts w:cs="Arial" w:ascii="Effra Corp" w:hAnsi="Effra Corp"/>
          <w:sz w:val="21"/>
          <w:szCs w:val="21"/>
        </w:rPr>
        <w:t xml:space="preserve">: </w:t>
      </w:r>
    </w:p>
    <w:p>
      <w:pPr>
        <w:pStyle w:val="Normal"/>
        <w:spacing w:before="0" w:after="120"/>
        <w:ind w:left="357" w:hanging="0"/>
        <w:jc w:val="both"/>
        <w:rPr>
          <w:rFonts w:ascii="Effra Corp" w:hAnsi="Effra Corp" w:eastAsia="Effra Corp" w:cs="Effra Corp"/>
          <w:sz w:val="21"/>
          <w:szCs w:val="21"/>
          <w:lang w:val="el-GR" w:bidi="el-GR"/>
        </w:rPr>
      </w:pPr>
      <w:r>
        <w:rPr>
          <w:rFonts w:eastAsia="Effra Corp" w:cs="Effra Corp" w:ascii="Effra Corp" w:hAnsi="Effra Corp"/>
          <w:sz w:val="21"/>
          <w:szCs w:val="21"/>
          <w:lang w:val="el-GR" w:bidi="el-GR"/>
        </w:rPr>
        <w:t>Για τις εξαγορές που πραγματοποιούνται σε στάδια κατά το τρέχον έτος, στο πλαίσιο των οποίων ο Όμιλος αποκτά έλεγχο επί α) οντοτήτων στις οποίες ασκούσε στο παρελθόν είτε από κοινού έλεγχο είτε σημαντική επιρροή και οι οποίες είχαν λογιστικοποιηθεί με την μέθοδο της καθαρής θέσης, ή β) οντοτήτων οι οποίες είχαν λογιστικοποιηθεί στην εύλογη αξία μέσω αποτελεσμάτων ή λοιπών συνολικών εσόδων, τα αποτελέσματα που προκύπτουν κατά το τρέχον έτος από τις σχετικές οντότητες για την περίοδο ενοποίησης των εν λόγω οντοτήτων, δεν συμπεριλαμβάνονται στον υπολογισμό της οργανικής αύξησης. Για τέτοιες εξαγορές σε στάδια οντοτήτων που έχουν προηγουμένως λογιστικοποιηθεί με τη μέθοδο της καθαρής θέσης, το μερίδιο του Ομίλου στα αποτελέσματα αυτών των οντοτήτων για τη συγκεκριμένη περίοδο που περιγράφεται παραπάνω περιλαμβάνεται στον υπολογισμό της οργανικής αύξησης. Για τέτοιες εξαγορές σε στάδια οντοτήτων που έχουν προηγουμένως λογιστικοποιηθεί στην εύλογη αξία μέσω αποτελεσμάτων, τα κέρδη ή οι ζημίες αποτίμησης στην εύλογη αξία για τη συγκεκριμένη περίοδο που περιγράφεται παραπάνω συμπεριλαμβάνονται στον υπολογισμό της οργανικής αύξησης του τρέχοντος έτους. Για τέτοιες εξαγορές σε στάδια της προηγούμενης περιόδου, τα αποτελέσματα του τρέχοντος έτους από τις εμπλεκόμενες οντότητες, για την αντίστοιχη περίοδο του προηγούμενου έτους κατά την οποία οι οντότητες αυτές δεν ενοποιούνταν, δεν συμπεριλαμβάνονται στον υπολογισμό της οργανικής αύξησης. Ωστόσο, το μερίδιο των αποτελεσμάτων ή των κερδών/ζημιών από την αποτίμηση στην εύλογη αξία των σχετικών οντοτήτων, ανάλογα με τον τρόπο λογιστικοποίησής τους πριν από την εξαγορά σε στάδια, για την περίοδο του τρέχοντος έτους κατά την οποία οι οντότητες αυτές δεν ήταν ενοποιημένες κατά το προηγούμενο έτος, συμπεριλαμβάνονται στον υπολογισμό της οργανικής αύξησης.</w:t>
      </w:r>
    </w:p>
    <w:p>
      <w:pPr>
        <w:pStyle w:val="ListParagraph"/>
        <w:numPr>
          <w:ilvl w:val="0"/>
          <w:numId w:val="16"/>
        </w:numPr>
        <w:jc w:val="both"/>
        <w:rPr>
          <w:rFonts w:ascii="Effra Corp" w:hAnsi="Effra Corp" w:cs="Arial"/>
          <w:sz w:val="21"/>
          <w:szCs w:val="21"/>
        </w:rPr>
      </w:pPr>
      <w:r>
        <w:rPr>
          <w:rFonts w:cs="Arial" w:ascii="Effra Corp" w:hAnsi="Effra Corp"/>
          <w:sz w:val="21"/>
          <w:szCs w:val="21"/>
          <w:lang w:val="el-GR"/>
        </w:rPr>
        <w:t>Αποεπενδύσεις</w:t>
      </w:r>
      <w:r>
        <w:rPr>
          <w:rFonts w:cs="Arial" w:ascii="Effra Corp" w:hAnsi="Effra Corp"/>
          <w:sz w:val="21"/>
          <w:szCs w:val="21"/>
        </w:rPr>
        <w:t>:</w:t>
      </w:r>
    </w:p>
    <w:p>
      <w:pPr>
        <w:pStyle w:val="Normal"/>
        <w:spacing w:before="0" w:after="120"/>
        <w:ind w:left="357" w:hanging="0"/>
        <w:jc w:val="both"/>
        <w:rPr>
          <w:rFonts w:ascii="Effra Corp" w:hAnsi="Effra Corp" w:eastAsia="Effra Corp" w:cs="Effra Corp"/>
          <w:sz w:val="21"/>
          <w:lang w:val="el-GR" w:bidi="el-GR"/>
        </w:rPr>
      </w:pPr>
      <w:r>
        <w:rPr>
          <w:rFonts w:eastAsia="Effra Corp" w:cs="Effra Corp" w:ascii="Effra Corp" w:hAnsi="Effra Corp"/>
          <w:sz w:val="21"/>
          <w:szCs w:val="21"/>
          <w:lang w:val="el-GR" w:bidi="el-GR"/>
        </w:rPr>
        <w:t>Για τις αποεπενδύσεις του τρέχοντος έτους, τα αποτελέσματα του προηγούμενου έτους από τις οντότητες που πωλήθηκαν, για την αντίστοιχη περίοδο κατά την οποία οι εν λόγω οντότητες δεν είναι πλέον ενοποιημένες στο τρέχον έτος, συμπεριλαμβάνονται στα αποτελέσματα του τρέχοντος έτους για τον υπολογισμό της οργανικής αύξησης. Για τις αποεπενδύσεις του προηγούμενου έτους, τα αποτελέσματα του προηγούμενου έτους από τις οντότητες που πωλήθηκαν, για την αντίστοιχη περίοδο κατά την οποία οι εν λόγω οντότητες ήταν ενοποιημένες στο προηγούμενο έτος, συμπεριλαμβάνονται στα αποτελέσματα του τρέχοντος έτους για τον υπολογισμό της οργανικής αύξησης.</w:t>
      </w:r>
    </w:p>
    <w:p>
      <w:pPr>
        <w:pStyle w:val="ListParagraph"/>
        <w:numPr>
          <w:ilvl w:val="0"/>
          <w:numId w:val="16"/>
        </w:numPr>
        <w:spacing w:before="120" w:after="0"/>
        <w:ind w:left="1077" w:hanging="720"/>
        <w:contextualSpacing/>
        <w:jc w:val="both"/>
        <w:rPr>
          <w:rFonts w:ascii="Effra Corp" w:hAnsi="Effra Corp"/>
          <w:sz w:val="21"/>
          <w:lang w:val="el-GR"/>
        </w:rPr>
      </w:pPr>
      <w:r>
        <w:rPr>
          <w:rFonts w:cs="Arial" w:ascii="Effra Corp" w:hAnsi="Effra Corp"/>
          <w:sz w:val="21"/>
          <w:szCs w:val="21"/>
          <w:lang w:val="el-GR"/>
        </w:rPr>
        <w:t>Αναδ</w:t>
      </w:r>
      <w:r>
        <w:rPr>
          <w:rFonts w:eastAsia="Effra Corp" w:cs="Effra Corp" w:ascii="Effra Corp" w:hAnsi="Effra Corp"/>
          <w:sz w:val="21"/>
          <w:lang w:val="el-GR" w:bidi="el-GR"/>
        </w:rPr>
        <w:t>ιοργανώσεις που οδηγούν σε λογιστικοποίηση με την μέθοδο της καθαρής θέσης:</w:t>
      </w:r>
    </w:p>
    <w:p>
      <w:pPr>
        <w:pStyle w:val="Normal"/>
        <w:ind w:left="357" w:hanging="0"/>
        <w:jc w:val="both"/>
        <w:rPr>
          <w:rFonts w:ascii="Effra Corp" w:hAnsi="Effra Corp" w:eastAsia="Effra Corp" w:cs="Effra Corp"/>
          <w:sz w:val="21"/>
          <w:szCs w:val="21"/>
          <w:lang w:val="el-GR" w:bidi="el-GR"/>
        </w:rPr>
      </w:pPr>
      <w:r>
        <w:rPr>
          <w:rFonts w:eastAsia="Effra Corp" w:cs="Effra Corp" w:ascii="Effra Corp" w:hAnsi="Effra Corp"/>
          <w:sz w:val="21"/>
          <w:szCs w:val="21"/>
          <w:lang w:val="el-GR" w:bidi="el-GR"/>
        </w:rPr>
        <w:t xml:space="preserve">Για αναδιοργανώσεις του τρέχοντος έτους, στις οποίες ο Όμιλος διατηρεί είτε κοινό έλεγχο είτε σημαντική επιρροή στις εμπλεκόμενες οντότητες, με αποτέλεσμα αυτές να αναταξινομούνται από θυγατρικές ή από κοινά ελεγχόμενες επιχειρηματικές δραστηριότητες σε κοινά ελεγχόμενες επιχειρηματικές οντότητες ή συγγενείς επιχειρήσεις και να λογιστικοποιούνται με τη μέθοδο της καθαρής θέσης, τα αποτελέσματα του τρέχοντος έτους από τις εν λόγω οντότητες για την περίοδο κατά την οποία δεν ενοποιούνται πλέον, συμπεριλαμβάνονται στα αποτελέσματα του τρέχοντος έτους για τον υπολογισμό της οργανικής αύξησης. Για αντίστοιχες αναδιοργανώσεις του προηγούμενου έτους, τα αποτελέσματα του τρέχοντος έτους από τις εμπλεκόμενες οντότητες, για την αντίστοιχη περίοδο του προηγούμενου έτους κατά την οποία οι οντότητες αυτές ενοποιούνταν, συμπεριλαμβάνονται στα αποτελέσματα του τρέχοντος έτους για τον υπολογισμό της οργανικής αύξησης. Επιπλέον, το μερίδιο στα αποτελέσματα αυτών των οντοτήτων για το τρέχον έτος, για την αντίστοιχη περίοδο όπως περιγράφεται παραπάνω, εξαιρείται από τον υπολογισμό της οργανικής αύξησης. </w:t>
      </w:r>
    </w:p>
    <w:p>
      <w:pPr>
        <w:pStyle w:val="Normal"/>
        <w:ind w:left="357" w:hanging="0"/>
        <w:jc w:val="both"/>
        <w:rPr>
          <w:rFonts w:ascii="Effra Corp" w:hAnsi="Effra Corp"/>
          <w:sz w:val="12"/>
          <w:szCs w:val="12"/>
          <w:lang w:val="el-GR"/>
        </w:rPr>
      </w:pPr>
      <w:r>
        <w:rPr>
          <w:rFonts w:ascii="Effra Corp" w:hAnsi="Effra Corp"/>
          <w:sz w:val="12"/>
          <w:szCs w:val="12"/>
          <w:lang w:val="el-GR"/>
        </w:rPr>
      </w:r>
    </w:p>
    <w:p>
      <w:pPr>
        <w:pStyle w:val="Normal"/>
        <w:spacing w:before="0" w:after="120"/>
        <w:jc w:val="both"/>
        <w:rPr>
          <w:rFonts w:ascii="Effra Corp" w:hAnsi="Effra Corp" w:eastAsia="Effra Corp" w:cs="Effra Corp"/>
          <w:sz w:val="21"/>
          <w:lang w:val="el-GR" w:bidi="el-GR"/>
        </w:rPr>
      </w:pPr>
      <w:r>
        <w:rPr>
          <w:rFonts w:eastAsia="Effra Corp" w:cs="Effra Corp" w:ascii="Effra Corp" w:hAnsi="Effra Corp"/>
          <w:sz w:val="21"/>
          <w:lang w:val="el-GR" w:bidi="el-GR"/>
        </w:rPr>
        <w:t>Ο υπολογισμός της οργανικής αύξησης και η συμφωνία με τα πλέον ευθέως σχετιζόμενα μεγέθη, που υπολογίζονται σύμφωνα με τα Διεθνή Πρότυπα Χρηματοοικονομικής Αναφοράς, παρουσιάζονται στους παρακάτω πίνακες. Η οργανική αύξηση (%) υπολογίζεται διαιρώντας το ποσό στη γραμμή με τίτλο «Οργανική μεταβολή» με το ποσό στη σχετική γραμμή με τίτλο «2025 δημοσιευμένα μεγέθη» ή όπου εμφανίζεται, «2025 προσαρμοσμένα μεγέθη». Η οργανική αύξηση για το συγκρίσιμο λειτουργικό περιθώριο κέρδους είναι η οργανική μεταβολή εκφρασμένη σε μονάδες βάσης.</w:t>
      </w:r>
      <w:r>
        <w:br w:type="page"/>
      </w:r>
    </w:p>
    <w:p>
      <w:pPr>
        <w:pStyle w:val="BodyText3"/>
        <w:shd w:val="clear" w:color="auto" w:fill="BFBFBF"/>
        <w:spacing w:before="0" w:after="120"/>
        <w:ind w:right="13" w:hanging="0"/>
        <w:rPr>
          <w:rFonts w:ascii="Effra Corp" w:hAnsi="Effra Corp" w:eastAsia="Effra Corp" w:cs="Effra Corp"/>
          <w:b/>
          <w:sz w:val="21"/>
          <w:lang w:val="el-GR" w:bidi="el-GR"/>
        </w:rPr>
      </w:pPr>
      <w:r>
        <w:rPr>
          <w:rFonts w:eastAsia="Effra Corp" w:cs="Effra Corp" w:ascii="Effra Corp" w:hAnsi="Effra Corp"/>
          <w:b/>
          <w:sz w:val="21"/>
          <w:lang w:val="el-GR" w:bidi="el-GR"/>
        </w:rPr>
        <w:t>Ορισμοί και συμφωνίες Εναλλακτικών δεικτών μέτρησης απόδοσης («ΕΔΜΑ») (συνέχεια)</w:t>
      </w:r>
    </w:p>
    <w:p>
      <w:pPr>
        <w:pStyle w:val="ListParagraph"/>
        <w:numPr>
          <w:ilvl w:val="0"/>
          <w:numId w:val="17"/>
        </w:numPr>
        <w:spacing w:before="0" w:after="120"/>
        <w:ind w:left="426" w:hanging="426"/>
        <w:contextualSpacing/>
        <w:rPr>
          <w:rFonts w:ascii="Effra Corp" w:hAnsi="Effra Corp" w:cs="Arial"/>
          <w:b/>
          <w:spacing w:val="-2"/>
          <w:sz w:val="21"/>
          <w:szCs w:val="21"/>
        </w:rPr>
      </w:pPr>
      <w:r>
        <w:rPr>
          <w:rFonts w:cs="Arial" w:ascii="Effra Corp" w:hAnsi="Effra Corp"/>
          <w:b/>
          <w:spacing w:val="-2"/>
          <w:sz w:val="21"/>
          <w:szCs w:val="21"/>
          <w:lang w:val="el-GR"/>
        </w:rPr>
        <w:t>Ο</w:t>
      </w:r>
      <w:r>
        <w:rPr>
          <w:rFonts w:cs="Arial" w:ascii="Effra Corp" w:hAnsi="Effra Corp"/>
          <w:b/>
          <w:spacing w:val="-2"/>
          <w:sz w:val="21"/>
          <w:szCs w:val="21"/>
        </w:rPr>
        <w:t>ργανικοί ΕΔΜΑ (</w:t>
      </w:r>
      <w:r>
        <w:rPr>
          <w:rFonts w:cs="Arial" w:ascii="Effra Corp" w:hAnsi="Effra Corp"/>
          <w:b/>
          <w:spacing w:val="-2"/>
          <w:sz w:val="21"/>
          <w:szCs w:val="21"/>
          <w:lang w:val="el-GR"/>
        </w:rPr>
        <w:t>συνέχεια)</w:t>
      </w:r>
    </w:p>
    <w:p>
      <w:pPr>
        <w:pStyle w:val="Normal"/>
        <w:jc w:val="both"/>
        <w:rPr>
          <w:rFonts w:ascii="Effra Corp" w:hAnsi="Effra Corp" w:cs="Arial"/>
          <w:b/>
          <w:bCs/>
          <w:sz w:val="21"/>
          <w:szCs w:val="21"/>
        </w:rPr>
      </w:pPr>
      <w:r>
        <w:rPr>
          <w:rFonts w:cs="Arial" w:ascii="Effra Corp" w:hAnsi="Effra Corp"/>
          <w:b/>
          <w:bCs/>
          <w:sz w:val="21"/>
          <w:szCs w:val="21"/>
        </w:rPr>
        <w:t>Συμφωνία μεγεθών οργανικής αύξησης</w:t>
      </w:r>
    </w:p>
    <w:p>
      <w:pPr>
        <w:pStyle w:val="Normal"/>
        <w:jc w:val="both"/>
        <w:rPr>
          <w:rFonts w:ascii="Effra Corp" w:hAnsi="Effra Corp" w:cs="Arial"/>
          <w:sz w:val="12"/>
          <w:szCs w:val="12"/>
        </w:rPr>
      </w:pPr>
      <w:r>
        <w:rPr>
          <w:rFonts w:cs="Arial" w:ascii="Effra Corp" w:hAnsi="Effra Corp"/>
          <w:sz w:val="12"/>
          <w:szCs w:val="12"/>
        </w:rPr>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bottom"/>
          </w:tcPr>
          <w:p>
            <w:pPr>
              <w:pStyle w:val="DMETW2940BIPOrganicVolume"/>
              <w:widowControl w:val="false"/>
              <w:rPr>
                <w:color w:val="auto"/>
              </w:rPr>
            </w:pPr>
            <w:r>
              <w:rPr>
                <w:color w:val="auto"/>
              </w:rPr>
            </w:r>
            <w:bookmarkStart w:id="7" w:name="DOC_TBL00009_1_1"/>
            <w:bookmarkStart w:id="8" w:name="DOC_TBL00009_1_1"/>
            <w:bookmarkEnd w:id="8"/>
          </w:p>
        </w:tc>
        <w:tc>
          <w:tcPr>
            <w:tcW w:w="6301" w:type="dxa"/>
            <w:gridSpan w:val="4"/>
            <w:tcBorders/>
            <w:shd w:color="auto" w:fill="BFBFBF" w:val="clear"/>
            <w:vAlign w:val="bottom"/>
          </w:tcPr>
          <w:p>
            <w:pPr>
              <w:pStyle w:val="DMETW2940BIPOrganicVolume"/>
              <w:widowControl w:val="false"/>
              <w:jc w:val="center"/>
              <w:rPr>
                <w:b/>
                <w:color w:val="auto"/>
                <w:lang w:val="el-GR"/>
              </w:rPr>
            </w:pPr>
            <w:r>
              <w:rPr>
                <w:b/>
                <w:color w:val="auto"/>
                <w:lang w:val="el-GR"/>
              </w:rPr>
              <w:t xml:space="preserve">Α’ Εξάμηνο </w:t>
            </w:r>
            <w:r>
              <w:rPr>
                <w:b/>
                <w:color w:val="auto"/>
              </w:rPr>
              <w:t>202</w:t>
            </w:r>
            <w:r>
              <w:rPr>
                <w:b/>
                <w:color w:val="auto"/>
                <w:lang w:val="el-GR"/>
              </w:rPr>
              <w:t>6</w:t>
            </w:r>
          </w:p>
        </w:tc>
      </w:tr>
      <w:tr>
        <w:trPr>
          <w:trHeight w:val="556" w:hRule="exact"/>
        </w:trPr>
        <w:tc>
          <w:tcPr>
            <w:tcW w:w="3649" w:type="dxa"/>
            <w:tcBorders/>
            <w:vAlign w:val="bottom"/>
          </w:tcPr>
          <w:p>
            <w:pPr>
              <w:pStyle w:val="DMETW2940BIPOrganicVolume"/>
              <w:widowControl w:val="false"/>
              <w:rPr>
                <w:b/>
                <w:color w:val="auto"/>
              </w:rPr>
            </w:pPr>
            <w:r>
              <w:rPr>
                <w:b/>
                <w:color w:val="auto"/>
              </w:rPr>
              <w:t>Όγκος πωλήσεων (εκατ. κιβώτια)</w:t>
            </w:r>
          </w:p>
        </w:tc>
        <w:tc>
          <w:tcPr>
            <w:tcW w:w="1668" w:type="dxa"/>
            <w:tcBorders/>
            <w:shd w:color="auto" w:fill="BFBFBF" w:val="clear"/>
            <w:vAlign w:val="bottom"/>
          </w:tcPr>
          <w:p>
            <w:pPr>
              <w:pStyle w:val="DMETW2940BIPOrganicVolume"/>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Volume"/>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Volume"/>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Volume"/>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Volume"/>
              <w:widowControl w:val="false"/>
              <w:rPr>
                <w:b/>
                <w:color w:val="auto"/>
              </w:rPr>
            </w:pPr>
            <w:r>
              <w:rPr>
                <w:b/>
                <w:bCs/>
                <w:color w:val="auto"/>
              </w:rPr>
              <w:t>202</w:t>
            </w:r>
            <w:r>
              <w:rPr>
                <w:b/>
                <w:bCs/>
                <w:color w:val="auto"/>
                <w:lang w:val="el-GR"/>
              </w:rPr>
              <w:t>5</w:t>
            </w:r>
            <w:r>
              <w:rPr>
                <w:b/>
                <w:bCs/>
                <w:color w:val="auto"/>
              </w:rPr>
              <w:t xml:space="preserve"> δημοσιευμένα μεγέθη</w:t>
            </w:r>
          </w:p>
        </w:tc>
        <w:tc>
          <w:tcPr>
            <w:tcW w:w="1668" w:type="dxa"/>
            <w:tcBorders/>
            <w:vAlign w:val="bottom"/>
          </w:tcPr>
          <w:p>
            <w:pPr>
              <w:pStyle w:val="DMETW2940BIPOrganicVolume"/>
              <w:widowControl w:val="false"/>
              <w:jc w:val="right"/>
              <w:rPr>
                <w:b/>
                <w:color w:val="auto"/>
                <w:lang w:val="el-GR"/>
              </w:rPr>
            </w:pPr>
            <w:r>
              <w:rPr>
                <w:b/>
                <w:bCs/>
                <w:color w:val="auto"/>
              </w:rPr>
              <w:t>306</w:t>
            </w:r>
            <w:r>
              <w:rPr>
                <w:b/>
                <w:bCs/>
                <w:color w:val="auto"/>
                <w:lang w:val="el-GR"/>
              </w:rPr>
              <w:t>,</w:t>
            </w:r>
            <w:r>
              <w:rPr>
                <w:b/>
                <w:bCs/>
                <w:color w:val="auto"/>
              </w:rPr>
              <w:t>6</w:t>
            </w:r>
          </w:p>
        </w:tc>
        <w:tc>
          <w:tcPr>
            <w:tcW w:w="1720" w:type="dxa"/>
            <w:tcBorders/>
            <w:vAlign w:val="bottom"/>
          </w:tcPr>
          <w:p>
            <w:pPr>
              <w:pStyle w:val="DMETW2940BIPOrganicVolume"/>
              <w:widowControl w:val="false"/>
              <w:jc w:val="right"/>
              <w:rPr>
                <w:b/>
                <w:color w:val="auto"/>
              </w:rPr>
            </w:pPr>
            <w:r>
              <w:rPr>
                <w:b/>
                <w:bCs/>
                <w:color w:val="auto"/>
              </w:rPr>
              <w:t>234</w:t>
            </w:r>
            <w:r>
              <w:rPr>
                <w:b/>
                <w:bCs/>
                <w:color w:val="auto"/>
                <w:lang w:val="el-GR"/>
              </w:rPr>
              <w:t>,</w:t>
            </w:r>
            <w:r>
              <w:rPr>
                <w:b/>
                <w:bCs/>
                <w:color w:val="auto"/>
              </w:rPr>
              <w:t>3</w:t>
            </w:r>
          </w:p>
        </w:tc>
        <w:tc>
          <w:tcPr>
            <w:tcW w:w="1583" w:type="dxa"/>
            <w:tcBorders/>
            <w:vAlign w:val="bottom"/>
          </w:tcPr>
          <w:p>
            <w:pPr>
              <w:pStyle w:val="DMETW2940BIPOrganicVolume"/>
              <w:widowControl w:val="false"/>
              <w:jc w:val="right"/>
              <w:rPr>
                <w:b/>
                <w:color w:val="auto"/>
              </w:rPr>
            </w:pPr>
            <w:r>
              <w:rPr>
                <w:b/>
                <w:bCs/>
                <w:color w:val="auto"/>
              </w:rPr>
              <w:t>922</w:t>
            </w:r>
            <w:r>
              <w:rPr>
                <w:b/>
                <w:bCs/>
                <w:color w:val="auto"/>
                <w:lang w:val="el-GR"/>
              </w:rPr>
              <w:t>,</w:t>
            </w:r>
            <w:r>
              <w:rPr>
                <w:b/>
                <w:bCs/>
                <w:color w:val="auto"/>
              </w:rPr>
              <w:t>5</w:t>
            </w:r>
          </w:p>
        </w:tc>
        <w:tc>
          <w:tcPr>
            <w:tcW w:w="1330" w:type="dxa"/>
            <w:tcBorders/>
            <w:vAlign w:val="bottom"/>
          </w:tcPr>
          <w:p>
            <w:pPr>
              <w:pStyle w:val="DMETW2940BIPOrganicVolume"/>
              <w:widowControl w:val="false"/>
              <w:jc w:val="right"/>
              <w:rPr>
                <w:b/>
                <w:color w:val="auto"/>
              </w:rPr>
            </w:pPr>
            <w:r>
              <w:rPr>
                <w:b/>
                <w:bCs/>
                <w:color w:val="auto"/>
              </w:rPr>
              <w:t>1</w:t>
            </w:r>
            <w:r>
              <w:rPr>
                <w:b/>
                <w:bCs/>
                <w:color w:val="auto"/>
                <w:lang w:val="el-GR"/>
              </w:rPr>
              <w:t>.</w:t>
            </w:r>
            <w:r>
              <w:rPr>
                <w:b/>
                <w:bCs/>
                <w:color w:val="auto"/>
              </w:rPr>
              <w:t>463</w:t>
            </w:r>
            <w:r>
              <w:rPr>
                <w:b/>
                <w:bCs/>
                <w:color w:val="auto"/>
                <w:lang w:val="el-GR"/>
              </w:rPr>
              <w:t>,</w:t>
            </w:r>
            <w:r>
              <w:rPr>
                <w:b/>
                <w:bCs/>
                <w:color w:val="auto"/>
              </w:rPr>
              <w:t>4</w:t>
            </w:r>
          </w:p>
        </w:tc>
      </w:tr>
      <w:tr>
        <w:trPr>
          <w:trHeight w:val="283" w:hRule="atLeast"/>
        </w:trPr>
        <w:tc>
          <w:tcPr>
            <w:tcW w:w="3649" w:type="dxa"/>
            <w:tcBorders/>
            <w:vAlign w:val="bottom"/>
          </w:tcPr>
          <w:p>
            <w:pPr>
              <w:pStyle w:val="DMETW2052BIPOrganicVolume"/>
              <w:widowControl w:val="false"/>
              <w:ind w:left="26" w:hanging="0"/>
              <w:rPr>
                <w:color w:val="auto"/>
                <w:lang w:val="el-GR"/>
              </w:rPr>
            </w:pPr>
            <w:r>
              <w:rPr>
                <w:color w:val="auto"/>
                <w:lang w:val="el-GR"/>
              </w:rPr>
              <w:t xml:space="preserve">Αντίκτυπος μεταβολών στην περίμετρο </w:t>
            </w:r>
          </w:p>
          <w:p>
            <w:pPr>
              <w:pStyle w:val="DMETW2940BIPOrganicVolume"/>
              <w:widowControl w:val="false"/>
              <w:rPr>
                <w:color w:val="auto"/>
                <w:lang w:val="el-GR"/>
              </w:rPr>
            </w:pPr>
            <w:r>
              <w:rPr>
                <w:color w:val="auto"/>
                <w:lang w:val="el-GR"/>
              </w:rPr>
              <w:t>ενοποίησης</w:t>
            </w:r>
          </w:p>
        </w:tc>
        <w:tc>
          <w:tcPr>
            <w:tcW w:w="1668" w:type="dxa"/>
            <w:tcBorders/>
            <w:vAlign w:val="bottom"/>
          </w:tcPr>
          <w:p>
            <w:pPr>
              <w:pStyle w:val="DMETW2940BIPOrganicVolume"/>
              <w:widowControl w:val="false"/>
              <w:jc w:val="right"/>
              <w:rPr>
                <w:color w:val="auto"/>
              </w:rPr>
            </w:pPr>
            <w:r>
              <w:rPr>
                <w:color w:val="auto"/>
              </w:rPr>
              <w:t>0,1</w:t>
            </w:r>
          </w:p>
        </w:tc>
        <w:tc>
          <w:tcPr>
            <w:tcW w:w="1720" w:type="dxa"/>
            <w:tcBorders/>
            <w:vAlign w:val="bottom"/>
          </w:tcPr>
          <w:p>
            <w:pPr>
              <w:pStyle w:val="DMETW2940BIPOrganicVolume"/>
              <w:widowControl w:val="false"/>
              <w:jc w:val="right"/>
              <w:rPr>
                <w:color w:val="auto"/>
              </w:rPr>
            </w:pPr>
            <w:r>
              <w:rPr>
                <w:color w:val="auto"/>
              </w:rPr>
              <w:t>—</w:t>
            </w:r>
          </w:p>
        </w:tc>
        <w:tc>
          <w:tcPr>
            <w:tcW w:w="1583" w:type="dxa"/>
            <w:tcBorders/>
            <w:vAlign w:val="bottom"/>
          </w:tcPr>
          <w:p>
            <w:pPr>
              <w:pStyle w:val="DMETW2940BIPOrganicVolume"/>
              <w:widowControl w:val="false"/>
              <w:jc w:val="right"/>
              <w:rPr>
                <w:color w:val="auto"/>
              </w:rPr>
            </w:pPr>
            <w:r>
              <w:rPr>
                <w:color w:val="auto"/>
              </w:rPr>
              <w:t>—</w:t>
            </w:r>
          </w:p>
        </w:tc>
        <w:tc>
          <w:tcPr>
            <w:tcW w:w="1330" w:type="dxa"/>
            <w:tcBorders/>
            <w:vAlign w:val="bottom"/>
          </w:tcPr>
          <w:p>
            <w:pPr>
              <w:pStyle w:val="DMETW2940BIPOrganicVolume"/>
              <w:widowControl w:val="false"/>
              <w:jc w:val="right"/>
              <w:rPr>
                <w:color w:val="auto"/>
              </w:rPr>
            </w:pPr>
            <w:r>
              <w:rPr>
                <w:color w:val="auto"/>
              </w:rPr>
              <w:t>0,1</w:t>
            </w:r>
          </w:p>
        </w:tc>
      </w:tr>
      <w:tr>
        <w:trPr>
          <w:trHeight w:val="283" w:hRule="atLeast"/>
        </w:trPr>
        <w:tc>
          <w:tcPr>
            <w:tcW w:w="3649" w:type="dxa"/>
            <w:tcBorders/>
            <w:vAlign w:val="bottom"/>
          </w:tcPr>
          <w:p>
            <w:pPr>
              <w:pStyle w:val="DMETW2940BIPOrganicVolume"/>
              <w:widowControl w:val="false"/>
              <w:rPr>
                <w:b/>
                <w:bCs/>
                <w:color w:val="auto"/>
              </w:rPr>
            </w:pPr>
            <w:r>
              <w:rPr>
                <w:b/>
                <w:bCs/>
                <w:color w:val="auto"/>
              </w:rPr>
              <w:t xml:space="preserve">Οργανική μεταβολή </w:t>
            </w:r>
          </w:p>
        </w:tc>
        <w:tc>
          <w:tcPr>
            <w:tcW w:w="1668" w:type="dxa"/>
            <w:tcBorders>
              <w:bottom w:val="single" w:sz="4" w:space="0" w:color="000000"/>
            </w:tcBorders>
            <w:vAlign w:val="bottom"/>
          </w:tcPr>
          <w:p>
            <w:pPr>
              <w:pStyle w:val="DMETW2940BIPOrganicVolume"/>
              <w:widowControl w:val="false"/>
              <w:jc w:val="right"/>
              <w:rPr>
                <w:b/>
                <w:color w:val="auto"/>
              </w:rPr>
            </w:pPr>
            <w:r>
              <w:rPr>
                <w:b/>
                <w:bCs/>
                <w:color w:val="auto"/>
              </w:rPr>
              <w:t xml:space="preserve"> </w:t>
            </w:r>
            <w:r>
              <w:rPr>
                <w:b/>
                <w:bCs/>
                <w:color w:val="auto"/>
              </w:rPr>
              <w:t xml:space="preserve">14,7 </w:t>
            </w:r>
          </w:p>
        </w:tc>
        <w:tc>
          <w:tcPr>
            <w:tcW w:w="1720" w:type="dxa"/>
            <w:tcBorders>
              <w:bottom w:val="single" w:sz="4" w:space="0" w:color="000000"/>
            </w:tcBorders>
            <w:vAlign w:val="bottom"/>
          </w:tcPr>
          <w:p>
            <w:pPr>
              <w:pStyle w:val="DMETW2940BIPOrganicVolume"/>
              <w:widowControl w:val="false"/>
              <w:jc w:val="right"/>
              <w:rPr>
                <w:b/>
                <w:color w:val="auto"/>
              </w:rPr>
            </w:pPr>
            <w:r>
              <w:rPr>
                <w:b/>
                <w:bCs/>
                <w:color w:val="auto"/>
              </w:rPr>
              <w:t xml:space="preserve"> </w:t>
            </w:r>
            <w:r>
              <w:rPr>
                <w:b/>
                <w:bCs/>
                <w:color w:val="auto"/>
              </w:rPr>
              <w:t xml:space="preserve">12,4 </w:t>
            </w:r>
          </w:p>
        </w:tc>
        <w:tc>
          <w:tcPr>
            <w:tcW w:w="1583" w:type="dxa"/>
            <w:tcBorders>
              <w:bottom w:val="single" w:sz="4" w:space="0" w:color="000000"/>
            </w:tcBorders>
            <w:vAlign w:val="bottom"/>
          </w:tcPr>
          <w:p>
            <w:pPr>
              <w:pStyle w:val="DMETW2940BIPOrganicVolume"/>
              <w:widowControl w:val="false"/>
              <w:jc w:val="right"/>
              <w:rPr>
                <w:b/>
                <w:color w:val="auto"/>
              </w:rPr>
            </w:pPr>
            <w:r>
              <w:rPr>
                <w:b/>
                <w:bCs/>
                <w:color w:val="auto"/>
              </w:rPr>
              <w:t xml:space="preserve"> </w:t>
            </w:r>
            <w:r>
              <w:rPr>
                <w:b/>
                <w:bCs/>
                <w:color w:val="auto"/>
              </w:rPr>
              <w:t xml:space="preserve">82,9 </w:t>
            </w:r>
          </w:p>
        </w:tc>
        <w:tc>
          <w:tcPr>
            <w:tcW w:w="1330" w:type="dxa"/>
            <w:tcBorders>
              <w:bottom w:val="single" w:sz="4" w:space="0" w:color="000000"/>
            </w:tcBorders>
            <w:vAlign w:val="bottom"/>
          </w:tcPr>
          <w:p>
            <w:pPr>
              <w:pStyle w:val="DMETW2940BIPOrganicVolume"/>
              <w:widowControl w:val="false"/>
              <w:jc w:val="right"/>
              <w:rPr>
                <w:b/>
                <w:color w:val="auto"/>
              </w:rPr>
            </w:pPr>
            <w:r>
              <w:rPr>
                <w:b/>
                <w:bCs/>
                <w:color w:val="auto"/>
              </w:rPr>
              <w:t>110,0</w:t>
            </w:r>
          </w:p>
        </w:tc>
      </w:tr>
      <w:tr>
        <w:trPr>
          <w:trHeight w:val="283" w:hRule="atLeast"/>
        </w:trPr>
        <w:tc>
          <w:tcPr>
            <w:tcW w:w="3649" w:type="dxa"/>
            <w:tcBorders/>
            <w:vAlign w:val="bottom"/>
          </w:tcPr>
          <w:p>
            <w:pPr>
              <w:pStyle w:val="DMETW2940BIPOrganicVolume"/>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321,4</w:t>
            </w:r>
          </w:p>
        </w:tc>
        <w:tc>
          <w:tcPr>
            <w:tcW w:w="172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246,7</w:t>
            </w:r>
          </w:p>
        </w:tc>
        <w:tc>
          <w:tcPr>
            <w:tcW w:w="1583"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1.005,4</w:t>
            </w:r>
          </w:p>
        </w:tc>
        <w:tc>
          <w:tcPr>
            <w:tcW w:w="133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1.573,5</w:t>
            </w:r>
          </w:p>
        </w:tc>
      </w:tr>
      <w:tr>
        <w:trPr>
          <w:trHeight w:val="68" w:hRule="atLeast"/>
        </w:trPr>
        <w:tc>
          <w:tcPr>
            <w:tcW w:w="3649" w:type="dxa"/>
            <w:tcBorders/>
            <w:vAlign w:val="bottom"/>
          </w:tcPr>
          <w:p>
            <w:pPr>
              <w:pStyle w:val="DMETW2940BIPOrganicVolume"/>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r>
      <w:tr>
        <w:trPr>
          <w:trHeight w:val="283" w:hRule="atLeast"/>
        </w:trPr>
        <w:tc>
          <w:tcPr>
            <w:tcW w:w="3649" w:type="dxa"/>
            <w:tcBorders/>
            <w:vAlign w:val="bottom"/>
          </w:tcPr>
          <w:p>
            <w:pPr>
              <w:pStyle w:val="DMETW2940BIPOrganicVolume"/>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DMETW2940BIPOrganicVolume"/>
              <w:widowControl w:val="false"/>
              <w:jc w:val="right"/>
              <w:rPr>
                <w:b/>
                <w:bCs/>
                <w:color w:val="auto"/>
              </w:rPr>
            </w:pPr>
            <w:r>
              <w:rPr>
                <w:b/>
                <w:bCs/>
                <w:color w:val="auto"/>
              </w:rPr>
              <w:t>4,8%</w:t>
            </w:r>
          </w:p>
        </w:tc>
        <w:tc>
          <w:tcPr>
            <w:tcW w:w="1720" w:type="dxa"/>
            <w:tcBorders>
              <w:top w:val="single" w:sz="4" w:space="0" w:color="000000"/>
              <w:bottom w:val="single" w:sz="4" w:space="0" w:color="000000"/>
            </w:tcBorders>
            <w:vAlign w:val="bottom"/>
          </w:tcPr>
          <w:p>
            <w:pPr>
              <w:pStyle w:val="DMETW2940BIPOrganicVolume"/>
              <w:widowControl w:val="false"/>
              <w:jc w:val="right"/>
              <w:rPr>
                <w:b/>
                <w:color w:val="auto"/>
              </w:rPr>
            </w:pPr>
            <w:r>
              <w:rPr>
                <w:b/>
                <w:bCs/>
                <w:color w:val="auto"/>
              </w:rPr>
              <w:t>5,3%</w:t>
            </w:r>
          </w:p>
        </w:tc>
        <w:tc>
          <w:tcPr>
            <w:tcW w:w="1583" w:type="dxa"/>
            <w:tcBorders>
              <w:top w:val="single" w:sz="4" w:space="0" w:color="000000"/>
              <w:bottom w:val="single" w:sz="4" w:space="0" w:color="000000"/>
            </w:tcBorders>
            <w:vAlign w:val="bottom"/>
          </w:tcPr>
          <w:p>
            <w:pPr>
              <w:pStyle w:val="DMETW2940BIPOrganicVolume"/>
              <w:widowControl w:val="false"/>
              <w:jc w:val="right"/>
              <w:rPr>
                <w:b/>
                <w:color w:val="auto"/>
              </w:rPr>
            </w:pPr>
            <w:r>
              <w:rPr>
                <w:b/>
                <w:bCs/>
                <w:color w:val="auto"/>
              </w:rPr>
              <w:t>9,0%</w:t>
            </w:r>
          </w:p>
        </w:tc>
        <w:tc>
          <w:tcPr>
            <w:tcW w:w="1330" w:type="dxa"/>
            <w:tcBorders>
              <w:top w:val="single" w:sz="4" w:space="0" w:color="000000"/>
              <w:bottom w:val="single" w:sz="4" w:space="0" w:color="000000"/>
            </w:tcBorders>
            <w:vAlign w:val="bottom"/>
          </w:tcPr>
          <w:p>
            <w:pPr>
              <w:pStyle w:val="DMETW2940BIPOrganicVolume"/>
              <w:widowControl w:val="false"/>
              <w:jc w:val="right"/>
              <w:rPr>
                <w:b/>
                <w:color w:val="auto"/>
              </w:rPr>
            </w:pPr>
            <w:r>
              <w:rPr>
                <w:b/>
                <w:bCs/>
                <w:color w:val="auto"/>
              </w:rPr>
              <w:t>7,5%</w:t>
            </w:r>
          </w:p>
        </w:tc>
      </w:tr>
    </w:tbl>
    <w:p>
      <w:pPr>
        <w:pStyle w:val="Normal"/>
        <w:rPr>
          <w:rFonts w:ascii="Effra Corp" w:hAnsi="Effra Corp" w:cs="Arial"/>
          <w:b/>
          <w:sz w:val="12"/>
          <w:szCs w:val="12"/>
        </w:rPr>
      </w:pPr>
      <w:r>
        <w:rPr>
          <w:rFonts w:cs="Arial" w:ascii="Effra Corp" w:hAnsi="Effra Corp"/>
          <w:b/>
          <w:sz w:val="12"/>
          <w:szCs w:val="12"/>
        </w:rPr>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bottom"/>
          </w:tcPr>
          <w:p>
            <w:pPr>
              <w:pStyle w:val="DMETW2940BIPOrganicNSR"/>
              <w:widowControl w:val="false"/>
              <w:rPr>
                <w:color w:val="auto"/>
              </w:rPr>
            </w:pPr>
            <w:r>
              <w:rPr>
                <w:color w:val="auto"/>
              </w:rPr>
            </w:r>
            <w:bookmarkStart w:id="9" w:name="DOC_TBL00050_1_1"/>
            <w:bookmarkStart w:id="10" w:name="DOC_TBL00050_1_1"/>
            <w:bookmarkEnd w:id="10"/>
          </w:p>
        </w:tc>
        <w:tc>
          <w:tcPr>
            <w:tcW w:w="6301" w:type="dxa"/>
            <w:gridSpan w:val="4"/>
            <w:tcBorders/>
            <w:shd w:color="auto" w:fill="BFBFBF" w:val="clear"/>
            <w:vAlign w:val="center"/>
          </w:tcPr>
          <w:p>
            <w:pPr>
              <w:pStyle w:val="DMETW2940BIPOrganicNSR"/>
              <w:widowControl w:val="false"/>
              <w:jc w:val="center"/>
              <w:rPr>
                <w:b/>
                <w:color w:val="auto"/>
                <w:lang w:val="el-GR"/>
              </w:rPr>
            </w:pPr>
            <w:r>
              <w:rPr>
                <w:b/>
                <w:color w:val="auto"/>
                <w:lang w:val="el-GR"/>
              </w:rPr>
              <w:t>Α’ Εξάμηνο</w:t>
            </w:r>
            <w:r>
              <w:rPr>
                <w:b/>
                <w:color w:val="auto"/>
              </w:rPr>
              <w:t xml:space="preserve"> 202</w:t>
            </w:r>
            <w:r>
              <w:rPr>
                <w:b/>
                <w:color w:val="auto"/>
                <w:lang w:val="el-GR"/>
              </w:rPr>
              <w:t>6</w:t>
            </w:r>
          </w:p>
        </w:tc>
      </w:tr>
      <w:tr>
        <w:trPr>
          <w:trHeight w:val="539" w:hRule="exact"/>
        </w:trPr>
        <w:tc>
          <w:tcPr>
            <w:tcW w:w="3649" w:type="dxa"/>
            <w:tcBorders/>
            <w:vAlign w:val="bottom"/>
          </w:tcPr>
          <w:p>
            <w:pPr>
              <w:pStyle w:val="DMETW2052BIPOrganicNSR"/>
              <w:widowControl w:val="false"/>
              <w:rPr>
                <w:b/>
                <w:color w:val="auto"/>
                <w:lang w:val="el-GR"/>
              </w:rPr>
            </w:pPr>
            <w:r>
              <w:rPr>
                <w:b/>
                <w:color w:val="auto"/>
                <w:lang w:val="el-GR"/>
              </w:rPr>
              <w:t xml:space="preserve">Καθαρά έσοδα από πωλήσεις </w:t>
            </w:r>
          </w:p>
          <w:p>
            <w:pPr>
              <w:pStyle w:val="DMETW2940BIPOrganicNSR"/>
              <w:widowControl w:val="false"/>
              <w:rPr>
                <w:b/>
                <w:color w:val="auto"/>
                <w:lang w:val="el-GR"/>
              </w:rPr>
            </w:pPr>
            <w:r>
              <w:rPr>
                <w:b/>
                <w:color w:val="auto"/>
                <w:lang w:val="el-GR"/>
              </w:rPr>
              <w:t>(€ εκατ.)</w:t>
            </w:r>
          </w:p>
        </w:tc>
        <w:tc>
          <w:tcPr>
            <w:tcW w:w="1668" w:type="dxa"/>
            <w:tcBorders/>
            <w:shd w:color="auto" w:fill="BFBFBF" w:val="clear"/>
            <w:vAlign w:val="bottom"/>
          </w:tcPr>
          <w:p>
            <w:pPr>
              <w:pStyle w:val="DMETW2940BIPOrganicNSR"/>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NSR"/>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NSR"/>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NSR"/>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NSR"/>
              <w:widowControl w:val="false"/>
              <w:rPr>
                <w:color w:val="auto"/>
              </w:rPr>
            </w:pPr>
            <w:r>
              <w:rPr>
                <w:color w:val="auto"/>
              </w:rPr>
              <w:t>202</w:t>
            </w:r>
            <w:r>
              <w:rPr>
                <w:color w:val="auto"/>
                <w:lang w:val="el-GR"/>
              </w:rPr>
              <w:t>5</w:t>
            </w:r>
            <w:r>
              <w:rPr>
                <w:color w:val="auto"/>
              </w:rPr>
              <w:t xml:space="preserve"> δημοσιευμένα μεγέθη</w:t>
            </w:r>
          </w:p>
        </w:tc>
        <w:tc>
          <w:tcPr>
            <w:tcW w:w="1668" w:type="dxa"/>
            <w:tcBorders/>
            <w:vAlign w:val="bottom"/>
          </w:tcPr>
          <w:p>
            <w:pPr>
              <w:pStyle w:val="DMETW2940BIPOrganicNSR"/>
              <w:widowControl w:val="false"/>
              <w:jc w:val="right"/>
              <w:rPr>
                <w:color w:val="auto"/>
              </w:rPr>
            </w:pPr>
            <w:r>
              <w:rPr>
                <w:color w:val="auto"/>
              </w:rPr>
              <w:t>1</w:t>
            </w:r>
            <w:r>
              <w:rPr>
                <w:color w:val="auto"/>
                <w:lang w:val="el-GR"/>
              </w:rPr>
              <w:t>.</w:t>
            </w:r>
            <w:r>
              <w:rPr>
                <w:color w:val="auto"/>
              </w:rPr>
              <w:t>769</w:t>
            </w:r>
            <w:r>
              <w:rPr>
                <w:color w:val="auto"/>
                <w:lang w:val="el-GR"/>
              </w:rPr>
              <w:t>,</w:t>
            </w:r>
            <w:r>
              <w:rPr>
                <w:color w:val="auto"/>
              </w:rPr>
              <w:t>7</w:t>
            </w:r>
          </w:p>
        </w:tc>
        <w:tc>
          <w:tcPr>
            <w:tcW w:w="1720" w:type="dxa"/>
            <w:tcBorders/>
            <w:vAlign w:val="bottom"/>
          </w:tcPr>
          <w:p>
            <w:pPr>
              <w:pStyle w:val="DMETW2940BIPOrganicNSR"/>
              <w:widowControl w:val="false"/>
              <w:jc w:val="right"/>
              <w:rPr>
                <w:color w:val="auto"/>
              </w:rPr>
            </w:pPr>
            <w:r>
              <w:rPr>
                <w:color w:val="auto"/>
              </w:rPr>
              <w:t>1</w:t>
            </w:r>
            <w:r>
              <w:rPr>
                <w:color w:val="auto"/>
                <w:lang w:val="el-GR"/>
              </w:rPr>
              <w:t>.</w:t>
            </w:r>
            <w:r>
              <w:rPr>
                <w:color w:val="auto"/>
              </w:rPr>
              <w:t>198</w:t>
            </w:r>
            <w:r>
              <w:rPr>
                <w:color w:val="auto"/>
                <w:lang w:val="el-GR"/>
              </w:rPr>
              <w:t>,</w:t>
            </w:r>
            <w:r>
              <w:rPr>
                <w:color w:val="auto"/>
              </w:rPr>
              <w:t>7</w:t>
            </w:r>
          </w:p>
        </w:tc>
        <w:tc>
          <w:tcPr>
            <w:tcW w:w="1583" w:type="dxa"/>
            <w:tcBorders/>
            <w:vAlign w:val="bottom"/>
          </w:tcPr>
          <w:p>
            <w:pPr>
              <w:pStyle w:val="DMETW2940BIPOrganicNSR"/>
              <w:widowControl w:val="false"/>
              <w:jc w:val="right"/>
              <w:rPr>
                <w:color w:val="auto"/>
              </w:rPr>
            </w:pPr>
            <w:r>
              <w:rPr>
                <w:color w:val="auto"/>
              </w:rPr>
              <w:t>2</w:t>
            </w:r>
            <w:r>
              <w:rPr>
                <w:color w:val="auto"/>
                <w:lang w:val="el-GR"/>
              </w:rPr>
              <w:t>.</w:t>
            </w:r>
            <w:r>
              <w:rPr>
                <w:color w:val="auto"/>
              </w:rPr>
              <w:t>651</w:t>
            </w:r>
            <w:r>
              <w:rPr>
                <w:color w:val="auto"/>
                <w:lang w:val="el-GR"/>
              </w:rPr>
              <w:t>,</w:t>
            </w:r>
            <w:r>
              <w:rPr>
                <w:color w:val="auto"/>
              </w:rPr>
              <w:t>9</w:t>
            </w:r>
          </w:p>
        </w:tc>
        <w:tc>
          <w:tcPr>
            <w:tcW w:w="1330" w:type="dxa"/>
            <w:tcBorders/>
            <w:vAlign w:val="bottom"/>
          </w:tcPr>
          <w:p>
            <w:pPr>
              <w:pStyle w:val="DMETW2940BIPOrganicNSR"/>
              <w:widowControl w:val="false"/>
              <w:jc w:val="right"/>
              <w:rPr>
                <w:color w:val="auto"/>
              </w:rPr>
            </w:pPr>
            <w:r>
              <w:rPr>
                <w:color w:val="auto"/>
              </w:rPr>
              <w:t>5</w:t>
            </w:r>
            <w:r>
              <w:rPr>
                <w:color w:val="auto"/>
                <w:lang w:val="el-GR"/>
              </w:rPr>
              <w:t>.</w:t>
            </w:r>
            <w:r>
              <w:rPr>
                <w:color w:val="auto"/>
              </w:rPr>
              <w:t>620</w:t>
            </w:r>
            <w:r>
              <w:rPr>
                <w:color w:val="auto"/>
                <w:lang w:val="el-GR"/>
              </w:rPr>
              <w:t>,</w:t>
            </w:r>
            <w:r>
              <w:rPr>
                <w:color w:val="auto"/>
              </w:rPr>
              <w:t>3</w:t>
            </w:r>
          </w:p>
        </w:tc>
      </w:tr>
      <w:tr>
        <w:trPr>
          <w:trHeight w:val="283" w:hRule="atLeast"/>
        </w:trPr>
        <w:tc>
          <w:tcPr>
            <w:tcW w:w="3649" w:type="dxa"/>
            <w:tcBorders/>
            <w:vAlign w:val="bottom"/>
          </w:tcPr>
          <w:p>
            <w:pPr>
              <w:pStyle w:val="DMETW2940BIPOrganicNSR"/>
              <w:widowControl w:val="false"/>
              <w:rPr>
                <w:color w:val="auto"/>
              </w:rPr>
            </w:pPr>
            <w:r>
              <w:rPr>
                <w:color w:val="auto"/>
              </w:rPr>
              <w:t>Συναλλαγματική επίδραση</w:t>
            </w:r>
          </w:p>
        </w:tc>
        <w:tc>
          <w:tcPr>
            <w:tcW w:w="1668" w:type="dxa"/>
            <w:tcBorders/>
            <w:vAlign w:val="bottom"/>
          </w:tcPr>
          <w:p>
            <w:pPr>
              <w:pStyle w:val="DMETW2940BIPOrganicNSR"/>
              <w:widowControl w:val="false"/>
              <w:jc w:val="right"/>
              <w:rPr>
                <w:color w:val="auto"/>
              </w:rPr>
            </w:pPr>
            <w:r>
              <w:rPr>
                <w:color w:val="auto"/>
              </w:rPr>
              <w:t xml:space="preserve">2,5 </w:t>
            </w:r>
          </w:p>
        </w:tc>
        <w:tc>
          <w:tcPr>
            <w:tcW w:w="1720" w:type="dxa"/>
            <w:tcBorders/>
            <w:vAlign w:val="bottom"/>
          </w:tcPr>
          <w:p>
            <w:pPr>
              <w:pStyle w:val="DMETW2940BIPOrganicNSR"/>
              <w:widowControl w:val="false"/>
              <w:jc w:val="right"/>
              <w:rPr>
                <w:color w:val="auto"/>
              </w:rPr>
            </w:pPr>
            <w:r>
              <w:rPr>
                <w:color w:val="auto"/>
              </w:rPr>
              <w:t xml:space="preserve">22,4 </w:t>
            </w:r>
          </w:p>
        </w:tc>
        <w:tc>
          <w:tcPr>
            <w:tcW w:w="1583" w:type="dxa"/>
            <w:tcBorders/>
            <w:vAlign w:val="bottom"/>
          </w:tcPr>
          <w:p>
            <w:pPr>
              <w:pStyle w:val="DMETW2940BIPOrganicNSR"/>
              <w:widowControl w:val="false"/>
              <w:jc w:val="right"/>
              <w:rPr>
                <w:color w:val="auto"/>
              </w:rPr>
            </w:pPr>
            <w:r>
              <w:rPr>
                <w:color w:val="auto"/>
              </w:rPr>
              <w:t xml:space="preserve">38,9 </w:t>
            </w:r>
          </w:p>
        </w:tc>
        <w:tc>
          <w:tcPr>
            <w:tcW w:w="1330" w:type="dxa"/>
            <w:tcBorders/>
            <w:vAlign w:val="bottom"/>
          </w:tcPr>
          <w:p>
            <w:pPr>
              <w:pStyle w:val="DMETW2940BIPOrganicNSR"/>
              <w:widowControl w:val="false"/>
              <w:jc w:val="right"/>
              <w:rPr>
                <w:color w:val="auto"/>
              </w:rPr>
            </w:pPr>
            <w:r>
              <w:rPr>
                <w:color w:val="auto"/>
              </w:rPr>
              <w:t>63,8</w:t>
            </w:r>
          </w:p>
        </w:tc>
      </w:tr>
      <w:tr>
        <w:trPr>
          <w:trHeight w:val="283" w:hRule="atLeast"/>
        </w:trPr>
        <w:tc>
          <w:tcPr>
            <w:tcW w:w="3649" w:type="dxa"/>
            <w:tcBorders/>
            <w:vAlign w:val="bottom"/>
          </w:tcPr>
          <w:p>
            <w:pPr>
              <w:pStyle w:val="DMETW2940BIPOrganicNSR"/>
              <w:widowControl w:val="false"/>
              <w:rPr>
                <w:b/>
                <w:color w:val="auto"/>
              </w:rPr>
            </w:pPr>
            <w:r>
              <w:rPr>
                <w:b/>
                <w:bCs/>
                <w:color w:val="auto"/>
              </w:rPr>
              <w:t>202</w:t>
            </w:r>
            <w:r>
              <w:rPr>
                <w:b/>
                <w:bCs/>
                <w:color w:val="auto"/>
                <w:lang w:val="el-GR"/>
              </w:rPr>
              <w:t>5</w:t>
            </w:r>
            <w:r>
              <w:rPr>
                <w:b/>
                <w:bCs/>
                <w:color w:val="auto"/>
              </w:rPr>
              <w:t xml:space="preserve"> προσαρμοσμένα μεγέθη</w:t>
            </w:r>
          </w:p>
        </w:tc>
        <w:tc>
          <w:tcPr>
            <w:tcW w:w="1668" w:type="dxa"/>
            <w:tcBorders/>
            <w:vAlign w:val="bottom"/>
          </w:tcPr>
          <w:p>
            <w:pPr>
              <w:pStyle w:val="DMETW2940BIPOrganicNSR"/>
              <w:widowControl w:val="false"/>
              <w:jc w:val="right"/>
              <w:rPr>
                <w:b/>
                <w:color w:val="auto"/>
              </w:rPr>
            </w:pPr>
            <w:r>
              <w:rPr>
                <w:b/>
                <w:bCs/>
                <w:color w:val="auto"/>
              </w:rPr>
              <w:t>1.772,2</w:t>
            </w:r>
          </w:p>
        </w:tc>
        <w:tc>
          <w:tcPr>
            <w:tcW w:w="1720" w:type="dxa"/>
            <w:tcBorders/>
            <w:vAlign w:val="bottom"/>
          </w:tcPr>
          <w:p>
            <w:pPr>
              <w:pStyle w:val="DMETW2940BIPOrganicNSR"/>
              <w:widowControl w:val="false"/>
              <w:jc w:val="right"/>
              <w:rPr>
                <w:b/>
                <w:color w:val="auto"/>
              </w:rPr>
            </w:pPr>
            <w:r>
              <w:rPr>
                <w:b/>
                <w:bCs/>
                <w:color w:val="auto"/>
              </w:rPr>
              <w:t>1.221,1</w:t>
            </w:r>
          </w:p>
        </w:tc>
        <w:tc>
          <w:tcPr>
            <w:tcW w:w="1583" w:type="dxa"/>
            <w:tcBorders/>
            <w:vAlign w:val="bottom"/>
          </w:tcPr>
          <w:p>
            <w:pPr>
              <w:pStyle w:val="DMETW2940BIPOrganicNSR"/>
              <w:widowControl w:val="false"/>
              <w:jc w:val="right"/>
              <w:rPr>
                <w:b/>
                <w:color w:val="auto"/>
              </w:rPr>
            </w:pPr>
            <w:r>
              <w:rPr>
                <w:b/>
                <w:bCs/>
                <w:color w:val="auto"/>
              </w:rPr>
              <w:t>2.690,8</w:t>
            </w:r>
          </w:p>
        </w:tc>
        <w:tc>
          <w:tcPr>
            <w:tcW w:w="1330" w:type="dxa"/>
            <w:tcBorders/>
            <w:vAlign w:val="bottom"/>
          </w:tcPr>
          <w:p>
            <w:pPr>
              <w:pStyle w:val="DMETW2940BIPOrganicNSR"/>
              <w:widowControl w:val="false"/>
              <w:jc w:val="right"/>
              <w:rPr>
                <w:b/>
                <w:color w:val="auto"/>
              </w:rPr>
            </w:pPr>
            <w:r>
              <w:rPr>
                <w:b/>
                <w:bCs/>
                <w:color w:val="auto"/>
              </w:rPr>
              <w:t>5.684,1</w:t>
            </w:r>
          </w:p>
        </w:tc>
      </w:tr>
      <w:tr>
        <w:trPr>
          <w:trHeight w:val="283" w:hRule="atLeast"/>
        </w:trPr>
        <w:tc>
          <w:tcPr>
            <w:tcW w:w="3649" w:type="dxa"/>
            <w:tcBorders/>
            <w:vAlign w:val="bottom"/>
          </w:tcPr>
          <w:p>
            <w:pPr>
              <w:pStyle w:val="DMETW2052BIPOrganicNSR"/>
              <w:widowControl w:val="false"/>
              <w:rPr>
                <w:color w:val="auto"/>
                <w:lang w:val="el-GR"/>
              </w:rPr>
            </w:pPr>
            <w:r>
              <w:rPr>
                <w:color w:val="auto"/>
                <w:lang w:val="el-GR"/>
              </w:rPr>
              <w:t xml:space="preserve">Αντίκτυπος μεταβολών στην περίμετρο </w:t>
            </w:r>
          </w:p>
          <w:p>
            <w:pPr>
              <w:pStyle w:val="DMETW2940BIPOrganicNSR"/>
              <w:widowControl w:val="false"/>
              <w:rPr>
                <w:color w:val="auto"/>
                <w:lang w:val="el-GR"/>
              </w:rPr>
            </w:pPr>
            <w:r>
              <w:rPr>
                <w:color w:val="auto"/>
                <w:lang w:val="el-GR"/>
              </w:rPr>
              <w:t>ενοποίησης</w:t>
            </w:r>
          </w:p>
        </w:tc>
        <w:tc>
          <w:tcPr>
            <w:tcW w:w="1668" w:type="dxa"/>
            <w:tcBorders/>
            <w:vAlign w:val="bottom"/>
          </w:tcPr>
          <w:p>
            <w:pPr>
              <w:pStyle w:val="DMETW2940BIPOrganicNSR"/>
              <w:widowControl w:val="false"/>
              <w:jc w:val="right"/>
              <w:rPr>
                <w:color w:val="auto"/>
              </w:rPr>
            </w:pPr>
            <w:r>
              <w:rPr>
                <w:color w:val="auto"/>
              </w:rPr>
              <w:t>2,4</w:t>
            </w:r>
          </w:p>
        </w:tc>
        <w:tc>
          <w:tcPr>
            <w:tcW w:w="1720" w:type="dxa"/>
            <w:tcBorders/>
            <w:vAlign w:val="bottom"/>
          </w:tcPr>
          <w:p>
            <w:pPr>
              <w:pStyle w:val="DMETW2940BIPOrganicNSR"/>
              <w:widowControl w:val="false"/>
              <w:jc w:val="right"/>
              <w:rPr>
                <w:color w:val="auto"/>
              </w:rPr>
            </w:pPr>
            <w:r>
              <w:rPr>
                <w:color w:val="auto"/>
              </w:rPr>
              <w:t>—</w:t>
            </w:r>
          </w:p>
        </w:tc>
        <w:tc>
          <w:tcPr>
            <w:tcW w:w="1583" w:type="dxa"/>
            <w:tcBorders/>
            <w:vAlign w:val="bottom"/>
          </w:tcPr>
          <w:p>
            <w:pPr>
              <w:pStyle w:val="DMETW2940BIPOrganicNSR"/>
              <w:widowControl w:val="false"/>
              <w:jc w:val="right"/>
              <w:rPr>
                <w:color w:val="auto"/>
              </w:rPr>
            </w:pPr>
            <w:r>
              <w:rPr>
                <w:color w:val="auto"/>
              </w:rPr>
              <w:t>—</w:t>
            </w:r>
          </w:p>
        </w:tc>
        <w:tc>
          <w:tcPr>
            <w:tcW w:w="1330" w:type="dxa"/>
            <w:tcBorders/>
            <w:vAlign w:val="bottom"/>
          </w:tcPr>
          <w:p>
            <w:pPr>
              <w:pStyle w:val="DMETW2940BIPOrganicNSR"/>
              <w:widowControl w:val="false"/>
              <w:jc w:val="right"/>
              <w:rPr>
                <w:color w:val="auto"/>
              </w:rPr>
            </w:pPr>
            <w:r>
              <w:rPr>
                <w:color w:val="auto"/>
              </w:rPr>
              <w:t>2,4</w:t>
            </w:r>
          </w:p>
        </w:tc>
      </w:tr>
      <w:tr>
        <w:trPr>
          <w:trHeight w:val="283" w:hRule="atLeast"/>
        </w:trPr>
        <w:tc>
          <w:tcPr>
            <w:tcW w:w="3649" w:type="dxa"/>
            <w:tcBorders/>
            <w:vAlign w:val="bottom"/>
          </w:tcPr>
          <w:p>
            <w:pPr>
              <w:pStyle w:val="DMETW2940BIPOrganicNSR"/>
              <w:widowControl w:val="false"/>
              <w:rPr>
                <w:b/>
                <w:bCs/>
                <w:color w:val="auto"/>
              </w:rPr>
            </w:pPr>
            <w:r>
              <w:rPr>
                <w:b/>
                <w:bCs/>
                <w:color w:val="auto"/>
              </w:rPr>
              <w:t>Οργανική μεταβολή</w:t>
            </w:r>
          </w:p>
        </w:tc>
        <w:tc>
          <w:tcPr>
            <w:tcW w:w="1668" w:type="dxa"/>
            <w:tcBorders>
              <w:bottom w:val="single" w:sz="4" w:space="0" w:color="000000"/>
            </w:tcBorders>
            <w:vAlign w:val="bottom"/>
          </w:tcPr>
          <w:p>
            <w:pPr>
              <w:pStyle w:val="DMETW2940BIPOrganicNSR"/>
              <w:widowControl w:val="false"/>
              <w:jc w:val="right"/>
              <w:rPr>
                <w:b/>
                <w:color w:val="auto"/>
              </w:rPr>
            </w:pPr>
            <w:r>
              <w:rPr>
                <w:b/>
                <w:bCs/>
                <w:color w:val="auto"/>
              </w:rPr>
              <w:t xml:space="preserve">109,1 </w:t>
            </w:r>
          </w:p>
        </w:tc>
        <w:tc>
          <w:tcPr>
            <w:tcW w:w="1720" w:type="dxa"/>
            <w:tcBorders>
              <w:bottom w:val="single" w:sz="4" w:space="0" w:color="000000"/>
            </w:tcBorders>
            <w:vAlign w:val="bottom"/>
          </w:tcPr>
          <w:p>
            <w:pPr>
              <w:pStyle w:val="DMETW2940BIPOrganicNSR"/>
              <w:widowControl w:val="false"/>
              <w:jc w:val="right"/>
              <w:rPr>
                <w:b/>
                <w:color w:val="auto"/>
              </w:rPr>
            </w:pPr>
            <w:r>
              <w:rPr>
                <w:b/>
                <w:bCs/>
                <w:color w:val="auto"/>
              </w:rPr>
              <w:t xml:space="preserve">109,6 </w:t>
            </w:r>
          </w:p>
        </w:tc>
        <w:tc>
          <w:tcPr>
            <w:tcW w:w="1583" w:type="dxa"/>
            <w:tcBorders>
              <w:bottom w:val="single" w:sz="4" w:space="0" w:color="000000"/>
            </w:tcBorders>
            <w:vAlign w:val="bottom"/>
          </w:tcPr>
          <w:p>
            <w:pPr>
              <w:pStyle w:val="DMETW2940BIPOrganicNSR"/>
              <w:widowControl w:val="false"/>
              <w:jc w:val="right"/>
              <w:rPr>
                <w:b/>
                <w:color w:val="auto"/>
              </w:rPr>
            </w:pPr>
            <w:r>
              <w:rPr>
                <w:b/>
                <w:bCs/>
                <w:color w:val="auto"/>
              </w:rPr>
              <w:t xml:space="preserve">324,2 </w:t>
            </w:r>
          </w:p>
        </w:tc>
        <w:tc>
          <w:tcPr>
            <w:tcW w:w="1330" w:type="dxa"/>
            <w:tcBorders>
              <w:bottom w:val="single" w:sz="4" w:space="0" w:color="000000"/>
            </w:tcBorders>
            <w:vAlign w:val="bottom"/>
          </w:tcPr>
          <w:p>
            <w:pPr>
              <w:pStyle w:val="DMETW2940BIPOrganicNSR"/>
              <w:widowControl w:val="false"/>
              <w:jc w:val="right"/>
              <w:rPr>
                <w:b/>
                <w:color w:val="auto"/>
              </w:rPr>
            </w:pPr>
            <w:r>
              <w:rPr>
                <w:b/>
                <w:bCs/>
                <w:color w:val="auto"/>
              </w:rPr>
              <w:t>542,9</w:t>
            </w:r>
          </w:p>
        </w:tc>
      </w:tr>
      <w:tr>
        <w:trPr>
          <w:trHeight w:val="283" w:hRule="atLeast"/>
        </w:trPr>
        <w:tc>
          <w:tcPr>
            <w:tcW w:w="3649" w:type="dxa"/>
            <w:tcBorders/>
            <w:vAlign w:val="bottom"/>
          </w:tcPr>
          <w:p>
            <w:pPr>
              <w:pStyle w:val="DMETW2940BIPOrganicNSR"/>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1.883,7</w:t>
            </w:r>
          </w:p>
        </w:tc>
        <w:tc>
          <w:tcPr>
            <w:tcW w:w="1720"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1.330,7</w:t>
            </w:r>
          </w:p>
        </w:tc>
        <w:tc>
          <w:tcPr>
            <w:tcW w:w="1583"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3.015,0</w:t>
            </w:r>
          </w:p>
        </w:tc>
        <w:tc>
          <w:tcPr>
            <w:tcW w:w="1330"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6.229,4</w:t>
            </w:r>
          </w:p>
        </w:tc>
      </w:tr>
      <w:tr>
        <w:trPr>
          <w:trHeight w:val="146" w:hRule="atLeast"/>
        </w:trPr>
        <w:tc>
          <w:tcPr>
            <w:tcW w:w="3649" w:type="dxa"/>
            <w:tcBorders/>
            <w:vAlign w:val="bottom"/>
          </w:tcPr>
          <w:p>
            <w:pPr>
              <w:pStyle w:val="DMETW2940BIPOrganicNSR"/>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NSR"/>
              <w:widowControl w:val="false"/>
              <w:jc w:val="right"/>
              <w:rPr>
                <w:b/>
                <w:color w:val="auto"/>
              </w:rPr>
            </w:pPr>
            <w:r>
              <w:rPr>
                <w:b/>
                <w:color w:val="auto"/>
              </w:rPr>
            </w:r>
          </w:p>
        </w:tc>
      </w:tr>
      <w:tr>
        <w:trPr>
          <w:trHeight w:val="283" w:hRule="atLeast"/>
        </w:trPr>
        <w:tc>
          <w:tcPr>
            <w:tcW w:w="3649" w:type="dxa"/>
            <w:tcBorders/>
            <w:vAlign w:val="bottom"/>
          </w:tcPr>
          <w:p>
            <w:pPr>
              <w:pStyle w:val="DMETW2940BIPOrganicNSR"/>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6,2%</w:t>
            </w:r>
          </w:p>
        </w:tc>
        <w:tc>
          <w:tcPr>
            <w:tcW w:w="1720"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9,0%</w:t>
            </w:r>
          </w:p>
        </w:tc>
        <w:tc>
          <w:tcPr>
            <w:tcW w:w="1583"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12,0%</w:t>
            </w:r>
          </w:p>
        </w:tc>
        <w:tc>
          <w:tcPr>
            <w:tcW w:w="1330"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9,6%</w:t>
            </w:r>
          </w:p>
        </w:tc>
      </w:tr>
    </w:tbl>
    <w:p>
      <w:pPr>
        <w:pStyle w:val="Normal"/>
        <w:rPr>
          <w:rFonts w:ascii="Effra Corp" w:hAnsi="Effra Corp" w:cs="Arial"/>
          <w:b/>
          <w:sz w:val="12"/>
          <w:szCs w:val="12"/>
          <w:lang w:val="el-GR"/>
        </w:rPr>
      </w:pPr>
      <w:r>
        <w:rPr>
          <w:rFonts w:cs="Arial" w:ascii="Effra Corp" w:hAnsi="Effra Corp"/>
          <w:b/>
          <w:sz w:val="12"/>
          <w:szCs w:val="12"/>
          <w:lang w:val="el-GR"/>
        </w:rPr>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bottom"/>
          </w:tcPr>
          <w:p>
            <w:pPr>
              <w:pStyle w:val="DMETW2940BIPOrganicNSRperUC"/>
              <w:widowControl w:val="false"/>
              <w:rPr>
                <w:color w:val="auto"/>
                <w:lang w:val="el-GR"/>
              </w:rPr>
            </w:pPr>
            <w:r>
              <w:rPr>
                <w:color w:val="auto"/>
                <w:lang w:val="el-GR"/>
              </w:rPr>
            </w:r>
          </w:p>
        </w:tc>
        <w:tc>
          <w:tcPr>
            <w:tcW w:w="6301" w:type="dxa"/>
            <w:gridSpan w:val="4"/>
            <w:tcBorders/>
            <w:shd w:color="auto" w:fill="BFBFBF" w:val="clear"/>
            <w:vAlign w:val="center"/>
          </w:tcPr>
          <w:p>
            <w:pPr>
              <w:pStyle w:val="DMETW2940BIPOrganicNSRperUC"/>
              <w:widowControl w:val="false"/>
              <w:jc w:val="center"/>
              <w:rPr>
                <w:b/>
                <w:color w:val="auto"/>
                <w:lang w:val="el-GR"/>
              </w:rPr>
            </w:pPr>
            <w:r>
              <w:rPr>
                <w:b/>
                <w:color w:val="auto"/>
                <w:lang w:val="el-GR"/>
              </w:rPr>
              <w:t>Α’ Εξάμηνο</w:t>
            </w:r>
            <w:r>
              <w:rPr>
                <w:b/>
                <w:color w:val="auto"/>
              </w:rPr>
              <w:t xml:space="preserve"> 202</w:t>
            </w:r>
            <w:r>
              <w:rPr>
                <w:b/>
                <w:color w:val="auto"/>
                <w:lang w:val="el-GR"/>
              </w:rPr>
              <w:t>6</w:t>
            </w:r>
          </w:p>
        </w:tc>
      </w:tr>
      <w:tr>
        <w:trPr>
          <w:trHeight w:val="533" w:hRule="exact"/>
        </w:trPr>
        <w:tc>
          <w:tcPr>
            <w:tcW w:w="3649" w:type="dxa"/>
            <w:tcBorders/>
            <w:vAlign w:val="bottom"/>
          </w:tcPr>
          <w:p>
            <w:pPr>
              <w:pStyle w:val="DMETW2940BIPOrganicNSRperUC"/>
              <w:widowControl w:val="false"/>
              <w:rPr>
                <w:b/>
                <w:color w:val="auto"/>
                <w:lang w:val="el-GR"/>
              </w:rPr>
            </w:pPr>
            <w:r>
              <w:rPr>
                <w:b/>
                <w:color w:val="auto"/>
                <w:lang w:val="el-GR"/>
              </w:rPr>
              <w:t>Καθαρά έσοδα από πωλήσεις ανά κιβώτιο (€)</w:t>
            </w:r>
            <w:r>
              <w:rPr>
                <w:b/>
                <w:color w:val="auto"/>
                <w:vertAlign w:val="superscript"/>
                <w:lang w:val="el-GR"/>
              </w:rPr>
              <w:t>1</w:t>
            </w:r>
          </w:p>
        </w:tc>
        <w:tc>
          <w:tcPr>
            <w:tcW w:w="1668" w:type="dxa"/>
            <w:tcBorders/>
            <w:shd w:color="auto" w:fill="BFBFBF" w:val="clear"/>
            <w:vAlign w:val="bottom"/>
          </w:tcPr>
          <w:p>
            <w:pPr>
              <w:pStyle w:val="DMETW2940BIPOrganicNSRperUC"/>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NSRperUC"/>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NSRperUC"/>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NSRperUC"/>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NSRperUC"/>
              <w:widowControl w:val="false"/>
              <w:rPr>
                <w:color w:val="auto"/>
              </w:rPr>
            </w:pPr>
            <w:r>
              <w:rPr>
                <w:color w:val="auto"/>
              </w:rPr>
              <w:t>202</w:t>
            </w:r>
            <w:r>
              <w:rPr>
                <w:color w:val="auto"/>
                <w:lang w:val="el-GR"/>
              </w:rPr>
              <w:t>5</w:t>
            </w:r>
            <w:r>
              <w:rPr>
                <w:color w:val="auto"/>
              </w:rPr>
              <w:t xml:space="preserve"> δημοσιευμένα μεγέθη</w:t>
            </w:r>
          </w:p>
        </w:tc>
        <w:tc>
          <w:tcPr>
            <w:tcW w:w="1668" w:type="dxa"/>
            <w:tcBorders/>
            <w:vAlign w:val="bottom"/>
          </w:tcPr>
          <w:p>
            <w:pPr>
              <w:pStyle w:val="DMETW2940BIPOrganicNSRperUC"/>
              <w:widowControl w:val="false"/>
              <w:jc w:val="right"/>
              <w:rPr>
                <w:color w:val="auto"/>
              </w:rPr>
            </w:pPr>
            <w:r>
              <w:rPr>
                <w:color w:val="auto"/>
              </w:rPr>
              <w:t>5,77</w:t>
            </w:r>
          </w:p>
        </w:tc>
        <w:tc>
          <w:tcPr>
            <w:tcW w:w="1720" w:type="dxa"/>
            <w:tcBorders/>
            <w:vAlign w:val="bottom"/>
          </w:tcPr>
          <w:p>
            <w:pPr>
              <w:pStyle w:val="DMETW2940BIPOrganicNSRperUC"/>
              <w:widowControl w:val="false"/>
              <w:jc w:val="right"/>
              <w:rPr>
                <w:color w:val="auto"/>
              </w:rPr>
            </w:pPr>
            <w:r>
              <w:rPr>
                <w:color w:val="auto"/>
              </w:rPr>
              <w:t>5,12</w:t>
            </w:r>
          </w:p>
        </w:tc>
        <w:tc>
          <w:tcPr>
            <w:tcW w:w="1583" w:type="dxa"/>
            <w:tcBorders/>
            <w:vAlign w:val="bottom"/>
          </w:tcPr>
          <w:p>
            <w:pPr>
              <w:pStyle w:val="DMETW2940BIPOrganicNSRperUC"/>
              <w:widowControl w:val="false"/>
              <w:jc w:val="right"/>
              <w:rPr>
                <w:color w:val="auto"/>
              </w:rPr>
            </w:pPr>
            <w:r>
              <w:rPr>
                <w:color w:val="auto"/>
              </w:rPr>
              <w:t>2,87</w:t>
            </w:r>
          </w:p>
        </w:tc>
        <w:tc>
          <w:tcPr>
            <w:tcW w:w="1330" w:type="dxa"/>
            <w:tcBorders/>
            <w:vAlign w:val="bottom"/>
          </w:tcPr>
          <w:p>
            <w:pPr>
              <w:pStyle w:val="DMETW2940BIPOrganicNSRperUC"/>
              <w:widowControl w:val="false"/>
              <w:jc w:val="right"/>
              <w:rPr>
                <w:color w:val="auto"/>
              </w:rPr>
            </w:pPr>
            <w:r>
              <w:rPr>
                <w:color w:val="auto"/>
              </w:rPr>
              <w:t>3,84</w:t>
            </w:r>
          </w:p>
        </w:tc>
      </w:tr>
      <w:tr>
        <w:trPr>
          <w:trHeight w:val="283" w:hRule="atLeast"/>
        </w:trPr>
        <w:tc>
          <w:tcPr>
            <w:tcW w:w="3649" w:type="dxa"/>
            <w:tcBorders/>
            <w:vAlign w:val="bottom"/>
          </w:tcPr>
          <w:p>
            <w:pPr>
              <w:pStyle w:val="DMETW2940BIPOrganicNSRperUC"/>
              <w:widowControl w:val="false"/>
              <w:rPr>
                <w:color w:val="auto"/>
              </w:rPr>
            </w:pPr>
            <w:r>
              <w:rPr>
                <w:color w:val="auto"/>
              </w:rPr>
              <w:t>Συναλλαγματική επίδραση</w:t>
            </w:r>
          </w:p>
        </w:tc>
        <w:tc>
          <w:tcPr>
            <w:tcW w:w="1668" w:type="dxa"/>
            <w:tcBorders/>
            <w:vAlign w:val="bottom"/>
          </w:tcPr>
          <w:p>
            <w:pPr>
              <w:pStyle w:val="DMETW2940BIPOrganicNSRperUC"/>
              <w:widowControl w:val="false"/>
              <w:jc w:val="right"/>
              <w:rPr>
                <w:color w:val="auto"/>
              </w:rPr>
            </w:pPr>
            <w:r>
              <w:rPr>
                <w:color w:val="auto"/>
              </w:rPr>
              <w:t>0,01</w:t>
            </w:r>
          </w:p>
        </w:tc>
        <w:tc>
          <w:tcPr>
            <w:tcW w:w="1720" w:type="dxa"/>
            <w:tcBorders/>
            <w:vAlign w:val="bottom"/>
          </w:tcPr>
          <w:p>
            <w:pPr>
              <w:pStyle w:val="DMETW2940BIPOrganicNSRperUC"/>
              <w:widowControl w:val="false"/>
              <w:jc w:val="right"/>
              <w:rPr>
                <w:color w:val="auto"/>
              </w:rPr>
            </w:pPr>
            <w:r>
              <w:rPr>
                <w:color w:val="auto"/>
              </w:rPr>
              <w:t>0,10</w:t>
            </w:r>
          </w:p>
        </w:tc>
        <w:tc>
          <w:tcPr>
            <w:tcW w:w="1583" w:type="dxa"/>
            <w:tcBorders/>
            <w:vAlign w:val="bottom"/>
          </w:tcPr>
          <w:p>
            <w:pPr>
              <w:pStyle w:val="DMETW2940BIPOrganicNSRperUC"/>
              <w:widowControl w:val="false"/>
              <w:jc w:val="right"/>
              <w:rPr>
                <w:color w:val="auto"/>
              </w:rPr>
            </w:pPr>
            <w:r>
              <w:rPr>
                <w:color w:val="auto"/>
              </w:rPr>
              <w:t>0,04</w:t>
            </w:r>
          </w:p>
        </w:tc>
        <w:tc>
          <w:tcPr>
            <w:tcW w:w="1330" w:type="dxa"/>
            <w:tcBorders/>
            <w:vAlign w:val="bottom"/>
          </w:tcPr>
          <w:p>
            <w:pPr>
              <w:pStyle w:val="DMETW2940BIPOrganicNSRperUC"/>
              <w:widowControl w:val="false"/>
              <w:jc w:val="right"/>
              <w:rPr>
                <w:color w:val="auto"/>
              </w:rPr>
            </w:pPr>
            <w:r>
              <w:rPr>
                <w:color w:val="auto"/>
              </w:rPr>
              <w:t>0,04</w:t>
            </w:r>
          </w:p>
        </w:tc>
      </w:tr>
      <w:tr>
        <w:trPr>
          <w:trHeight w:val="283" w:hRule="atLeast"/>
        </w:trPr>
        <w:tc>
          <w:tcPr>
            <w:tcW w:w="3649" w:type="dxa"/>
            <w:tcBorders/>
            <w:vAlign w:val="bottom"/>
          </w:tcPr>
          <w:p>
            <w:pPr>
              <w:pStyle w:val="DMETW2940BIPOrganicNSRperUC"/>
              <w:widowControl w:val="false"/>
              <w:rPr>
                <w:b/>
                <w:bCs/>
                <w:color w:val="auto"/>
              </w:rPr>
            </w:pPr>
            <w:r>
              <w:rPr>
                <w:b/>
                <w:bCs/>
                <w:color w:val="auto"/>
              </w:rPr>
              <w:t>202</w:t>
            </w:r>
            <w:r>
              <w:rPr>
                <w:b/>
                <w:bCs/>
                <w:color w:val="auto"/>
                <w:lang w:val="el-GR"/>
              </w:rPr>
              <w:t>5</w:t>
            </w:r>
            <w:r>
              <w:rPr>
                <w:b/>
                <w:bCs/>
                <w:color w:val="auto"/>
              </w:rPr>
              <w:t xml:space="preserve"> προσαρμοσμένα μεγέθη</w:t>
            </w:r>
          </w:p>
        </w:tc>
        <w:tc>
          <w:tcPr>
            <w:tcW w:w="1668" w:type="dxa"/>
            <w:tcBorders/>
            <w:vAlign w:val="bottom"/>
          </w:tcPr>
          <w:p>
            <w:pPr>
              <w:pStyle w:val="DMETW2940BIPOrganicNSRperUC"/>
              <w:widowControl w:val="false"/>
              <w:jc w:val="right"/>
              <w:rPr>
                <w:b/>
                <w:color w:val="auto"/>
              </w:rPr>
            </w:pPr>
            <w:r>
              <w:rPr>
                <w:b/>
                <w:bCs/>
                <w:color w:val="auto"/>
              </w:rPr>
              <w:t>5,78</w:t>
            </w:r>
          </w:p>
        </w:tc>
        <w:tc>
          <w:tcPr>
            <w:tcW w:w="1720" w:type="dxa"/>
            <w:tcBorders/>
            <w:vAlign w:val="bottom"/>
          </w:tcPr>
          <w:p>
            <w:pPr>
              <w:pStyle w:val="DMETW2940BIPOrganicNSRperUC"/>
              <w:widowControl w:val="false"/>
              <w:jc w:val="right"/>
              <w:rPr>
                <w:b/>
                <w:color w:val="auto"/>
              </w:rPr>
            </w:pPr>
            <w:r>
              <w:rPr>
                <w:b/>
                <w:bCs/>
                <w:color w:val="auto"/>
              </w:rPr>
              <w:t>5,21</w:t>
            </w:r>
          </w:p>
        </w:tc>
        <w:tc>
          <w:tcPr>
            <w:tcW w:w="1583" w:type="dxa"/>
            <w:tcBorders/>
            <w:vAlign w:val="bottom"/>
          </w:tcPr>
          <w:p>
            <w:pPr>
              <w:pStyle w:val="DMETW2940BIPOrganicNSRperUC"/>
              <w:widowControl w:val="false"/>
              <w:jc w:val="right"/>
              <w:rPr>
                <w:b/>
                <w:color w:val="auto"/>
              </w:rPr>
            </w:pPr>
            <w:r>
              <w:rPr>
                <w:b/>
                <w:bCs/>
                <w:color w:val="auto"/>
              </w:rPr>
              <w:t>2,92</w:t>
            </w:r>
          </w:p>
        </w:tc>
        <w:tc>
          <w:tcPr>
            <w:tcW w:w="1330" w:type="dxa"/>
            <w:tcBorders/>
            <w:vAlign w:val="bottom"/>
          </w:tcPr>
          <w:p>
            <w:pPr>
              <w:pStyle w:val="DMETW2940BIPOrganicNSRperUC"/>
              <w:widowControl w:val="false"/>
              <w:jc w:val="right"/>
              <w:rPr>
                <w:b/>
                <w:color w:val="auto"/>
              </w:rPr>
            </w:pPr>
            <w:r>
              <w:rPr>
                <w:b/>
                <w:bCs/>
                <w:color w:val="auto"/>
              </w:rPr>
              <w:t>3,88</w:t>
            </w:r>
          </w:p>
        </w:tc>
      </w:tr>
      <w:tr>
        <w:trPr>
          <w:trHeight w:val="283" w:hRule="atLeast"/>
        </w:trPr>
        <w:tc>
          <w:tcPr>
            <w:tcW w:w="3649" w:type="dxa"/>
            <w:tcBorders/>
            <w:vAlign w:val="bottom"/>
          </w:tcPr>
          <w:p>
            <w:pPr>
              <w:pStyle w:val="DMETW2052BIPOrganicNSRperUC"/>
              <w:widowControl w:val="false"/>
              <w:rPr>
                <w:color w:val="auto"/>
                <w:lang w:val="el-GR"/>
              </w:rPr>
            </w:pPr>
            <w:r>
              <w:rPr>
                <w:color w:val="auto"/>
                <w:lang w:val="el-GR"/>
              </w:rPr>
              <w:t xml:space="preserve">Αντίκτυπος μεταβολών στην περίμετρο </w:t>
            </w:r>
          </w:p>
          <w:p>
            <w:pPr>
              <w:pStyle w:val="DMETW2940BIPOrganicNSRperUC"/>
              <w:widowControl w:val="false"/>
              <w:rPr>
                <w:color w:val="auto"/>
                <w:lang w:val="el-GR"/>
              </w:rPr>
            </w:pPr>
            <w:r>
              <w:rPr>
                <w:color w:val="auto"/>
                <w:lang w:val="el-GR"/>
              </w:rPr>
              <w:t>ενοποίησης</w:t>
            </w:r>
          </w:p>
        </w:tc>
        <w:tc>
          <w:tcPr>
            <w:tcW w:w="1668" w:type="dxa"/>
            <w:tcBorders/>
            <w:vAlign w:val="bottom"/>
          </w:tcPr>
          <w:p>
            <w:pPr>
              <w:pStyle w:val="DMETW2940BIPOrganicNSRperUC"/>
              <w:widowControl w:val="false"/>
              <w:jc w:val="right"/>
              <w:rPr>
                <w:color w:val="auto"/>
              </w:rPr>
            </w:pPr>
            <w:r>
              <w:rPr>
                <w:color w:val="auto"/>
              </w:rPr>
              <w:t>0,01</w:t>
            </w:r>
          </w:p>
        </w:tc>
        <w:tc>
          <w:tcPr>
            <w:tcW w:w="1720" w:type="dxa"/>
            <w:tcBorders/>
            <w:vAlign w:val="bottom"/>
          </w:tcPr>
          <w:p>
            <w:pPr>
              <w:pStyle w:val="DMETW2940BIPOrganicNSRperUC"/>
              <w:widowControl w:val="false"/>
              <w:jc w:val="right"/>
              <w:rPr>
                <w:color w:val="auto"/>
              </w:rPr>
            </w:pPr>
            <w:r>
              <w:rPr>
                <w:color w:val="auto"/>
              </w:rPr>
              <w:t>—</w:t>
            </w:r>
          </w:p>
        </w:tc>
        <w:tc>
          <w:tcPr>
            <w:tcW w:w="1583" w:type="dxa"/>
            <w:tcBorders/>
            <w:vAlign w:val="bottom"/>
          </w:tcPr>
          <w:p>
            <w:pPr>
              <w:pStyle w:val="DMETW2940BIPOrganicNSRperUC"/>
              <w:widowControl w:val="false"/>
              <w:jc w:val="right"/>
              <w:rPr>
                <w:color w:val="auto"/>
              </w:rPr>
            </w:pPr>
            <w:r>
              <w:rPr>
                <w:color w:val="auto"/>
              </w:rPr>
              <w:t>—</w:t>
            </w:r>
          </w:p>
        </w:tc>
        <w:tc>
          <w:tcPr>
            <w:tcW w:w="1330" w:type="dxa"/>
            <w:tcBorders/>
            <w:vAlign w:val="bottom"/>
          </w:tcPr>
          <w:p>
            <w:pPr>
              <w:pStyle w:val="DMETW2940BIPOrganicNSRperUC"/>
              <w:widowControl w:val="false"/>
              <w:jc w:val="right"/>
              <w:rPr>
                <w:color w:val="auto"/>
              </w:rPr>
            </w:pPr>
            <w:r>
              <w:rPr>
                <w:color w:val="auto"/>
              </w:rPr>
              <w:t>—</w:t>
            </w:r>
          </w:p>
        </w:tc>
      </w:tr>
      <w:tr>
        <w:trPr>
          <w:trHeight w:val="283" w:hRule="atLeast"/>
        </w:trPr>
        <w:tc>
          <w:tcPr>
            <w:tcW w:w="3649" w:type="dxa"/>
            <w:tcBorders/>
            <w:vAlign w:val="bottom"/>
          </w:tcPr>
          <w:p>
            <w:pPr>
              <w:pStyle w:val="DMETW2940BIPOrganicNSRperUC"/>
              <w:widowControl w:val="false"/>
              <w:rPr>
                <w:b/>
                <w:bCs/>
                <w:color w:val="auto"/>
              </w:rPr>
            </w:pPr>
            <w:r>
              <w:rPr>
                <w:b/>
                <w:bCs/>
                <w:color w:val="auto"/>
              </w:rPr>
              <w:t>Οργανική μεταβολή</w:t>
            </w:r>
          </w:p>
        </w:tc>
        <w:tc>
          <w:tcPr>
            <w:tcW w:w="1668" w:type="dxa"/>
            <w:tcBorders>
              <w:bottom w:val="single" w:sz="4" w:space="0" w:color="000000"/>
            </w:tcBorders>
            <w:vAlign w:val="bottom"/>
          </w:tcPr>
          <w:p>
            <w:pPr>
              <w:pStyle w:val="DMETW2940BIPOrganicNSRperUC"/>
              <w:widowControl w:val="false"/>
              <w:jc w:val="right"/>
              <w:rPr>
                <w:b/>
                <w:color w:val="auto"/>
              </w:rPr>
            </w:pPr>
            <w:r>
              <w:rPr>
                <w:b/>
                <w:bCs/>
                <w:color w:val="auto"/>
              </w:rPr>
              <w:t xml:space="preserve">0,08 </w:t>
            </w:r>
          </w:p>
        </w:tc>
        <w:tc>
          <w:tcPr>
            <w:tcW w:w="1720" w:type="dxa"/>
            <w:tcBorders>
              <w:bottom w:val="single" w:sz="4" w:space="0" w:color="000000"/>
            </w:tcBorders>
            <w:vAlign w:val="bottom"/>
          </w:tcPr>
          <w:p>
            <w:pPr>
              <w:pStyle w:val="DMETW2940BIPOrganicNSRperUC"/>
              <w:widowControl w:val="false"/>
              <w:jc w:val="right"/>
              <w:rPr>
                <w:b/>
                <w:color w:val="auto"/>
              </w:rPr>
            </w:pPr>
            <w:r>
              <w:rPr>
                <w:b/>
                <w:bCs/>
                <w:color w:val="auto"/>
              </w:rPr>
              <w:t xml:space="preserve">0,18 </w:t>
            </w:r>
          </w:p>
        </w:tc>
        <w:tc>
          <w:tcPr>
            <w:tcW w:w="1583" w:type="dxa"/>
            <w:tcBorders>
              <w:bottom w:val="single" w:sz="4" w:space="0" w:color="000000"/>
            </w:tcBorders>
            <w:vAlign w:val="bottom"/>
          </w:tcPr>
          <w:p>
            <w:pPr>
              <w:pStyle w:val="DMETW2940BIPOrganicNSRperUC"/>
              <w:widowControl w:val="false"/>
              <w:jc w:val="right"/>
              <w:rPr>
                <w:b/>
                <w:color w:val="auto"/>
              </w:rPr>
            </w:pPr>
            <w:r>
              <w:rPr>
                <w:b/>
                <w:bCs/>
                <w:color w:val="auto"/>
              </w:rPr>
              <w:t xml:space="preserve">0,08 </w:t>
            </w:r>
          </w:p>
        </w:tc>
        <w:tc>
          <w:tcPr>
            <w:tcW w:w="1330" w:type="dxa"/>
            <w:tcBorders>
              <w:bottom w:val="single" w:sz="4" w:space="0" w:color="000000"/>
            </w:tcBorders>
            <w:vAlign w:val="bottom"/>
          </w:tcPr>
          <w:p>
            <w:pPr>
              <w:pStyle w:val="DMETW2940BIPOrganicNSRperUC"/>
              <w:widowControl w:val="false"/>
              <w:jc w:val="right"/>
              <w:rPr>
                <w:b/>
                <w:color w:val="auto"/>
              </w:rPr>
            </w:pPr>
            <w:r>
              <w:rPr>
                <w:b/>
                <w:bCs/>
                <w:color w:val="auto"/>
              </w:rPr>
              <w:t>0,07</w:t>
            </w:r>
          </w:p>
        </w:tc>
      </w:tr>
      <w:tr>
        <w:trPr>
          <w:trHeight w:val="283" w:hRule="atLeast"/>
        </w:trPr>
        <w:tc>
          <w:tcPr>
            <w:tcW w:w="3649" w:type="dxa"/>
            <w:tcBorders/>
            <w:vAlign w:val="bottom"/>
          </w:tcPr>
          <w:p>
            <w:pPr>
              <w:pStyle w:val="DMETW2940BIPOrganicNSRperUC"/>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5,86</w:t>
            </w:r>
          </w:p>
        </w:tc>
        <w:tc>
          <w:tcPr>
            <w:tcW w:w="1720"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5,39</w:t>
            </w:r>
          </w:p>
        </w:tc>
        <w:tc>
          <w:tcPr>
            <w:tcW w:w="1583"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3,00</w:t>
            </w:r>
          </w:p>
        </w:tc>
        <w:tc>
          <w:tcPr>
            <w:tcW w:w="1330"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3,96</w:t>
            </w:r>
          </w:p>
        </w:tc>
      </w:tr>
      <w:tr>
        <w:trPr>
          <w:trHeight w:val="20" w:hRule="atLeast"/>
        </w:trPr>
        <w:tc>
          <w:tcPr>
            <w:tcW w:w="3649" w:type="dxa"/>
            <w:tcBorders/>
            <w:vAlign w:val="bottom"/>
          </w:tcPr>
          <w:p>
            <w:pPr>
              <w:pStyle w:val="DMETW2940BIPOrganicNSRperUC"/>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NSRperUC"/>
              <w:widowControl w:val="false"/>
              <w:jc w:val="right"/>
              <w:rPr>
                <w:b/>
                <w:color w:val="auto"/>
              </w:rPr>
            </w:pPr>
            <w:r>
              <w:rPr>
                <w:b/>
                <w:color w:val="auto"/>
              </w:rPr>
            </w:r>
          </w:p>
        </w:tc>
      </w:tr>
      <w:tr>
        <w:trPr>
          <w:trHeight w:val="283" w:hRule="atLeast"/>
        </w:trPr>
        <w:tc>
          <w:tcPr>
            <w:tcW w:w="3649" w:type="dxa"/>
            <w:tcBorders/>
            <w:vAlign w:val="bottom"/>
          </w:tcPr>
          <w:p>
            <w:pPr>
              <w:pStyle w:val="DMETW2940BIPOrganicNSRperUC"/>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1,3%</w:t>
            </w:r>
          </w:p>
        </w:tc>
        <w:tc>
          <w:tcPr>
            <w:tcW w:w="1720"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3,5%</w:t>
            </w:r>
          </w:p>
        </w:tc>
        <w:tc>
          <w:tcPr>
            <w:tcW w:w="1583"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2,8%</w:t>
            </w:r>
          </w:p>
        </w:tc>
        <w:tc>
          <w:tcPr>
            <w:tcW w:w="1330"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1,9%</w:t>
            </w:r>
          </w:p>
        </w:tc>
      </w:tr>
    </w:tbl>
    <w:p>
      <w:pPr>
        <w:pStyle w:val="DMETW2940BIPOrganicVolume"/>
        <w:rPr>
          <w:rFonts w:cs="Arial"/>
          <w:b/>
          <w:color w:val="auto"/>
          <w:sz w:val="12"/>
          <w:szCs w:val="12"/>
        </w:rPr>
      </w:pPr>
      <w:r>
        <w:rPr>
          <w:rFonts w:cs="Arial"/>
          <w:b/>
          <w:color w:val="auto"/>
          <w:sz w:val="12"/>
          <w:szCs w:val="12"/>
        </w:rPr>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bottom"/>
          </w:tcPr>
          <w:p>
            <w:pPr>
              <w:pStyle w:val="DMETW2940BIPOrganicVolume"/>
              <w:widowControl w:val="false"/>
              <w:rPr>
                <w:color w:val="auto"/>
              </w:rPr>
            </w:pPr>
            <w:r>
              <w:rPr>
                <w:color w:val="auto"/>
              </w:rPr>
            </w:r>
          </w:p>
          <w:p>
            <w:pPr>
              <w:pStyle w:val="DMETW2940BIPOrganicVolume"/>
              <w:widowControl w:val="false"/>
              <w:rPr>
                <w:color w:val="auto"/>
              </w:rPr>
            </w:pPr>
            <w:r>
              <w:rPr>
                <w:color w:val="auto"/>
              </w:rPr>
            </w:r>
          </w:p>
        </w:tc>
        <w:tc>
          <w:tcPr>
            <w:tcW w:w="6301" w:type="dxa"/>
            <w:gridSpan w:val="4"/>
            <w:tcBorders/>
            <w:shd w:color="auto" w:fill="BFBFBF" w:val="clear"/>
            <w:vAlign w:val="bottom"/>
          </w:tcPr>
          <w:p>
            <w:pPr>
              <w:pStyle w:val="DMETW2940BIPOrganicVolume"/>
              <w:widowControl w:val="false"/>
              <w:jc w:val="center"/>
              <w:rPr>
                <w:b/>
                <w:color w:val="auto"/>
                <w:lang w:val="el-GR"/>
              </w:rPr>
            </w:pPr>
            <w:r>
              <w:rPr>
                <w:b/>
                <w:color w:val="auto"/>
                <w:lang w:val="en-GB"/>
              </w:rPr>
              <w:t>B</w:t>
            </w:r>
            <w:r>
              <w:rPr>
                <w:b/>
                <w:color w:val="auto"/>
                <w:lang w:val="el-GR"/>
              </w:rPr>
              <w:t xml:space="preserve">’ Τρίμηνο </w:t>
            </w:r>
            <w:r>
              <w:rPr>
                <w:b/>
                <w:color w:val="auto"/>
              </w:rPr>
              <w:t>202</w:t>
            </w:r>
            <w:r>
              <w:rPr>
                <w:b/>
                <w:color w:val="auto"/>
                <w:lang w:val="el-GR"/>
              </w:rPr>
              <w:t>6</w:t>
            </w:r>
          </w:p>
        </w:tc>
      </w:tr>
      <w:tr>
        <w:trPr>
          <w:trHeight w:val="556" w:hRule="exact"/>
        </w:trPr>
        <w:tc>
          <w:tcPr>
            <w:tcW w:w="3649" w:type="dxa"/>
            <w:tcBorders/>
            <w:vAlign w:val="bottom"/>
          </w:tcPr>
          <w:p>
            <w:pPr>
              <w:pStyle w:val="DMETW2940BIPOrganicVolume"/>
              <w:widowControl w:val="false"/>
              <w:rPr>
                <w:b/>
                <w:color w:val="auto"/>
              </w:rPr>
            </w:pPr>
            <w:r>
              <w:rPr>
                <w:b/>
                <w:color w:val="auto"/>
              </w:rPr>
              <w:t>Όγκος πωλήσεων (εκατ. κιβώτια)</w:t>
            </w:r>
          </w:p>
        </w:tc>
        <w:tc>
          <w:tcPr>
            <w:tcW w:w="1668" w:type="dxa"/>
            <w:tcBorders/>
            <w:shd w:color="auto" w:fill="BFBFBF" w:val="clear"/>
            <w:vAlign w:val="bottom"/>
          </w:tcPr>
          <w:p>
            <w:pPr>
              <w:pStyle w:val="DMETW2940BIPOrganicVolume"/>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Volume"/>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Volume"/>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Volume"/>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Volume"/>
              <w:widowControl w:val="false"/>
              <w:rPr>
                <w:b/>
                <w:color w:val="auto"/>
              </w:rPr>
            </w:pPr>
            <w:r>
              <w:rPr>
                <w:b/>
                <w:bCs/>
                <w:color w:val="auto"/>
              </w:rPr>
              <w:t>202</w:t>
            </w:r>
            <w:r>
              <w:rPr>
                <w:b/>
                <w:bCs/>
                <w:color w:val="auto"/>
                <w:lang w:val="el-GR"/>
              </w:rPr>
              <w:t>5</w:t>
            </w:r>
            <w:r>
              <w:rPr>
                <w:b/>
                <w:bCs/>
                <w:color w:val="auto"/>
              </w:rPr>
              <w:t xml:space="preserve"> δημοσιευμένα μεγέθη</w:t>
            </w:r>
          </w:p>
        </w:tc>
        <w:tc>
          <w:tcPr>
            <w:tcW w:w="1668" w:type="dxa"/>
            <w:tcBorders/>
            <w:vAlign w:val="bottom"/>
          </w:tcPr>
          <w:p>
            <w:pPr>
              <w:pStyle w:val="DMETW2940BIPOrganicVolume"/>
              <w:widowControl w:val="false"/>
              <w:jc w:val="right"/>
              <w:rPr>
                <w:b/>
                <w:color w:val="auto"/>
                <w:lang w:val="el-GR"/>
              </w:rPr>
            </w:pPr>
            <w:r>
              <w:rPr>
                <w:b/>
                <w:bCs/>
                <w:color w:val="auto"/>
              </w:rPr>
              <w:t>174,8</w:t>
            </w:r>
          </w:p>
        </w:tc>
        <w:tc>
          <w:tcPr>
            <w:tcW w:w="1720" w:type="dxa"/>
            <w:tcBorders/>
            <w:vAlign w:val="bottom"/>
          </w:tcPr>
          <w:p>
            <w:pPr>
              <w:pStyle w:val="DMETW2940BIPOrganicVolume"/>
              <w:widowControl w:val="false"/>
              <w:jc w:val="right"/>
              <w:rPr>
                <w:b/>
                <w:color w:val="auto"/>
              </w:rPr>
            </w:pPr>
            <w:r>
              <w:rPr>
                <w:b/>
                <w:bCs/>
                <w:color w:val="auto"/>
              </w:rPr>
              <w:t>132,4</w:t>
            </w:r>
          </w:p>
        </w:tc>
        <w:tc>
          <w:tcPr>
            <w:tcW w:w="1583" w:type="dxa"/>
            <w:tcBorders/>
            <w:vAlign w:val="bottom"/>
          </w:tcPr>
          <w:p>
            <w:pPr>
              <w:pStyle w:val="DMETW2940BIPOrganicVolume"/>
              <w:widowControl w:val="false"/>
              <w:jc w:val="right"/>
              <w:rPr>
                <w:b/>
                <w:color w:val="auto"/>
              </w:rPr>
            </w:pPr>
            <w:r>
              <w:rPr>
                <w:b/>
                <w:bCs/>
                <w:color w:val="auto"/>
              </w:rPr>
              <w:t>512,4</w:t>
            </w:r>
          </w:p>
        </w:tc>
        <w:tc>
          <w:tcPr>
            <w:tcW w:w="1330" w:type="dxa"/>
            <w:tcBorders/>
            <w:vAlign w:val="bottom"/>
          </w:tcPr>
          <w:p>
            <w:pPr>
              <w:pStyle w:val="DMETW2940BIPOrganicVolume"/>
              <w:widowControl w:val="false"/>
              <w:jc w:val="right"/>
              <w:rPr>
                <w:b/>
                <w:color w:val="auto"/>
              </w:rPr>
            </w:pPr>
            <w:r>
              <w:rPr>
                <w:b/>
                <w:bCs/>
                <w:color w:val="auto"/>
              </w:rPr>
              <w:t>819,6</w:t>
            </w:r>
          </w:p>
        </w:tc>
      </w:tr>
      <w:tr>
        <w:trPr>
          <w:trHeight w:val="283" w:hRule="atLeast"/>
        </w:trPr>
        <w:tc>
          <w:tcPr>
            <w:tcW w:w="3649" w:type="dxa"/>
            <w:tcBorders/>
            <w:vAlign w:val="bottom"/>
          </w:tcPr>
          <w:p>
            <w:pPr>
              <w:pStyle w:val="DMETW2052BIPOrganicVolume"/>
              <w:widowControl w:val="false"/>
              <w:ind w:left="26" w:hanging="0"/>
              <w:rPr>
                <w:color w:val="auto"/>
                <w:lang w:val="el-GR"/>
              </w:rPr>
            </w:pPr>
            <w:r>
              <w:rPr>
                <w:color w:val="auto"/>
                <w:lang w:val="el-GR"/>
              </w:rPr>
              <w:t xml:space="preserve">Αντίκτυπος μεταβολών στην περίμετρο </w:t>
            </w:r>
          </w:p>
          <w:p>
            <w:pPr>
              <w:pStyle w:val="DMETW2940BIPOrganicVolume"/>
              <w:widowControl w:val="false"/>
              <w:rPr>
                <w:color w:val="auto"/>
                <w:lang w:val="el-GR"/>
              </w:rPr>
            </w:pPr>
            <w:r>
              <w:rPr>
                <w:color w:val="auto"/>
                <w:lang w:val="el-GR"/>
              </w:rPr>
              <w:t>ενοποίησης</w:t>
            </w:r>
          </w:p>
        </w:tc>
        <w:tc>
          <w:tcPr>
            <w:tcW w:w="1668" w:type="dxa"/>
            <w:tcBorders/>
            <w:vAlign w:val="bottom"/>
          </w:tcPr>
          <w:p>
            <w:pPr>
              <w:pStyle w:val="DMETW2940BIPOrganicVolume"/>
              <w:widowControl w:val="false"/>
              <w:jc w:val="right"/>
              <w:rPr>
                <w:color w:val="auto"/>
              </w:rPr>
            </w:pPr>
            <w:r>
              <w:rPr>
                <w:color w:val="auto"/>
              </w:rPr>
              <w:t>—</w:t>
            </w:r>
          </w:p>
        </w:tc>
        <w:tc>
          <w:tcPr>
            <w:tcW w:w="1720" w:type="dxa"/>
            <w:tcBorders/>
            <w:vAlign w:val="bottom"/>
          </w:tcPr>
          <w:p>
            <w:pPr>
              <w:pStyle w:val="DMETW2940BIPOrganicVolume"/>
              <w:widowControl w:val="false"/>
              <w:jc w:val="right"/>
              <w:rPr>
                <w:color w:val="auto"/>
              </w:rPr>
            </w:pPr>
            <w:r>
              <w:rPr>
                <w:color w:val="auto"/>
              </w:rPr>
              <w:t>—</w:t>
            </w:r>
          </w:p>
        </w:tc>
        <w:tc>
          <w:tcPr>
            <w:tcW w:w="1583" w:type="dxa"/>
            <w:tcBorders/>
            <w:vAlign w:val="bottom"/>
          </w:tcPr>
          <w:p>
            <w:pPr>
              <w:pStyle w:val="DMETW2940BIPOrganicVolume"/>
              <w:widowControl w:val="false"/>
              <w:jc w:val="right"/>
              <w:rPr>
                <w:color w:val="auto"/>
              </w:rPr>
            </w:pPr>
            <w:r>
              <w:rPr>
                <w:color w:val="auto"/>
              </w:rPr>
              <w:t>—</w:t>
            </w:r>
          </w:p>
        </w:tc>
        <w:tc>
          <w:tcPr>
            <w:tcW w:w="1330" w:type="dxa"/>
            <w:tcBorders/>
            <w:vAlign w:val="bottom"/>
          </w:tcPr>
          <w:p>
            <w:pPr>
              <w:pStyle w:val="DMETW2940BIPOrganicVolume"/>
              <w:widowControl w:val="false"/>
              <w:jc w:val="right"/>
              <w:rPr>
                <w:color w:val="auto"/>
              </w:rPr>
            </w:pPr>
            <w:r>
              <w:rPr>
                <w:color w:val="auto"/>
              </w:rPr>
              <w:t>—</w:t>
            </w:r>
          </w:p>
        </w:tc>
      </w:tr>
      <w:tr>
        <w:trPr>
          <w:trHeight w:val="283" w:hRule="atLeast"/>
        </w:trPr>
        <w:tc>
          <w:tcPr>
            <w:tcW w:w="3649" w:type="dxa"/>
            <w:tcBorders/>
            <w:vAlign w:val="bottom"/>
          </w:tcPr>
          <w:p>
            <w:pPr>
              <w:pStyle w:val="DMETW2940BIPOrganicVolume"/>
              <w:widowControl w:val="false"/>
              <w:rPr>
                <w:b/>
                <w:bCs/>
                <w:color w:val="auto"/>
              </w:rPr>
            </w:pPr>
            <w:r>
              <w:rPr>
                <w:b/>
                <w:bCs/>
                <w:color w:val="auto"/>
              </w:rPr>
              <w:t xml:space="preserve">Οργανική μεταβολή </w:t>
            </w:r>
          </w:p>
        </w:tc>
        <w:tc>
          <w:tcPr>
            <w:tcW w:w="1668" w:type="dxa"/>
            <w:tcBorders>
              <w:bottom w:val="single" w:sz="4" w:space="0" w:color="000000"/>
            </w:tcBorders>
            <w:vAlign w:val="bottom"/>
          </w:tcPr>
          <w:p>
            <w:pPr>
              <w:pStyle w:val="DMETW2940BIPOrganicVolume"/>
              <w:widowControl w:val="false"/>
              <w:jc w:val="right"/>
              <w:rPr>
                <w:b/>
                <w:color w:val="auto"/>
              </w:rPr>
            </w:pPr>
            <w:r>
              <w:rPr>
                <w:b/>
                <w:bCs/>
                <w:color w:val="auto"/>
              </w:rPr>
              <w:t xml:space="preserve"> </w:t>
            </w:r>
            <w:r>
              <w:rPr>
                <w:b/>
                <w:bCs/>
                <w:color w:val="auto"/>
              </w:rPr>
              <w:t xml:space="preserve">5,9 </w:t>
            </w:r>
          </w:p>
        </w:tc>
        <w:tc>
          <w:tcPr>
            <w:tcW w:w="1720" w:type="dxa"/>
            <w:tcBorders>
              <w:bottom w:val="single" w:sz="4" w:space="0" w:color="000000"/>
            </w:tcBorders>
            <w:vAlign w:val="bottom"/>
          </w:tcPr>
          <w:p>
            <w:pPr>
              <w:pStyle w:val="DMETW2940BIPOrganicVolume"/>
              <w:widowControl w:val="false"/>
              <w:jc w:val="right"/>
              <w:rPr>
                <w:b/>
                <w:color w:val="auto"/>
              </w:rPr>
            </w:pPr>
            <w:r>
              <w:rPr>
                <w:b/>
                <w:bCs/>
                <w:color w:val="auto"/>
              </w:rPr>
              <w:t xml:space="preserve"> </w:t>
            </w:r>
            <w:r>
              <w:rPr>
                <w:b/>
                <w:bCs/>
                <w:color w:val="auto"/>
              </w:rPr>
              <w:t xml:space="preserve">4,9 </w:t>
            </w:r>
          </w:p>
        </w:tc>
        <w:tc>
          <w:tcPr>
            <w:tcW w:w="1583" w:type="dxa"/>
            <w:tcBorders>
              <w:bottom w:val="single" w:sz="4" w:space="0" w:color="000000"/>
            </w:tcBorders>
            <w:vAlign w:val="bottom"/>
          </w:tcPr>
          <w:p>
            <w:pPr>
              <w:pStyle w:val="DMETW2940BIPOrganicVolume"/>
              <w:widowControl w:val="false"/>
              <w:jc w:val="right"/>
              <w:rPr>
                <w:b/>
                <w:color w:val="auto"/>
              </w:rPr>
            </w:pPr>
            <w:r>
              <w:rPr>
                <w:b/>
                <w:bCs/>
                <w:color w:val="auto"/>
              </w:rPr>
              <w:t xml:space="preserve"> </w:t>
            </w:r>
            <w:r>
              <w:rPr>
                <w:b/>
                <w:bCs/>
                <w:color w:val="auto"/>
              </w:rPr>
              <w:t xml:space="preserve">37,1 </w:t>
            </w:r>
          </w:p>
        </w:tc>
        <w:tc>
          <w:tcPr>
            <w:tcW w:w="1330" w:type="dxa"/>
            <w:tcBorders>
              <w:bottom w:val="single" w:sz="4" w:space="0" w:color="000000"/>
            </w:tcBorders>
            <w:vAlign w:val="bottom"/>
          </w:tcPr>
          <w:p>
            <w:pPr>
              <w:pStyle w:val="DMETW2940BIPOrganicVolume"/>
              <w:widowControl w:val="false"/>
              <w:jc w:val="right"/>
              <w:rPr>
                <w:b/>
                <w:color w:val="auto"/>
              </w:rPr>
            </w:pPr>
            <w:r>
              <w:rPr>
                <w:b/>
                <w:bCs/>
                <w:color w:val="auto"/>
              </w:rPr>
              <w:t>47,9</w:t>
            </w:r>
          </w:p>
        </w:tc>
      </w:tr>
      <w:tr>
        <w:trPr>
          <w:trHeight w:val="283" w:hRule="atLeast"/>
        </w:trPr>
        <w:tc>
          <w:tcPr>
            <w:tcW w:w="3649" w:type="dxa"/>
            <w:tcBorders/>
            <w:vAlign w:val="bottom"/>
          </w:tcPr>
          <w:p>
            <w:pPr>
              <w:pStyle w:val="DMETW2940BIPOrganicVolume"/>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180,7</w:t>
            </w:r>
          </w:p>
        </w:tc>
        <w:tc>
          <w:tcPr>
            <w:tcW w:w="172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137,3</w:t>
            </w:r>
          </w:p>
        </w:tc>
        <w:tc>
          <w:tcPr>
            <w:tcW w:w="1583"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549,5</w:t>
            </w:r>
          </w:p>
        </w:tc>
        <w:tc>
          <w:tcPr>
            <w:tcW w:w="133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t>867,5</w:t>
            </w:r>
          </w:p>
        </w:tc>
      </w:tr>
      <w:tr>
        <w:trPr>
          <w:trHeight w:val="68" w:hRule="atLeast"/>
        </w:trPr>
        <w:tc>
          <w:tcPr>
            <w:tcW w:w="3649" w:type="dxa"/>
            <w:tcBorders/>
            <w:vAlign w:val="bottom"/>
          </w:tcPr>
          <w:p>
            <w:pPr>
              <w:pStyle w:val="DMETW2940BIPOrganicVolume"/>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Volume"/>
              <w:widowControl w:val="false"/>
              <w:jc w:val="right"/>
              <w:rPr>
                <w:color w:val="auto"/>
              </w:rPr>
            </w:pPr>
            <w:r>
              <w:rPr>
                <w:color w:val="auto"/>
              </w:rPr>
            </w:r>
          </w:p>
        </w:tc>
      </w:tr>
      <w:tr>
        <w:trPr>
          <w:trHeight w:val="283" w:hRule="atLeast"/>
        </w:trPr>
        <w:tc>
          <w:tcPr>
            <w:tcW w:w="3649" w:type="dxa"/>
            <w:tcBorders/>
            <w:vAlign w:val="bottom"/>
          </w:tcPr>
          <w:p>
            <w:pPr>
              <w:pStyle w:val="DMETW2940BIPOrganicVolume"/>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DMETW2940BIPOrganicVolume"/>
              <w:widowControl w:val="false"/>
              <w:jc w:val="right"/>
              <w:rPr>
                <w:b/>
                <w:bCs/>
                <w:color w:val="auto"/>
              </w:rPr>
            </w:pPr>
            <w:r>
              <w:rPr>
                <w:b/>
                <w:bCs/>
                <w:color w:val="auto"/>
              </w:rPr>
              <w:t>3,4%</w:t>
            </w:r>
          </w:p>
        </w:tc>
        <w:tc>
          <w:tcPr>
            <w:tcW w:w="1720" w:type="dxa"/>
            <w:tcBorders>
              <w:top w:val="single" w:sz="4" w:space="0" w:color="000000"/>
              <w:bottom w:val="single" w:sz="4" w:space="0" w:color="000000"/>
            </w:tcBorders>
            <w:vAlign w:val="bottom"/>
          </w:tcPr>
          <w:p>
            <w:pPr>
              <w:pStyle w:val="DMETW2940BIPOrganicVolume"/>
              <w:widowControl w:val="false"/>
              <w:jc w:val="right"/>
              <w:rPr>
                <w:b/>
                <w:color w:val="auto"/>
              </w:rPr>
            </w:pPr>
            <w:r>
              <w:rPr>
                <w:b/>
                <w:bCs/>
                <w:color w:val="auto"/>
              </w:rPr>
              <w:t>3,7%</w:t>
            </w:r>
          </w:p>
        </w:tc>
        <w:tc>
          <w:tcPr>
            <w:tcW w:w="1583" w:type="dxa"/>
            <w:tcBorders>
              <w:top w:val="single" w:sz="4" w:space="0" w:color="000000"/>
              <w:bottom w:val="single" w:sz="4" w:space="0" w:color="000000"/>
            </w:tcBorders>
            <w:vAlign w:val="bottom"/>
          </w:tcPr>
          <w:p>
            <w:pPr>
              <w:pStyle w:val="DMETW2940BIPOrganicVolume"/>
              <w:widowControl w:val="false"/>
              <w:jc w:val="right"/>
              <w:rPr>
                <w:b/>
                <w:color w:val="auto"/>
              </w:rPr>
            </w:pPr>
            <w:r>
              <w:rPr>
                <w:b/>
                <w:bCs/>
                <w:color w:val="auto"/>
              </w:rPr>
              <w:t>7,2%</w:t>
            </w:r>
          </w:p>
        </w:tc>
        <w:tc>
          <w:tcPr>
            <w:tcW w:w="1330" w:type="dxa"/>
            <w:tcBorders>
              <w:top w:val="single" w:sz="4" w:space="0" w:color="000000"/>
              <w:bottom w:val="single" w:sz="4" w:space="0" w:color="000000"/>
            </w:tcBorders>
            <w:vAlign w:val="bottom"/>
          </w:tcPr>
          <w:p>
            <w:pPr>
              <w:pStyle w:val="DMETW2940BIPOrganicVolume"/>
              <w:widowControl w:val="false"/>
              <w:jc w:val="right"/>
              <w:rPr>
                <w:b/>
                <w:color w:val="auto"/>
              </w:rPr>
            </w:pPr>
            <w:r>
              <w:rPr>
                <w:b/>
                <w:bCs/>
                <w:color w:val="auto"/>
              </w:rPr>
              <w:t>5,8%</w:t>
            </w:r>
          </w:p>
        </w:tc>
      </w:tr>
    </w:tbl>
    <w:p>
      <w:pPr>
        <w:pStyle w:val="Normal"/>
        <w:rPr>
          <w:lang w:val="el-GR"/>
        </w:rPr>
      </w:pPr>
      <w:r>
        <w:rPr>
          <w:lang w:val="el-GR"/>
        </w:rPr>
      </w:r>
      <w:r>
        <w:br w:type="page"/>
      </w:r>
    </w:p>
    <w:p>
      <w:pPr>
        <w:pStyle w:val="BodyText3"/>
        <w:shd w:val="clear" w:color="auto" w:fill="BFBFBF"/>
        <w:spacing w:before="0" w:after="120"/>
        <w:ind w:right="-37" w:hanging="0"/>
        <w:rPr>
          <w:rFonts w:ascii="Effra Corp" w:hAnsi="Effra Corp" w:cs="Arial"/>
          <w:spacing w:val="-2"/>
          <w:sz w:val="21"/>
          <w:szCs w:val="21"/>
          <w:lang w:val="el-GR"/>
        </w:rPr>
      </w:pPr>
      <w:r>
        <w:rPr>
          <w:rFonts w:cs="Arial" w:ascii="Effra Corp" w:hAnsi="Effra Corp"/>
          <w:b/>
          <w:sz w:val="21"/>
          <w:szCs w:val="21"/>
          <w:lang w:val="el-GR"/>
        </w:rPr>
        <w:t>Ορισμοί και συμφωνίες Εναλλακτικών δεικτών μέτρησης απόδοσης («ΕΔΜΑ») (συνέχεια)</w:t>
      </w:r>
    </w:p>
    <w:p>
      <w:pPr>
        <w:pStyle w:val="ListParagraph"/>
        <w:numPr>
          <w:ilvl w:val="0"/>
          <w:numId w:val="18"/>
        </w:numPr>
        <w:spacing w:before="0" w:after="120"/>
        <w:ind w:left="425" w:hanging="425"/>
        <w:contextualSpacing/>
        <w:rPr>
          <w:rFonts w:ascii="Effra Corp" w:hAnsi="Effra Corp" w:cs="Arial"/>
          <w:b/>
          <w:spacing w:val="-2"/>
          <w:sz w:val="21"/>
          <w:szCs w:val="21"/>
        </w:rPr>
      </w:pPr>
      <w:r>
        <w:rPr>
          <w:rFonts w:cs="Arial" w:ascii="Effra Corp" w:hAnsi="Effra Corp"/>
          <w:b/>
          <w:spacing w:val="-2"/>
          <w:sz w:val="21"/>
          <w:szCs w:val="21"/>
          <w:lang w:val="el-GR"/>
        </w:rPr>
        <w:t>Ο</w:t>
      </w:r>
      <w:r>
        <w:rPr>
          <w:rFonts w:cs="Arial" w:ascii="Effra Corp" w:hAnsi="Effra Corp"/>
          <w:b/>
          <w:spacing w:val="-2"/>
          <w:sz w:val="21"/>
          <w:szCs w:val="21"/>
        </w:rPr>
        <w:t>ργανικοί ΕΔΜΑ (</w:t>
      </w:r>
      <w:r>
        <w:rPr>
          <w:rFonts w:cs="Arial" w:ascii="Effra Corp" w:hAnsi="Effra Corp"/>
          <w:b/>
          <w:spacing w:val="-2"/>
          <w:sz w:val="21"/>
          <w:szCs w:val="21"/>
          <w:lang w:val="el-GR"/>
        </w:rPr>
        <w:t>συνέχεια)</w:t>
      </w:r>
    </w:p>
    <w:p>
      <w:pPr>
        <w:pStyle w:val="Normal"/>
        <w:spacing w:before="0" w:after="120"/>
        <w:jc w:val="both"/>
        <w:rPr>
          <w:rFonts w:ascii="Effra Corp" w:hAnsi="Effra Corp" w:cs="Arial"/>
          <w:b/>
          <w:bCs/>
          <w:sz w:val="21"/>
          <w:szCs w:val="21"/>
          <w:lang w:val="el-GR"/>
        </w:rPr>
      </w:pPr>
      <w:r>
        <w:rPr>
          <w:rFonts w:cs="Arial" w:ascii="Effra Corp" w:hAnsi="Effra Corp"/>
          <w:b/>
          <w:bCs/>
          <w:sz w:val="21"/>
          <w:szCs w:val="21"/>
          <w:lang w:val="el-GR"/>
        </w:rPr>
        <w:t>Συμφωνία μεγεθών οργανικής αύξησης (συνέχεια)</w:t>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bottom"/>
          </w:tcPr>
          <w:p>
            <w:pPr>
              <w:pStyle w:val="DMETW2940BIPOrganicNSR"/>
              <w:widowControl w:val="false"/>
              <w:rPr>
                <w:color w:val="auto"/>
                <w:lang w:val="el-GR"/>
              </w:rPr>
            </w:pPr>
            <w:r>
              <w:rPr>
                <w:color w:val="auto"/>
                <w:lang w:val="el-GR"/>
              </w:rPr>
            </w:r>
          </w:p>
        </w:tc>
        <w:tc>
          <w:tcPr>
            <w:tcW w:w="6301" w:type="dxa"/>
            <w:gridSpan w:val="4"/>
            <w:tcBorders/>
            <w:shd w:color="auto" w:fill="BFBFBF" w:val="clear"/>
            <w:vAlign w:val="center"/>
          </w:tcPr>
          <w:p>
            <w:pPr>
              <w:pStyle w:val="DMETW2940BIPOrganicNSR"/>
              <w:widowControl w:val="false"/>
              <w:jc w:val="center"/>
              <w:rPr>
                <w:b/>
                <w:color w:val="auto"/>
                <w:lang w:val="el-GR"/>
              </w:rPr>
            </w:pPr>
            <w:r>
              <w:rPr>
                <w:b/>
                <w:color w:val="auto"/>
                <w:lang w:val="en-GB"/>
              </w:rPr>
              <w:t>B</w:t>
            </w:r>
            <w:r>
              <w:rPr>
                <w:b/>
                <w:color w:val="auto"/>
                <w:lang w:val="el-GR"/>
              </w:rPr>
              <w:t xml:space="preserve">’ Τρίμηνο </w:t>
            </w:r>
            <w:r>
              <w:rPr>
                <w:b/>
                <w:color w:val="auto"/>
              </w:rPr>
              <w:t>202</w:t>
            </w:r>
            <w:r>
              <w:rPr>
                <w:b/>
                <w:color w:val="auto"/>
                <w:lang w:val="el-GR"/>
              </w:rPr>
              <w:t>6</w:t>
            </w:r>
          </w:p>
        </w:tc>
      </w:tr>
      <w:tr>
        <w:trPr>
          <w:trHeight w:val="539" w:hRule="exact"/>
        </w:trPr>
        <w:tc>
          <w:tcPr>
            <w:tcW w:w="3649" w:type="dxa"/>
            <w:tcBorders/>
            <w:vAlign w:val="bottom"/>
          </w:tcPr>
          <w:p>
            <w:pPr>
              <w:pStyle w:val="DMETW2052BIPOrganicNSR"/>
              <w:widowControl w:val="false"/>
              <w:rPr>
                <w:b/>
                <w:color w:val="auto"/>
                <w:lang w:val="el-GR"/>
              </w:rPr>
            </w:pPr>
            <w:r>
              <w:rPr>
                <w:b/>
                <w:color w:val="auto"/>
                <w:lang w:val="el-GR"/>
              </w:rPr>
              <w:t xml:space="preserve">Καθαρά έσοδα από πωλήσεις </w:t>
            </w:r>
          </w:p>
          <w:p>
            <w:pPr>
              <w:pStyle w:val="DMETW2940BIPOrganicNSR"/>
              <w:widowControl w:val="false"/>
              <w:rPr>
                <w:b/>
                <w:color w:val="auto"/>
                <w:lang w:val="el-GR"/>
              </w:rPr>
            </w:pPr>
            <w:r>
              <w:rPr>
                <w:b/>
                <w:color w:val="auto"/>
                <w:lang w:val="el-GR"/>
              </w:rPr>
              <w:t>(€ εκατ.)</w:t>
            </w:r>
          </w:p>
        </w:tc>
        <w:tc>
          <w:tcPr>
            <w:tcW w:w="1668" w:type="dxa"/>
            <w:tcBorders/>
            <w:shd w:color="auto" w:fill="BFBFBF" w:val="clear"/>
            <w:vAlign w:val="bottom"/>
          </w:tcPr>
          <w:p>
            <w:pPr>
              <w:pStyle w:val="DMETW2940BIPOrganicNSR"/>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NSR"/>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NSR"/>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NSR"/>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NSR"/>
              <w:widowControl w:val="false"/>
              <w:rPr>
                <w:color w:val="auto"/>
              </w:rPr>
            </w:pPr>
            <w:r>
              <w:rPr>
                <w:color w:val="auto"/>
              </w:rPr>
              <w:t>202</w:t>
            </w:r>
            <w:r>
              <w:rPr>
                <w:color w:val="auto"/>
                <w:lang w:val="el-GR"/>
              </w:rPr>
              <w:t>5</w:t>
            </w:r>
            <w:r>
              <w:rPr>
                <w:color w:val="auto"/>
              </w:rPr>
              <w:t xml:space="preserve"> δημοσιευμένα μεγέθη</w:t>
            </w:r>
          </w:p>
        </w:tc>
        <w:tc>
          <w:tcPr>
            <w:tcW w:w="1668" w:type="dxa"/>
            <w:tcBorders/>
            <w:vAlign w:val="bottom"/>
          </w:tcPr>
          <w:p>
            <w:pPr>
              <w:pStyle w:val="DMETW2940BIPOrganicNSR"/>
              <w:widowControl w:val="false"/>
              <w:jc w:val="right"/>
              <w:rPr>
                <w:color w:val="auto"/>
              </w:rPr>
            </w:pPr>
            <w:r>
              <w:rPr>
                <w:color w:val="auto"/>
              </w:rPr>
              <w:t>1.008,5</w:t>
            </w:r>
          </w:p>
        </w:tc>
        <w:tc>
          <w:tcPr>
            <w:tcW w:w="1720" w:type="dxa"/>
            <w:tcBorders/>
            <w:vAlign w:val="bottom"/>
          </w:tcPr>
          <w:p>
            <w:pPr>
              <w:pStyle w:val="DMETW2940BIPOrganicNSR"/>
              <w:widowControl w:val="false"/>
              <w:jc w:val="right"/>
              <w:rPr>
                <w:color w:val="auto"/>
              </w:rPr>
            </w:pPr>
            <w:r>
              <w:rPr>
                <w:color w:val="auto"/>
              </w:rPr>
              <w:t>692,7</w:t>
            </w:r>
          </w:p>
        </w:tc>
        <w:tc>
          <w:tcPr>
            <w:tcW w:w="1583" w:type="dxa"/>
            <w:tcBorders/>
            <w:vAlign w:val="bottom"/>
          </w:tcPr>
          <w:p>
            <w:pPr>
              <w:pStyle w:val="DMETW2940BIPOrganicNSR"/>
              <w:widowControl w:val="false"/>
              <w:jc w:val="right"/>
              <w:rPr>
                <w:color w:val="auto"/>
              </w:rPr>
            </w:pPr>
            <w:r>
              <w:rPr>
                <w:color w:val="auto"/>
              </w:rPr>
              <w:t>1.500,8</w:t>
            </w:r>
          </w:p>
        </w:tc>
        <w:tc>
          <w:tcPr>
            <w:tcW w:w="1330" w:type="dxa"/>
            <w:tcBorders/>
            <w:vAlign w:val="bottom"/>
          </w:tcPr>
          <w:p>
            <w:pPr>
              <w:pStyle w:val="DMETW2940BIPOrganicNSR"/>
              <w:widowControl w:val="false"/>
              <w:jc w:val="right"/>
              <w:rPr>
                <w:color w:val="auto"/>
              </w:rPr>
            </w:pPr>
            <w:r>
              <w:rPr>
                <w:color w:val="auto"/>
              </w:rPr>
              <w:t>3.202,0</w:t>
            </w:r>
          </w:p>
        </w:tc>
      </w:tr>
      <w:tr>
        <w:trPr>
          <w:trHeight w:val="283" w:hRule="atLeast"/>
        </w:trPr>
        <w:tc>
          <w:tcPr>
            <w:tcW w:w="3649" w:type="dxa"/>
            <w:tcBorders/>
            <w:vAlign w:val="bottom"/>
          </w:tcPr>
          <w:p>
            <w:pPr>
              <w:pStyle w:val="DMETW2940BIPOrganicNSR"/>
              <w:widowControl w:val="false"/>
              <w:rPr>
                <w:color w:val="auto"/>
              </w:rPr>
            </w:pPr>
            <w:r>
              <w:rPr>
                <w:color w:val="auto"/>
              </w:rPr>
              <w:t>Συναλλαγματική επίδραση</w:t>
            </w:r>
          </w:p>
        </w:tc>
        <w:tc>
          <w:tcPr>
            <w:tcW w:w="1668" w:type="dxa"/>
            <w:tcBorders/>
            <w:vAlign w:val="bottom"/>
          </w:tcPr>
          <w:p>
            <w:pPr>
              <w:pStyle w:val="DMETW2940BIPOrganicNSR"/>
              <w:widowControl w:val="false"/>
              <w:jc w:val="right"/>
              <w:rPr>
                <w:color w:val="auto"/>
              </w:rPr>
            </w:pPr>
            <w:r>
              <w:rPr>
                <w:color w:val="auto"/>
              </w:rPr>
              <w:t>1,1</w:t>
            </w:r>
          </w:p>
        </w:tc>
        <w:tc>
          <w:tcPr>
            <w:tcW w:w="1720" w:type="dxa"/>
            <w:tcBorders/>
            <w:vAlign w:val="bottom"/>
          </w:tcPr>
          <w:p>
            <w:pPr>
              <w:pStyle w:val="DMETW2940BIPOrganicNSR"/>
              <w:widowControl w:val="false"/>
              <w:jc w:val="right"/>
              <w:rPr>
                <w:color w:val="auto"/>
              </w:rPr>
            </w:pPr>
            <w:r>
              <w:rPr>
                <w:color w:val="auto"/>
              </w:rPr>
              <w:t>17,9</w:t>
            </w:r>
          </w:p>
        </w:tc>
        <w:tc>
          <w:tcPr>
            <w:tcW w:w="1583" w:type="dxa"/>
            <w:tcBorders/>
            <w:vAlign w:val="bottom"/>
          </w:tcPr>
          <w:p>
            <w:pPr>
              <w:pStyle w:val="DMETW2940BIPOrganicNSR"/>
              <w:widowControl w:val="false"/>
              <w:jc w:val="right"/>
              <w:rPr>
                <w:color w:val="auto"/>
              </w:rPr>
            </w:pPr>
            <w:r>
              <w:rPr>
                <w:color w:val="auto"/>
              </w:rPr>
              <w:t>37,1</w:t>
            </w:r>
          </w:p>
        </w:tc>
        <w:tc>
          <w:tcPr>
            <w:tcW w:w="1330" w:type="dxa"/>
            <w:tcBorders/>
            <w:vAlign w:val="bottom"/>
          </w:tcPr>
          <w:p>
            <w:pPr>
              <w:pStyle w:val="DMETW2940BIPOrganicNSR"/>
              <w:widowControl w:val="false"/>
              <w:jc w:val="right"/>
              <w:rPr>
                <w:color w:val="auto"/>
              </w:rPr>
            </w:pPr>
            <w:r>
              <w:rPr>
                <w:color w:val="auto"/>
              </w:rPr>
              <w:t>56,1</w:t>
            </w:r>
          </w:p>
        </w:tc>
      </w:tr>
      <w:tr>
        <w:trPr>
          <w:trHeight w:val="283" w:hRule="atLeast"/>
        </w:trPr>
        <w:tc>
          <w:tcPr>
            <w:tcW w:w="3649" w:type="dxa"/>
            <w:tcBorders/>
            <w:vAlign w:val="bottom"/>
          </w:tcPr>
          <w:p>
            <w:pPr>
              <w:pStyle w:val="DMETW2940BIPOrganicNSR"/>
              <w:widowControl w:val="false"/>
              <w:rPr>
                <w:b/>
                <w:color w:val="auto"/>
              </w:rPr>
            </w:pPr>
            <w:r>
              <w:rPr>
                <w:b/>
                <w:bCs/>
                <w:color w:val="auto"/>
              </w:rPr>
              <w:t>202</w:t>
            </w:r>
            <w:r>
              <w:rPr>
                <w:b/>
                <w:bCs/>
                <w:color w:val="auto"/>
                <w:lang w:val="el-GR"/>
              </w:rPr>
              <w:t>5</w:t>
            </w:r>
            <w:r>
              <w:rPr>
                <w:b/>
                <w:bCs/>
                <w:color w:val="auto"/>
              </w:rPr>
              <w:t xml:space="preserve"> προσαρμοσμένα μεγέθη</w:t>
            </w:r>
          </w:p>
        </w:tc>
        <w:tc>
          <w:tcPr>
            <w:tcW w:w="1668" w:type="dxa"/>
            <w:tcBorders/>
            <w:vAlign w:val="bottom"/>
          </w:tcPr>
          <w:p>
            <w:pPr>
              <w:pStyle w:val="DMETW2940BIPOrganicNSR"/>
              <w:widowControl w:val="false"/>
              <w:jc w:val="right"/>
              <w:rPr>
                <w:b/>
                <w:color w:val="auto"/>
              </w:rPr>
            </w:pPr>
            <w:r>
              <w:rPr>
                <w:b/>
                <w:bCs/>
                <w:color w:val="auto"/>
              </w:rPr>
              <w:t>1.009,6</w:t>
            </w:r>
          </w:p>
        </w:tc>
        <w:tc>
          <w:tcPr>
            <w:tcW w:w="1720" w:type="dxa"/>
            <w:tcBorders/>
            <w:vAlign w:val="bottom"/>
          </w:tcPr>
          <w:p>
            <w:pPr>
              <w:pStyle w:val="DMETW2940BIPOrganicNSR"/>
              <w:widowControl w:val="false"/>
              <w:jc w:val="right"/>
              <w:rPr>
                <w:b/>
                <w:color w:val="auto"/>
              </w:rPr>
            </w:pPr>
            <w:r>
              <w:rPr>
                <w:b/>
                <w:bCs/>
                <w:color w:val="auto"/>
              </w:rPr>
              <w:t>710,6</w:t>
            </w:r>
          </w:p>
        </w:tc>
        <w:tc>
          <w:tcPr>
            <w:tcW w:w="1583" w:type="dxa"/>
            <w:tcBorders/>
            <w:vAlign w:val="bottom"/>
          </w:tcPr>
          <w:p>
            <w:pPr>
              <w:pStyle w:val="DMETW2940BIPOrganicNSR"/>
              <w:widowControl w:val="false"/>
              <w:jc w:val="right"/>
              <w:rPr>
                <w:b/>
                <w:color w:val="auto"/>
              </w:rPr>
            </w:pPr>
            <w:r>
              <w:rPr>
                <w:b/>
                <w:bCs/>
                <w:color w:val="auto"/>
              </w:rPr>
              <w:t>1.537,9</w:t>
            </w:r>
          </w:p>
        </w:tc>
        <w:tc>
          <w:tcPr>
            <w:tcW w:w="1330" w:type="dxa"/>
            <w:tcBorders/>
            <w:vAlign w:val="bottom"/>
          </w:tcPr>
          <w:p>
            <w:pPr>
              <w:pStyle w:val="DMETW2940BIPOrganicNSR"/>
              <w:widowControl w:val="false"/>
              <w:jc w:val="right"/>
              <w:rPr>
                <w:b/>
                <w:color w:val="auto"/>
              </w:rPr>
            </w:pPr>
            <w:r>
              <w:rPr>
                <w:b/>
                <w:bCs/>
                <w:color w:val="auto"/>
              </w:rPr>
              <w:t>3.258,1</w:t>
            </w:r>
          </w:p>
        </w:tc>
      </w:tr>
      <w:tr>
        <w:trPr>
          <w:trHeight w:val="283" w:hRule="atLeast"/>
        </w:trPr>
        <w:tc>
          <w:tcPr>
            <w:tcW w:w="3649" w:type="dxa"/>
            <w:tcBorders/>
            <w:vAlign w:val="bottom"/>
          </w:tcPr>
          <w:p>
            <w:pPr>
              <w:pStyle w:val="DMETW2052BIPOrganicNSR"/>
              <w:widowControl w:val="false"/>
              <w:rPr>
                <w:color w:val="auto"/>
                <w:lang w:val="el-GR"/>
              </w:rPr>
            </w:pPr>
            <w:r>
              <w:rPr>
                <w:color w:val="auto"/>
                <w:lang w:val="el-GR"/>
              </w:rPr>
              <w:t xml:space="preserve">Αντίκτυπος μεταβολών στην περίμετρο </w:t>
            </w:r>
          </w:p>
          <w:p>
            <w:pPr>
              <w:pStyle w:val="DMETW2940BIPOrganicNSR"/>
              <w:widowControl w:val="false"/>
              <w:rPr>
                <w:color w:val="auto"/>
                <w:lang w:val="el-GR"/>
              </w:rPr>
            </w:pPr>
            <w:r>
              <w:rPr>
                <w:color w:val="auto"/>
                <w:lang w:val="el-GR"/>
              </w:rPr>
              <w:t>ενοποίησης</w:t>
            </w:r>
          </w:p>
        </w:tc>
        <w:tc>
          <w:tcPr>
            <w:tcW w:w="1668" w:type="dxa"/>
            <w:tcBorders/>
            <w:vAlign w:val="bottom"/>
          </w:tcPr>
          <w:p>
            <w:pPr>
              <w:pStyle w:val="DMETW2940BIPOrganicNSR"/>
              <w:widowControl w:val="false"/>
              <w:jc w:val="right"/>
              <w:rPr>
                <w:color w:val="auto"/>
              </w:rPr>
            </w:pPr>
            <w:r>
              <w:rPr>
                <w:color w:val="auto"/>
              </w:rPr>
              <w:t>—</w:t>
            </w:r>
          </w:p>
        </w:tc>
        <w:tc>
          <w:tcPr>
            <w:tcW w:w="1720" w:type="dxa"/>
            <w:tcBorders/>
            <w:vAlign w:val="bottom"/>
          </w:tcPr>
          <w:p>
            <w:pPr>
              <w:pStyle w:val="DMETW2940BIPOrganicNSR"/>
              <w:widowControl w:val="false"/>
              <w:jc w:val="right"/>
              <w:rPr>
                <w:color w:val="auto"/>
              </w:rPr>
            </w:pPr>
            <w:r>
              <w:rPr>
                <w:color w:val="auto"/>
              </w:rPr>
              <w:t>—</w:t>
            </w:r>
          </w:p>
        </w:tc>
        <w:tc>
          <w:tcPr>
            <w:tcW w:w="1583" w:type="dxa"/>
            <w:tcBorders/>
            <w:vAlign w:val="bottom"/>
          </w:tcPr>
          <w:p>
            <w:pPr>
              <w:pStyle w:val="DMETW2940BIPOrganicNSR"/>
              <w:widowControl w:val="false"/>
              <w:jc w:val="right"/>
              <w:rPr>
                <w:color w:val="auto"/>
              </w:rPr>
            </w:pPr>
            <w:r>
              <w:rPr>
                <w:color w:val="auto"/>
              </w:rPr>
              <w:t>—</w:t>
            </w:r>
          </w:p>
        </w:tc>
        <w:tc>
          <w:tcPr>
            <w:tcW w:w="1330" w:type="dxa"/>
            <w:tcBorders/>
            <w:vAlign w:val="bottom"/>
          </w:tcPr>
          <w:p>
            <w:pPr>
              <w:pStyle w:val="DMETW2940BIPOrganicNSR"/>
              <w:widowControl w:val="false"/>
              <w:jc w:val="right"/>
              <w:rPr>
                <w:color w:val="auto"/>
              </w:rPr>
            </w:pPr>
            <w:r>
              <w:rPr>
                <w:color w:val="auto"/>
              </w:rPr>
              <w:t>—</w:t>
            </w:r>
          </w:p>
        </w:tc>
      </w:tr>
      <w:tr>
        <w:trPr>
          <w:trHeight w:val="283" w:hRule="atLeast"/>
        </w:trPr>
        <w:tc>
          <w:tcPr>
            <w:tcW w:w="3649" w:type="dxa"/>
            <w:tcBorders/>
            <w:vAlign w:val="bottom"/>
          </w:tcPr>
          <w:p>
            <w:pPr>
              <w:pStyle w:val="DMETW2940BIPOrganicNSR"/>
              <w:widowControl w:val="false"/>
              <w:rPr>
                <w:b/>
                <w:bCs/>
                <w:color w:val="auto"/>
              </w:rPr>
            </w:pPr>
            <w:r>
              <w:rPr>
                <w:b/>
                <w:bCs/>
                <w:color w:val="auto"/>
              </w:rPr>
              <w:t>Οργανική μεταβολή</w:t>
            </w:r>
          </w:p>
        </w:tc>
        <w:tc>
          <w:tcPr>
            <w:tcW w:w="1668" w:type="dxa"/>
            <w:tcBorders>
              <w:bottom w:val="single" w:sz="4" w:space="0" w:color="000000"/>
            </w:tcBorders>
            <w:vAlign w:val="bottom"/>
          </w:tcPr>
          <w:p>
            <w:pPr>
              <w:pStyle w:val="DMETW2940BIPOrganicNSR"/>
              <w:widowControl w:val="false"/>
              <w:jc w:val="right"/>
              <w:rPr>
                <w:b/>
                <w:color w:val="auto"/>
              </w:rPr>
            </w:pPr>
            <w:r>
              <w:rPr>
                <w:b/>
                <w:bCs/>
                <w:color w:val="auto"/>
              </w:rPr>
              <w:t xml:space="preserve">53,4 </w:t>
            </w:r>
          </w:p>
        </w:tc>
        <w:tc>
          <w:tcPr>
            <w:tcW w:w="1720" w:type="dxa"/>
            <w:tcBorders>
              <w:bottom w:val="single" w:sz="4" w:space="0" w:color="000000"/>
            </w:tcBorders>
            <w:vAlign w:val="bottom"/>
          </w:tcPr>
          <w:p>
            <w:pPr>
              <w:pStyle w:val="DMETW2940BIPOrganicNSR"/>
              <w:widowControl w:val="false"/>
              <w:jc w:val="right"/>
              <w:rPr>
                <w:b/>
                <w:color w:val="auto"/>
              </w:rPr>
            </w:pPr>
            <w:r>
              <w:rPr>
                <w:b/>
                <w:bCs/>
                <w:color w:val="auto"/>
              </w:rPr>
              <w:t xml:space="preserve">57,2 </w:t>
            </w:r>
          </w:p>
        </w:tc>
        <w:tc>
          <w:tcPr>
            <w:tcW w:w="1583" w:type="dxa"/>
            <w:tcBorders>
              <w:bottom w:val="single" w:sz="4" w:space="0" w:color="000000"/>
            </w:tcBorders>
            <w:vAlign w:val="bottom"/>
          </w:tcPr>
          <w:p>
            <w:pPr>
              <w:pStyle w:val="DMETW2940BIPOrganicNSR"/>
              <w:widowControl w:val="false"/>
              <w:jc w:val="right"/>
              <w:rPr>
                <w:b/>
                <w:color w:val="auto"/>
              </w:rPr>
            </w:pPr>
            <w:r>
              <w:rPr>
                <w:b/>
                <w:bCs/>
                <w:color w:val="auto"/>
              </w:rPr>
              <w:t xml:space="preserve">151,0 </w:t>
            </w:r>
          </w:p>
        </w:tc>
        <w:tc>
          <w:tcPr>
            <w:tcW w:w="1330" w:type="dxa"/>
            <w:tcBorders>
              <w:bottom w:val="single" w:sz="4" w:space="0" w:color="000000"/>
            </w:tcBorders>
            <w:vAlign w:val="bottom"/>
          </w:tcPr>
          <w:p>
            <w:pPr>
              <w:pStyle w:val="DMETW2940BIPOrganicNSR"/>
              <w:widowControl w:val="false"/>
              <w:jc w:val="right"/>
              <w:rPr>
                <w:b/>
                <w:color w:val="auto"/>
              </w:rPr>
            </w:pPr>
            <w:r>
              <w:rPr>
                <w:b/>
                <w:bCs/>
                <w:color w:val="auto"/>
              </w:rPr>
              <w:t>261,6</w:t>
            </w:r>
          </w:p>
        </w:tc>
      </w:tr>
      <w:tr>
        <w:trPr>
          <w:trHeight w:val="283" w:hRule="atLeast"/>
        </w:trPr>
        <w:tc>
          <w:tcPr>
            <w:tcW w:w="3649" w:type="dxa"/>
            <w:tcBorders/>
            <w:vAlign w:val="bottom"/>
          </w:tcPr>
          <w:p>
            <w:pPr>
              <w:pStyle w:val="DMETW2940BIPOrganicNSR"/>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1.063,0</w:t>
            </w:r>
          </w:p>
        </w:tc>
        <w:tc>
          <w:tcPr>
            <w:tcW w:w="1720"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767,8</w:t>
            </w:r>
          </w:p>
        </w:tc>
        <w:tc>
          <w:tcPr>
            <w:tcW w:w="1583"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1.688,9</w:t>
            </w:r>
          </w:p>
        </w:tc>
        <w:tc>
          <w:tcPr>
            <w:tcW w:w="1330"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t>3.519,7</w:t>
            </w:r>
          </w:p>
        </w:tc>
      </w:tr>
      <w:tr>
        <w:trPr>
          <w:trHeight w:val="113" w:hRule="exact"/>
        </w:trPr>
        <w:tc>
          <w:tcPr>
            <w:tcW w:w="3649" w:type="dxa"/>
            <w:tcBorders/>
            <w:vAlign w:val="bottom"/>
          </w:tcPr>
          <w:p>
            <w:pPr>
              <w:pStyle w:val="DMETW2940BIPOrganicNSR"/>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NSR"/>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NSR"/>
              <w:widowControl w:val="false"/>
              <w:jc w:val="right"/>
              <w:rPr>
                <w:b/>
                <w:color w:val="auto"/>
              </w:rPr>
            </w:pPr>
            <w:r>
              <w:rPr>
                <w:b/>
                <w:color w:val="auto"/>
              </w:rPr>
            </w:r>
          </w:p>
        </w:tc>
      </w:tr>
      <w:tr>
        <w:trPr>
          <w:trHeight w:val="283" w:hRule="atLeast"/>
        </w:trPr>
        <w:tc>
          <w:tcPr>
            <w:tcW w:w="3649" w:type="dxa"/>
            <w:tcBorders/>
            <w:vAlign w:val="bottom"/>
          </w:tcPr>
          <w:p>
            <w:pPr>
              <w:pStyle w:val="DMETW2940BIPOrganicNSR"/>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5,3%</w:t>
            </w:r>
          </w:p>
        </w:tc>
        <w:tc>
          <w:tcPr>
            <w:tcW w:w="1720"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8,0%</w:t>
            </w:r>
          </w:p>
        </w:tc>
        <w:tc>
          <w:tcPr>
            <w:tcW w:w="1583"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9,8%</w:t>
            </w:r>
          </w:p>
        </w:tc>
        <w:tc>
          <w:tcPr>
            <w:tcW w:w="1330" w:type="dxa"/>
            <w:tcBorders>
              <w:top w:val="single" w:sz="4" w:space="0" w:color="000000"/>
              <w:bottom w:val="single" w:sz="4" w:space="0" w:color="000000"/>
            </w:tcBorders>
            <w:vAlign w:val="bottom"/>
          </w:tcPr>
          <w:p>
            <w:pPr>
              <w:pStyle w:val="DMETW2940BIPOrganicNSR"/>
              <w:widowControl w:val="false"/>
              <w:jc w:val="right"/>
              <w:rPr>
                <w:b/>
                <w:color w:val="auto"/>
              </w:rPr>
            </w:pPr>
            <w:r>
              <w:rPr>
                <w:b/>
                <w:bCs/>
                <w:color w:val="auto"/>
              </w:rPr>
              <w:t>8,0%</w:t>
            </w:r>
          </w:p>
        </w:tc>
      </w:tr>
      <w:tr>
        <w:trPr>
          <w:trHeight w:val="120" w:hRule="atLeast"/>
        </w:trPr>
        <w:tc>
          <w:tcPr>
            <w:tcW w:w="3649" w:type="dxa"/>
            <w:tcBorders/>
            <w:vAlign w:val="bottom"/>
          </w:tcPr>
          <w:p>
            <w:pPr>
              <w:pStyle w:val="DMETW2940BIPOrganicNSR"/>
              <w:widowControl w:val="false"/>
              <w:rPr>
                <w:b/>
                <w:color w:val="auto"/>
              </w:rPr>
            </w:pPr>
            <w:r>
              <w:rPr>
                <w:b/>
                <w:color w:val="auto"/>
              </w:rPr>
            </w:r>
          </w:p>
        </w:tc>
        <w:tc>
          <w:tcPr>
            <w:tcW w:w="1668" w:type="dxa"/>
            <w:tcBorders>
              <w:top w:val="single" w:sz="4" w:space="0" w:color="000000"/>
            </w:tcBorders>
          </w:tcPr>
          <w:p>
            <w:pPr>
              <w:pStyle w:val="DMETW2940BIPOrganicNSR"/>
              <w:widowControl w:val="false"/>
              <w:jc w:val="right"/>
              <w:rPr>
                <w:b/>
                <w:bCs/>
                <w:color w:val="auto"/>
              </w:rPr>
            </w:pPr>
            <w:r>
              <w:rPr>
                <w:b/>
                <w:bCs/>
                <w:color w:val="auto"/>
              </w:rPr>
            </w:r>
          </w:p>
        </w:tc>
        <w:tc>
          <w:tcPr>
            <w:tcW w:w="1720" w:type="dxa"/>
            <w:tcBorders>
              <w:top w:val="single" w:sz="4" w:space="0" w:color="000000"/>
            </w:tcBorders>
          </w:tcPr>
          <w:p>
            <w:pPr>
              <w:pStyle w:val="DMETW2940BIPOrganicNSR"/>
              <w:widowControl w:val="false"/>
              <w:jc w:val="right"/>
              <w:rPr>
                <w:b/>
                <w:bCs/>
                <w:color w:val="auto"/>
              </w:rPr>
            </w:pPr>
            <w:r>
              <w:rPr>
                <w:b/>
                <w:bCs/>
                <w:color w:val="auto"/>
              </w:rPr>
            </w:r>
          </w:p>
        </w:tc>
        <w:tc>
          <w:tcPr>
            <w:tcW w:w="1583" w:type="dxa"/>
            <w:tcBorders>
              <w:top w:val="single" w:sz="4" w:space="0" w:color="000000"/>
            </w:tcBorders>
          </w:tcPr>
          <w:p>
            <w:pPr>
              <w:pStyle w:val="DMETW2940BIPOrganicNSR"/>
              <w:widowControl w:val="false"/>
              <w:jc w:val="right"/>
              <w:rPr>
                <w:b/>
                <w:bCs/>
                <w:color w:val="auto"/>
              </w:rPr>
            </w:pPr>
            <w:r>
              <w:rPr>
                <w:b/>
                <w:bCs/>
                <w:color w:val="auto"/>
              </w:rPr>
            </w:r>
          </w:p>
        </w:tc>
        <w:tc>
          <w:tcPr>
            <w:tcW w:w="1330" w:type="dxa"/>
            <w:tcBorders>
              <w:top w:val="single" w:sz="4" w:space="0" w:color="000000"/>
            </w:tcBorders>
          </w:tcPr>
          <w:p>
            <w:pPr>
              <w:pStyle w:val="DMETW2940BIPOrganicNSR"/>
              <w:widowControl w:val="false"/>
              <w:jc w:val="right"/>
              <w:rPr>
                <w:b/>
                <w:bCs/>
                <w:color w:val="auto"/>
              </w:rPr>
            </w:pPr>
            <w:r>
              <w:rPr>
                <w:b/>
                <w:bCs/>
                <w:color w:val="auto"/>
              </w:rPr>
            </w:r>
          </w:p>
        </w:tc>
      </w:tr>
      <w:tr>
        <w:trPr>
          <w:trHeight w:val="260" w:hRule="exact"/>
        </w:trPr>
        <w:tc>
          <w:tcPr>
            <w:tcW w:w="3649" w:type="dxa"/>
            <w:tcBorders/>
            <w:vAlign w:val="bottom"/>
          </w:tcPr>
          <w:p>
            <w:pPr>
              <w:pStyle w:val="DMETW2940BIPOrganicNSRperUC"/>
              <w:widowControl w:val="false"/>
              <w:rPr>
                <w:color w:val="auto"/>
                <w:lang w:val="el-GR"/>
              </w:rPr>
            </w:pPr>
            <w:r>
              <w:rPr>
                <w:color w:val="auto"/>
                <w:lang w:val="el-GR"/>
              </w:rPr>
            </w:r>
          </w:p>
        </w:tc>
        <w:tc>
          <w:tcPr>
            <w:tcW w:w="6301" w:type="dxa"/>
            <w:gridSpan w:val="4"/>
            <w:tcBorders/>
            <w:shd w:color="auto" w:fill="BFBFBF" w:val="clear"/>
            <w:vAlign w:val="center"/>
          </w:tcPr>
          <w:p>
            <w:pPr>
              <w:pStyle w:val="DMETW2940BIPOrganicNSRperUC"/>
              <w:widowControl w:val="false"/>
              <w:jc w:val="center"/>
              <w:rPr>
                <w:b/>
                <w:color w:val="auto"/>
                <w:lang w:val="el-GR"/>
              </w:rPr>
            </w:pPr>
            <w:r>
              <w:rPr>
                <w:b/>
                <w:color w:val="auto"/>
                <w:lang w:val="en-GB"/>
              </w:rPr>
              <w:t>B</w:t>
            </w:r>
            <w:r>
              <w:rPr>
                <w:b/>
                <w:color w:val="auto"/>
                <w:lang w:val="el-GR"/>
              </w:rPr>
              <w:t xml:space="preserve">’ Τρίμηνο </w:t>
            </w:r>
            <w:r>
              <w:rPr>
                <w:b/>
                <w:color w:val="auto"/>
              </w:rPr>
              <w:t>202</w:t>
            </w:r>
            <w:r>
              <w:rPr>
                <w:b/>
                <w:color w:val="auto"/>
                <w:lang w:val="el-GR"/>
              </w:rPr>
              <w:t>6</w:t>
            </w:r>
          </w:p>
        </w:tc>
      </w:tr>
      <w:tr>
        <w:trPr>
          <w:trHeight w:val="533" w:hRule="exact"/>
        </w:trPr>
        <w:tc>
          <w:tcPr>
            <w:tcW w:w="3649" w:type="dxa"/>
            <w:tcBorders/>
            <w:vAlign w:val="bottom"/>
          </w:tcPr>
          <w:p>
            <w:pPr>
              <w:pStyle w:val="DMETW2940BIPOrganicNSRperUC"/>
              <w:widowControl w:val="false"/>
              <w:rPr>
                <w:b/>
                <w:color w:val="auto"/>
                <w:lang w:val="el-GR"/>
              </w:rPr>
            </w:pPr>
            <w:r>
              <w:rPr>
                <w:b/>
                <w:color w:val="auto"/>
                <w:lang w:val="el-GR"/>
              </w:rPr>
              <w:t>Καθαρά έσοδα από πωλήσεις ανά κιβώτιο (€)</w:t>
            </w:r>
            <w:r>
              <w:rPr>
                <w:b/>
                <w:color w:val="auto"/>
                <w:vertAlign w:val="superscript"/>
                <w:lang w:val="el-GR"/>
              </w:rPr>
              <w:t>1</w:t>
            </w:r>
          </w:p>
        </w:tc>
        <w:tc>
          <w:tcPr>
            <w:tcW w:w="1668" w:type="dxa"/>
            <w:tcBorders/>
            <w:shd w:color="auto" w:fill="BFBFBF" w:val="clear"/>
            <w:vAlign w:val="bottom"/>
          </w:tcPr>
          <w:p>
            <w:pPr>
              <w:pStyle w:val="DMETW2940BIPOrganicNSRperUC"/>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NSRperUC"/>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NSRperUC"/>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NSRperUC"/>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NSRperUC"/>
              <w:widowControl w:val="false"/>
              <w:rPr>
                <w:color w:val="auto"/>
              </w:rPr>
            </w:pPr>
            <w:r>
              <w:rPr>
                <w:color w:val="auto"/>
              </w:rPr>
              <w:t>202</w:t>
            </w:r>
            <w:r>
              <w:rPr>
                <w:color w:val="auto"/>
                <w:lang w:val="el-GR"/>
              </w:rPr>
              <w:t>5</w:t>
            </w:r>
            <w:r>
              <w:rPr>
                <w:color w:val="auto"/>
              </w:rPr>
              <w:t xml:space="preserve"> δημοσιευμένα μεγέθη</w:t>
            </w:r>
          </w:p>
        </w:tc>
        <w:tc>
          <w:tcPr>
            <w:tcW w:w="1668" w:type="dxa"/>
            <w:tcBorders/>
            <w:vAlign w:val="bottom"/>
          </w:tcPr>
          <w:p>
            <w:pPr>
              <w:pStyle w:val="DMETW2940BIPOrganicNSRperUC"/>
              <w:widowControl w:val="false"/>
              <w:jc w:val="right"/>
              <w:rPr>
                <w:color w:val="auto"/>
              </w:rPr>
            </w:pPr>
            <w:r>
              <w:rPr>
                <w:color w:val="auto"/>
              </w:rPr>
              <w:t>5,77</w:t>
            </w:r>
          </w:p>
        </w:tc>
        <w:tc>
          <w:tcPr>
            <w:tcW w:w="1720" w:type="dxa"/>
            <w:tcBorders/>
            <w:vAlign w:val="bottom"/>
          </w:tcPr>
          <w:p>
            <w:pPr>
              <w:pStyle w:val="DMETW2940BIPOrganicNSRperUC"/>
              <w:widowControl w:val="false"/>
              <w:jc w:val="right"/>
              <w:rPr>
                <w:color w:val="auto"/>
              </w:rPr>
            </w:pPr>
            <w:r>
              <w:rPr>
                <w:color w:val="auto"/>
              </w:rPr>
              <w:t>5,23</w:t>
            </w:r>
          </w:p>
        </w:tc>
        <w:tc>
          <w:tcPr>
            <w:tcW w:w="1583" w:type="dxa"/>
            <w:tcBorders/>
            <w:vAlign w:val="bottom"/>
          </w:tcPr>
          <w:p>
            <w:pPr>
              <w:pStyle w:val="DMETW2940BIPOrganicNSRperUC"/>
              <w:widowControl w:val="false"/>
              <w:jc w:val="right"/>
              <w:rPr>
                <w:color w:val="auto"/>
              </w:rPr>
            </w:pPr>
            <w:r>
              <w:rPr>
                <w:color w:val="auto"/>
              </w:rPr>
              <w:t>2,93</w:t>
            </w:r>
          </w:p>
        </w:tc>
        <w:tc>
          <w:tcPr>
            <w:tcW w:w="1330" w:type="dxa"/>
            <w:tcBorders/>
            <w:vAlign w:val="bottom"/>
          </w:tcPr>
          <w:p>
            <w:pPr>
              <w:pStyle w:val="DMETW2940BIPOrganicNSRperUC"/>
              <w:widowControl w:val="false"/>
              <w:jc w:val="right"/>
              <w:rPr>
                <w:color w:val="auto"/>
              </w:rPr>
            </w:pPr>
            <w:r>
              <w:rPr>
                <w:color w:val="auto"/>
              </w:rPr>
              <w:t>3,91</w:t>
            </w:r>
          </w:p>
        </w:tc>
      </w:tr>
      <w:tr>
        <w:trPr>
          <w:trHeight w:val="283" w:hRule="atLeast"/>
        </w:trPr>
        <w:tc>
          <w:tcPr>
            <w:tcW w:w="3649" w:type="dxa"/>
            <w:tcBorders/>
            <w:vAlign w:val="bottom"/>
          </w:tcPr>
          <w:p>
            <w:pPr>
              <w:pStyle w:val="DMETW2940BIPOrganicNSRperUC"/>
              <w:widowControl w:val="false"/>
              <w:rPr>
                <w:color w:val="auto"/>
              </w:rPr>
            </w:pPr>
            <w:r>
              <w:rPr>
                <w:color w:val="auto"/>
              </w:rPr>
              <w:t>Συναλλαγματική επίδραση</w:t>
            </w:r>
          </w:p>
        </w:tc>
        <w:tc>
          <w:tcPr>
            <w:tcW w:w="1668" w:type="dxa"/>
            <w:tcBorders/>
            <w:vAlign w:val="bottom"/>
          </w:tcPr>
          <w:p>
            <w:pPr>
              <w:pStyle w:val="DMETW2940BIPOrganicNSRperUC"/>
              <w:widowControl w:val="false"/>
              <w:jc w:val="right"/>
              <w:rPr>
                <w:color w:val="auto"/>
              </w:rPr>
            </w:pPr>
            <w:r>
              <w:rPr>
                <w:color w:val="auto"/>
              </w:rPr>
              <w:t>0,01</w:t>
            </w:r>
          </w:p>
        </w:tc>
        <w:tc>
          <w:tcPr>
            <w:tcW w:w="1720" w:type="dxa"/>
            <w:tcBorders/>
            <w:vAlign w:val="bottom"/>
          </w:tcPr>
          <w:p>
            <w:pPr>
              <w:pStyle w:val="DMETW2940BIPOrganicNSRperUC"/>
              <w:widowControl w:val="false"/>
              <w:jc w:val="right"/>
              <w:rPr>
                <w:color w:val="auto"/>
              </w:rPr>
            </w:pPr>
            <w:r>
              <w:rPr>
                <w:color w:val="auto"/>
              </w:rPr>
              <w:t>0,14</w:t>
            </w:r>
          </w:p>
        </w:tc>
        <w:tc>
          <w:tcPr>
            <w:tcW w:w="1583" w:type="dxa"/>
            <w:tcBorders/>
            <w:vAlign w:val="bottom"/>
          </w:tcPr>
          <w:p>
            <w:pPr>
              <w:pStyle w:val="DMETW2940BIPOrganicNSRperUC"/>
              <w:widowControl w:val="false"/>
              <w:jc w:val="right"/>
              <w:rPr>
                <w:color w:val="auto"/>
              </w:rPr>
            </w:pPr>
            <w:r>
              <w:rPr>
                <w:color w:val="auto"/>
              </w:rPr>
              <w:t>0,07</w:t>
            </w:r>
          </w:p>
        </w:tc>
        <w:tc>
          <w:tcPr>
            <w:tcW w:w="1330" w:type="dxa"/>
            <w:tcBorders/>
            <w:vAlign w:val="bottom"/>
          </w:tcPr>
          <w:p>
            <w:pPr>
              <w:pStyle w:val="DMETW2940BIPOrganicNSRperUC"/>
              <w:widowControl w:val="false"/>
              <w:jc w:val="right"/>
              <w:rPr>
                <w:color w:val="auto"/>
              </w:rPr>
            </w:pPr>
            <w:r>
              <w:rPr>
                <w:color w:val="auto"/>
              </w:rPr>
              <w:t>0,07</w:t>
            </w:r>
          </w:p>
        </w:tc>
      </w:tr>
      <w:tr>
        <w:trPr>
          <w:trHeight w:val="283" w:hRule="atLeast"/>
        </w:trPr>
        <w:tc>
          <w:tcPr>
            <w:tcW w:w="3649" w:type="dxa"/>
            <w:tcBorders/>
            <w:vAlign w:val="bottom"/>
          </w:tcPr>
          <w:p>
            <w:pPr>
              <w:pStyle w:val="DMETW2940BIPOrganicNSRperUC"/>
              <w:widowControl w:val="false"/>
              <w:rPr>
                <w:b/>
                <w:bCs/>
                <w:color w:val="auto"/>
              </w:rPr>
            </w:pPr>
            <w:r>
              <w:rPr>
                <w:b/>
                <w:bCs/>
                <w:color w:val="auto"/>
              </w:rPr>
              <w:t>202</w:t>
            </w:r>
            <w:r>
              <w:rPr>
                <w:b/>
                <w:bCs/>
                <w:color w:val="auto"/>
                <w:lang w:val="el-GR"/>
              </w:rPr>
              <w:t>5</w:t>
            </w:r>
            <w:r>
              <w:rPr>
                <w:b/>
                <w:bCs/>
                <w:color w:val="auto"/>
              </w:rPr>
              <w:t xml:space="preserve"> προσαρμοσμένα μεγέθη</w:t>
            </w:r>
          </w:p>
        </w:tc>
        <w:tc>
          <w:tcPr>
            <w:tcW w:w="1668" w:type="dxa"/>
            <w:tcBorders/>
            <w:vAlign w:val="bottom"/>
          </w:tcPr>
          <w:p>
            <w:pPr>
              <w:pStyle w:val="DMETW2940BIPOrganicNSRperUC"/>
              <w:widowControl w:val="false"/>
              <w:jc w:val="right"/>
              <w:rPr>
                <w:b/>
                <w:color w:val="auto"/>
              </w:rPr>
            </w:pPr>
            <w:r>
              <w:rPr>
                <w:b/>
                <w:bCs/>
                <w:color w:val="auto"/>
              </w:rPr>
              <w:t>5,78</w:t>
            </w:r>
          </w:p>
        </w:tc>
        <w:tc>
          <w:tcPr>
            <w:tcW w:w="1720" w:type="dxa"/>
            <w:tcBorders/>
            <w:vAlign w:val="bottom"/>
          </w:tcPr>
          <w:p>
            <w:pPr>
              <w:pStyle w:val="DMETW2940BIPOrganicNSRperUC"/>
              <w:widowControl w:val="false"/>
              <w:jc w:val="right"/>
              <w:rPr>
                <w:b/>
                <w:color w:val="auto"/>
              </w:rPr>
            </w:pPr>
            <w:r>
              <w:rPr>
                <w:b/>
                <w:bCs/>
                <w:color w:val="auto"/>
              </w:rPr>
              <w:t>5,37</w:t>
            </w:r>
          </w:p>
        </w:tc>
        <w:tc>
          <w:tcPr>
            <w:tcW w:w="1583" w:type="dxa"/>
            <w:tcBorders/>
            <w:vAlign w:val="bottom"/>
          </w:tcPr>
          <w:p>
            <w:pPr>
              <w:pStyle w:val="DMETW2940BIPOrganicNSRperUC"/>
              <w:widowControl w:val="false"/>
              <w:jc w:val="right"/>
              <w:rPr>
                <w:b/>
                <w:color w:val="auto"/>
              </w:rPr>
            </w:pPr>
            <w:r>
              <w:rPr>
                <w:b/>
                <w:bCs/>
                <w:color w:val="auto"/>
              </w:rPr>
              <w:t>3,00</w:t>
            </w:r>
          </w:p>
        </w:tc>
        <w:tc>
          <w:tcPr>
            <w:tcW w:w="1330" w:type="dxa"/>
            <w:tcBorders/>
            <w:vAlign w:val="bottom"/>
          </w:tcPr>
          <w:p>
            <w:pPr>
              <w:pStyle w:val="DMETW2940BIPOrganicNSRperUC"/>
              <w:widowControl w:val="false"/>
              <w:jc w:val="right"/>
              <w:rPr>
                <w:b/>
                <w:color w:val="auto"/>
              </w:rPr>
            </w:pPr>
            <w:r>
              <w:rPr>
                <w:b/>
                <w:bCs/>
                <w:color w:val="auto"/>
              </w:rPr>
              <w:t>3,98</w:t>
            </w:r>
          </w:p>
        </w:tc>
      </w:tr>
      <w:tr>
        <w:trPr>
          <w:trHeight w:val="283" w:hRule="atLeast"/>
        </w:trPr>
        <w:tc>
          <w:tcPr>
            <w:tcW w:w="3649" w:type="dxa"/>
            <w:tcBorders/>
            <w:vAlign w:val="bottom"/>
          </w:tcPr>
          <w:p>
            <w:pPr>
              <w:pStyle w:val="DMETW2052BIPOrganicNSRperUC"/>
              <w:widowControl w:val="false"/>
              <w:rPr>
                <w:color w:val="auto"/>
                <w:lang w:val="el-GR"/>
              </w:rPr>
            </w:pPr>
            <w:r>
              <w:rPr>
                <w:color w:val="auto"/>
                <w:lang w:val="el-GR"/>
              </w:rPr>
              <w:t xml:space="preserve">Αντίκτυπος μεταβολών στην περίμετρο </w:t>
            </w:r>
          </w:p>
          <w:p>
            <w:pPr>
              <w:pStyle w:val="DMETW2940BIPOrganicNSRperUC"/>
              <w:widowControl w:val="false"/>
              <w:rPr>
                <w:color w:val="auto"/>
                <w:lang w:val="el-GR"/>
              </w:rPr>
            </w:pPr>
            <w:r>
              <w:rPr>
                <w:color w:val="auto"/>
                <w:lang w:val="el-GR"/>
              </w:rPr>
              <w:t>ενοποίησης</w:t>
            </w:r>
          </w:p>
        </w:tc>
        <w:tc>
          <w:tcPr>
            <w:tcW w:w="1668" w:type="dxa"/>
            <w:tcBorders/>
            <w:vAlign w:val="bottom"/>
          </w:tcPr>
          <w:p>
            <w:pPr>
              <w:pStyle w:val="DMETW2940BIPOrganicNSRperUC"/>
              <w:widowControl w:val="false"/>
              <w:jc w:val="right"/>
              <w:rPr>
                <w:color w:val="auto"/>
              </w:rPr>
            </w:pPr>
            <w:r>
              <w:rPr>
                <w:color w:val="auto"/>
              </w:rPr>
              <w:t>—</w:t>
            </w:r>
          </w:p>
        </w:tc>
        <w:tc>
          <w:tcPr>
            <w:tcW w:w="1720" w:type="dxa"/>
            <w:tcBorders/>
            <w:vAlign w:val="bottom"/>
          </w:tcPr>
          <w:p>
            <w:pPr>
              <w:pStyle w:val="DMETW2940BIPOrganicNSRperUC"/>
              <w:widowControl w:val="false"/>
              <w:jc w:val="right"/>
              <w:rPr>
                <w:color w:val="auto"/>
              </w:rPr>
            </w:pPr>
            <w:r>
              <w:rPr>
                <w:color w:val="auto"/>
              </w:rPr>
              <w:t>—</w:t>
            </w:r>
          </w:p>
        </w:tc>
        <w:tc>
          <w:tcPr>
            <w:tcW w:w="1583" w:type="dxa"/>
            <w:tcBorders/>
            <w:vAlign w:val="bottom"/>
          </w:tcPr>
          <w:p>
            <w:pPr>
              <w:pStyle w:val="DMETW2940BIPOrganicNSRperUC"/>
              <w:widowControl w:val="false"/>
              <w:jc w:val="right"/>
              <w:rPr>
                <w:color w:val="auto"/>
              </w:rPr>
            </w:pPr>
            <w:r>
              <w:rPr>
                <w:color w:val="auto"/>
              </w:rPr>
              <w:t>—</w:t>
            </w:r>
          </w:p>
        </w:tc>
        <w:tc>
          <w:tcPr>
            <w:tcW w:w="1330" w:type="dxa"/>
            <w:tcBorders/>
            <w:vAlign w:val="bottom"/>
          </w:tcPr>
          <w:p>
            <w:pPr>
              <w:pStyle w:val="DMETW2940BIPOrganicNSRperUC"/>
              <w:widowControl w:val="false"/>
              <w:jc w:val="right"/>
              <w:rPr>
                <w:color w:val="auto"/>
              </w:rPr>
            </w:pPr>
            <w:r>
              <w:rPr>
                <w:color w:val="auto"/>
              </w:rPr>
              <w:t>—</w:t>
            </w:r>
          </w:p>
        </w:tc>
      </w:tr>
      <w:tr>
        <w:trPr>
          <w:trHeight w:val="283" w:hRule="atLeast"/>
        </w:trPr>
        <w:tc>
          <w:tcPr>
            <w:tcW w:w="3649" w:type="dxa"/>
            <w:tcBorders/>
            <w:vAlign w:val="bottom"/>
          </w:tcPr>
          <w:p>
            <w:pPr>
              <w:pStyle w:val="DMETW2940BIPOrganicNSRperUC"/>
              <w:widowControl w:val="false"/>
              <w:rPr>
                <w:b/>
                <w:bCs/>
                <w:color w:val="auto"/>
              </w:rPr>
            </w:pPr>
            <w:r>
              <w:rPr>
                <w:b/>
                <w:bCs/>
                <w:color w:val="auto"/>
              </w:rPr>
              <w:t>Οργανική μεταβολή</w:t>
            </w:r>
          </w:p>
        </w:tc>
        <w:tc>
          <w:tcPr>
            <w:tcW w:w="1668" w:type="dxa"/>
            <w:tcBorders>
              <w:bottom w:val="single" w:sz="4" w:space="0" w:color="000000"/>
            </w:tcBorders>
            <w:vAlign w:val="bottom"/>
          </w:tcPr>
          <w:p>
            <w:pPr>
              <w:pStyle w:val="DMETW2940BIPOrganicNSRperUC"/>
              <w:widowControl w:val="false"/>
              <w:jc w:val="right"/>
              <w:rPr>
                <w:b/>
                <w:color w:val="auto"/>
              </w:rPr>
            </w:pPr>
            <w:r>
              <w:rPr>
                <w:b/>
                <w:bCs/>
                <w:color w:val="auto"/>
              </w:rPr>
              <w:t xml:space="preserve">0,11 </w:t>
            </w:r>
          </w:p>
        </w:tc>
        <w:tc>
          <w:tcPr>
            <w:tcW w:w="1720" w:type="dxa"/>
            <w:tcBorders>
              <w:bottom w:val="single" w:sz="4" w:space="0" w:color="000000"/>
            </w:tcBorders>
            <w:vAlign w:val="bottom"/>
          </w:tcPr>
          <w:p>
            <w:pPr>
              <w:pStyle w:val="DMETW2940BIPOrganicNSRperUC"/>
              <w:widowControl w:val="false"/>
              <w:jc w:val="right"/>
              <w:rPr>
                <w:b/>
                <w:color w:val="auto"/>
              </w:rPr>
            </w:pPr>
            <w:r>
              <w:rPr>
                <w:b/>
                <w:bCs/>
                <w:color w:val="auto"/>
              </w:rPr>
              <w:t xml:space="preserve">0,23 </w:t>
            </w:r>
          </w:p>
        </w:tc>
        <w:tc>
          <w:tcPr>
            <w:tcW w:w="1583" w:type="dxa"/>
            <w:tcBorders>
              <w:bottom w:val="single" w:sz="4" w:space="0" w:color="000000"/>
            </w:tcBorders>
            <w:vAlign w:val="bottom"/>
          </w:tcPr>
          <w:p>
            <w:pPr>
              <w:pStyle w:val="DMETW2940BIPOrganicNSRperUC"/>
              <w:widowControl w:val="false"/>
              <w:jc w:val="right"/>
              <w:rPr>
                <w:b/>
                <w:color w:val="auto"/>
              </w:rPr>
            </w:pPr>
            <w:r>
              <w:rPr>
                <w:b/>
                <w:bCs/>
                <w:color w:val="auto"/>
              </w:rPr>
              <w:t xml:space="preserve">0,07 </w:t>
            </w:r>
          </w:p>
        </w:tc>
        <w:tc>
          <w:tcPr>
            <w:tcW w:w="1330" w:type="dxa"/>
            <w:tcBorders>
              <w:bottom w:val="single" w:sz="4" w:space="0" w:color="000000"/>
            </w:tcBorders>
            <w:vAlign w:val="bottom"/>
          </w:tcPr>
          <w:p>
            <w:pPr>
              <w:pStyle w:val="DMETW2940BIPOrganicNSRperUC"/>
              <w:widowControl w:val="false"/>
              <w:jc w:val="right"/>
              <w:rPr>
                <w:b/>
                <w:color w:val="auto"/>
              </w:rPr>
            </w:pPr>
            <w:r>
              <w:rPr>
                <w:b/>
                <w:bCs/>
                <w:color w:val="auto"/>
              </w:rPr>
              <w:t>0,08</w:t>
            </w:r>
          </w:p>
        </w:tc>
      </w:tr>
      <w:tr>
        <w:trPr>
          <w:trHeight w:val="283" w:hRule="atLeast"/>
        </w:trPr>
        <w:tc>
          <w:tcPr>
            <w:tcW w:w="3649" w:type="dxa"/>
            <w:tcBorders/>
            <w:vAlign w:val="bottom"/>
          </w:tcPr>
          <w:p>
            <w:pPr>
              <w:pStyle w:val="DMETW2940BIPOrganicNSRperUC"/>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5,88</w:t>
            </w:r>
          </w:p>
        </w:tc>
        <w:tc>
          <w:tcPr>
            <w:tcW w:w="1720"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5,59</w:t>
            </w:r>
          </w:p>
        </w:tc>
        <w:tc>
          <w:tcPr>
            <w:tcW w:w="1583"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3,07</w:t>
            </w:r>
          </w:p>
        </w:tc>
        <w:tc>
          <w:tcPr>
            <w:tcW w:w="1330"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t>4,06</w:t>
            </w:r>
          </w:p>
        </w:tc>
      </w:tr>
      <w:tr>
        <w:trPr>
          <w:trHeight w:val="113" w:hRule="exact"/>
        </w:trPr>
        <w:tc>
          <w:tcPr>
            <w:tcW w:w="3649" w:type="dxa"/>
            <w:tcBorders/>
            <w:vAlign w:val="bottom"/>
          </w:tcPr>
          <w:p>
            <w:pPr>
              <w:pStyle w:val="DMETW2940BIPOrganicNSRperUC"/>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NSRperUC"/>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NSRperUC"/>
              <w:widowControl w:val="false"/>
              <w:jc w:val="right"/>
              <w:rPr>
                <w:b/>
                <w:color w:val="auto"/>
              </w:rPr>
            </w:pPr>
            <w:r>
              <w:rPr>
                <w:b/>
                <w:color w:val="auto"/>
              </w:rPr>
            </w:r>
          </w:p>
        </w:tc>
      </w:tr>
      <w:tr>
        <w:trPr>
          <w:trHeight w:val="283" w:hRule="atLeast"/>
        </w:trPr>
        <w:tc>
          <w:tcPr>
            <w:tcW w:w="3649" w:type="dxa"/>
            <w:tcBorders/>
            <w:vAlign w:val="bottom"/>
          </w:tcPr>
          <w:p>
            <w:pPr>
              <w:pStyle w:val="DMETW2940BIPOrganicNSRperUC"/>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1,9%</w:t>
            </w:r>
          </w:p>
        </w:tc>
        <w:tc>
          <w:tcPr>
            <w:tcW w:w="1720"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4,2%</w:t>
            </w:r>
          </w:p>
        </w:tc>
        <w:tc>
          <w:tcPr>
            <w:tcW w:w="1583"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2,4%</w:t>
            </w:r>
          </w:p>
        </w:tc>
        <w:tc>
          <w:tcPr>
            <w:tcW w:w="1330" w:type="dxa"/>
            <w:tcBorders>
              <w:top w:val="single" w:sz="4" w:space="0" w:color="000000"/>
              <w:bottom w:val="single" w:sz="4" w:space="0" w:color="000000"/>
            </w:tcBorders>
            <w:vAlign w:val="bottom"/>
          </w:tcPr>
          <w:p>
            <w:pPr>
              <w:pStyle w:val="DMETW2940BIPOrganicNSR"/>
              <w:widowControl w:val="false"/>
              <w:jc w:val="right"/>
              <w:rPr>
                <w:b/>
                <w:bCs/>
                <w:color w:val="auto"/>
              </w:rPr>
            </w:pPr>
            <w:r>
              <w:rPr>
                <w:b/>
                <w:bCs/>
                <w:color w:val="auto"/>
              </w:rPr>
              <w:t>2,1%</w:t>
            </w:r>
          </w:p>
        </w:tc>
      </w:tr>
    </w:tbl>
    <w:p>
      <w:pPr>
        <w:pStyle w:val="Normal"/>
        <w:rPr>
          <w:rFonts w:ascii="Effra Corp" w:hAnsi="Effra Corp" w:cs="Arial"/>
          <w:b/>
          <w:sz w:val="12"/>
          <w:szCs w:val="12"/>
          <w:lang w:val="el-GR"/>
        </w:rPr>
      </w:pPr>
      <w:r>
        <w:rPr>
          <w:rFonts w:cs="Arial" w:ascii="Effra Corp" w:hAnsi="Effra Corp"/>
          <w:b/>
          <w:sz w:val="12"/>
          <w:szCs w:val="12"/>
          <w:lang w:val="el-GR"/>
        </w:rPr>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center"/>
          </w:tcPr>
          <w:p>
            <w:pPr>
              <w:pStyle w:val="DMETW2940BIPOrganicCompEBIT"/>
              <w:widowControl w:val="false"/>
              <w:rPr>
                <w:color w:val="auto"/>
                <w:lang w:val="el-GR"/>
              </w:rPr>
            </w:pPr>
            <w:r>
              <w:rPr>
                <w:color w:val="auto"/>
                <w:lang w:val="el-GR"/>
              </w:rPr>
            </w:r>
            <w:bookmarkStart w:id="11" w:name="DOC_TBL00029_1_1"/>
            <w:bookmarkStart w:id="12" w:name="DOC_TBL00029_1_1"/>
            <w:bookmarkEnd w:id="12"/>
          </w:p>
          <w:p>
            <w:pPr>
              <w:pStyle w:val="DMETW2940BIPOrganicCompEBIT"/>
              <w:widowControl w:val="false"/>
              <w:rPr>
                <w:color w:val="auto"/>
                <w:lang w:val="el-GR"/>
              </w:rPr>
            </w:pPr>
            <w:r>
              <w:rPr>
                <w:color w:val="auto"/>
                <w:lang w:val="el-GR"/>
              </w:rPr>
            </w:r>
          </w:p>
          <w:p>
            <w:pPr>
              <w:pStyle w:val="DMETW2940BIPOrganicCompEBIT"/>
              <w:widowControl w:val="false"/>
              <w:rPr>
                <w:color w:val="auto"/>
                <w:lang w:val="el-GR"/>
              </w:rPr>
            </w:pPr>
            <w:r>
              <w:rPr>
                <w:color w:val="auto"/>
                <w:lang w:val="el-GR"/>
              </w:rPr>
            </w:r>
          </w:p>
          <w:p>
            <w:pPr>
              <w:pStyle w:val="DMETW2940BIPOrganicCompEBIT"/>
              <w:widowControl w:val="false"/>
              <w:rPr>
                <w:color w:val="auto"/>
                <w:lang w:val="el-GR"/>
              </w:rPr>
            </w:pPr>
            <w:r>
              <w:rPr>
                <w:color w:val="auto"/>
                <w:lang w:val="el-GR"/>
              </w:rPr>
            </w:r>
          </w:p>
        </w:tc>
        <w:tc>
          <w:tcPr>
            <w:tcW w:w="6301" w:type="dxa"/>
            <w:gridSpan w:val="4"/>
            <w:tcBorders/>
            <w:shd w:color="auto" w:fill="BFBFBF" w:val="clear"/>
            <w:vAlign w:val="center"/>
          </w:tcPr>
          <w:p>
            <w:pPr>
              <w:pStyle w:val="DMETW2940BIPOrganicCompEBIT"/>
              <w:widowControl w:val="false"/>
              <w:jc w:val="center"/>
              <w:rPr>
                <w:b/>
                <w:color w:val="auto"/>
              </w:rPr>
            </w:pPr>
            <w:r>
              <w:rPr>
                <w:b/>
                <w:color w:val="auto"/>
                <w:lang w:val="el-GR"/>
              </w:rPr>
              <w:t>Α’ Εξάμηνο</w:t>
            </w:r>
            <w:r>
              <w:rPr>
                <w:b/>
                <w:color w:val="auto"/>
              </w:rPr>
              <w:t xml:space="preserve"> 202</w:t>
            </w:r>
            <w:r>
              <w:rPr>
                <w:b/>
                <w:color w:val="auto"/>
                <w:lang w:val="el-GR"/>
              </w:rPr>
              <w:t>6</w:t>
            </w:r>
          </w:p>
        </w:tc>
      </w:tr>
      <w:tr>
        <w:trPr>
          <w:trHeight w:val="458" w:hRule="exact"/>
        </w:trPr>
        <w:tc>
          <w:tcPr>
            <w:tcW w:w="3649" w:type="dxa"/>
            <w:tcBorders/>
            <w:vAlign w:val="bottom"/>
          </w:tcPr>
          <w:p>
            <w:pPr>
              <w:pStyle w:val="DMETW2052BIPOrganicCompEBIT"/>
              <w:widowControl w:val="false"/>
              <w:rPr>
                <w:b/>
                <w:color w:val="auto"/>
                <w:lang w:val="el-GR"/>
              </w:rPr>
            </w:pPr>
            <w:r>
              <w:rPr>
                <w:b/>
                <w:color w:val="auto"/>
              </w:rPr>
              <w:t xml:space="preserve">Συγκρίσιμα λειτουργικά κέρδη </w:t>
            </w:r>
          </w:p>
          <w:p>
            <w:pPr>
              <w:pStyle w:val="DMETW2940BIPOrganicCompEBIT"/>
              <w:widowControl w:val="false"/>
              <w:rPr>
                <w:b/>
                <w:color w:val="auto"/>
              </w:rPr>
            </w:pPr>
            <w:r>
              <w:rPr>
                <w:b/>
                <w:color w:val="auto"/>
              </w:rPr>
              <w:t>(€ εκατ.)</w:t>
            </w:r>
          </w:p>
        </w:tc>
        <w:tc>
          <w:tcPr>
            <w:tcW w:w="1668" w:type="dxa"/>
            <w:tcBorders/>
            <w:shd w:color="auto" w:fill="BFBFBF" w:val="clear"/>
            <w:vAlign w:val="bottom"/>
          </w:tcPr>
          <w:p>
            <w:pPr>
              <w:pStyle w:val="DMETW2940BIPOrganicCompEBIT"/>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CompEBIT"/>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CompEBIT"/>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CompEBIT"/>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CompEBIT"/>
              <w:widowControl w:val="false"/>
              <w:rPr>
                <w:color w:val="auto"/>
              </w:rPr>
            </w:pPr>
            <w:r>
              <w:rPr>
                <w:color w:val="auto"/>
              </w:rPr>
              <w:t>202</w:t>
            </w:r>
            <w:r>
              <w:rPr>
                <w:color w:val="auto"/>
                <w:lang w:val="el-GR"/>
              </w:rPr>
              <w:t>5</w:t>
            </w:r>
            <w:r>
              <w:rPr>
                <w:color w:val="auto"/>
              </w:rPr>
              <w:t xml:space="preserve"> δημοσιευμένα μεγέθη</w:t>
            </w:r>
          </w:p>
        </w:tc>
        <w:tc>
          <w:tcPr>
            <w:tcW w:w="1668" w:type="dxa"/>
            <w:tcBorders/>
            <w:vAlign w:val="bottom"/>
          </w:tcPr>
          <w:p>
            <w:pPr>
              <w:pStyle w:val="DMETW2940BIPOrganicCompEBIT"/>
              <w:widowControl w:val="false"/>
              <w:jc w:val="right"/>
              <w:rPr>
                <w:color w:val="auto"/>
              </w:rPr>
            </w:pPr>
            <w:r>
              <w:rPr>
                <w:color w:val="auto"/>
              </w:rPr>
              <w:t>181</w:t>
            </w:r>
            <w:r>
              <w:rPr>
                <w:color w:val="auto"/>
                <w:lang w:val="el-GR"/>
              </w:rPr>
              <w:t>,</w:t>
            </w:r>
            <w:r>
              <w:rPr>
                <w:color w:val="auto"/>
              </w:rPr>
              <w:t>5</w:t>
            </w:r>
          </w:p>
        </w:tc>
        <w:tc>
          <w:tcPr>
            <w:tcW w:w="1720" w:type="dxa"/>
            <w:tcBorders/>
            <w:vAlign w:val="bottom"/>
          </w:tcPr>
          <w:p>
            <w:pPr>
              <w:pStyle w:val="DMETW2940BIPOrganicCompEBIT"/>
              <w:widowControl w:val="false"/>
              <w:jc w:val="right"/>
              <w:rPr>
                <w:color w:val="auto"/>
              </w:rPr>
            </w:pPr>
            <w:r>
              <w:rPr>
                <w:color w:val="auto"/>
              </w:rPr>
              <w:t>118</w:t>
            </w:r>
            <w:r>
              <w:rPr>
                <w:color w:val="auto"/>
                <w:lang w:val="el-GR"/>
              </w:rPr>
              <w:t>,</w:t>
            </w:r>
            <w:r>
              <w:rPr>
                <w:color w:val="auto"/>
              </w:rPr>
              <w:t>0</w:t>
            </w:r>
          </w:p>
        </w:tc>
        <w:tc>
          <w:tcPr>
            <w:tcW w:w="1583" w:type="dxa"/>
            <w:tcBorders/>
            <w:vAlign w:val="bottom"/>
          </w:tcPr>
          <w:p>
            <w:pPr>
              <w:pStyle w:val="DMETW2940BIPOrganicCompEBIT"/>
              <w:widowControl w:val="false"/>
              <w:jc w:val="right"/>
              <w:rPr>
                <w:color w:val="auto"/>
              </w:rPr>
            </w:pPr>
            <w:r>
              <w:rPr>
                <w:color w:val="auto"/>
              </w:rPr>
              <w:t>350</w:t>
            </w:r>
            <w:r>
              <w:rPr>
                <w:color w:val="auto"/>
                <w:lang w:val="el-GR"/>
              </w:rPr>
              <w:t>,</w:t>
            </w:r>
            <w:r>
              <w:rPr>
                <w:color w:val="auto"/>
              </w:rPr>
              <w:t>3</w:t>
            </w:r>
          </w:p>
        </w:tc>
        <w:tc>
          <w:tcPr>
            <w:tcW w:w="1330" w:type="dxa"/>
            <w:tcBorders/>
            <w:vAlign w:val="bottom"/>
          </w:tcPr>
          <w:p>
            <w:pPr>
              <w:pStyle w:val="DMETW2940BIPOrganicCompEBIT"/>
              <w:widowControl w:val="false"/>
              <w:jc w:val="right"/>
              <w:rPr>
                <w:color w:val="auto"/>
              </w:rPr>
            </w:pPr>
            <w:r>
              <w:rPr>
                <w:color w:val="auto"/>
              </w:rPr>
              <w:t>649</w:t>
            </w:r>
            <w:r>
              <w:rPr>
                <w:color w:val="auto"/>
                <w:lang w:val="el-GR"/>
              </w:rPr>
              <w:t>,</w:t>
            </w:r>
            <w:r>
              <w:rPr>
                <w:color w:val="auto"/>
              </w:rPr>
              <w:t>8</w:t>
            </w:r>
          </w:p>
        </w:tc>
      </w:tr>
      <w:tr>
        <w:trPr>
          <w:trHeight w:val="283" w:hRule="atLeast"/>
        </w:trPr>
        <w:tc>
          <w:tcPr>
            <w:tcW w:w="3649" w:type="dxa"/>
            <w:tcBorders/>
            <w:vAlign w:val="bottom"/>
          </w:tcPr>
          <w:p>
            <w:pPr>
              <w:pStyle w:val="DMETW2940BIPOrganicCompEBIT"/>
              <w:widowControl w:val="false"/>
              <w:rPr>
                <w:color w:val="auto"/>
              </w:rPr>
            </w:pPr>
            <w:r>
              <w:rPr>
                <w:color w:val="auto"/>
              </w:rPr>
              <w:t>Συναλλαγματική επίδραση</w:t>
            </w:r>
          </w:p>
        </w:tc>
        <w:tc>
          <w:tcPr>
            <w:tcW w:w="1668" w:type="dxa"/>
            <w:tcBorders/>
            <w:vAlign w:val="bottom"/>
          </w:tcPr>
          <w:p>
            <w:pPr>
              <w:pStyle w:val="DMETW2940BIPOrganicCompEBIT"/>
              <w:widowControl w:val="false"/>
              <w:jc w:val="right"/>
              <w:rPr>
                <w:color w:val="auto"/>
              </w:rPr>
            </w:pPr>
            <w:r>
              <w:rPr>
                <w:color w:val="auto"/>
              </w:rPr>
              <w:t>0,5</w:t>
            </w:r>
          </w:p>
        </w:tc>
        <w:tc>
          <w:tcPr>
            <w:tcW w:w="1720" w:type="dxa"/>
            <w:tcBorders/>
            <w:vAlign w:val="bottom"/>
          </w:tcPr>
          <w:p>
            <w:pPr>
              <w:pStyle w:val="DMETW2940BIPOrganicCompEBIT"/>
              <w:widowControl w:val="false"/>
              <w:jc w:val="right"/>
              <w:rPr>
                <w:color w:val="auto"/>
              </w:rPr>
            </w:pPr>
            <w:r>
              <w:rPr>
                <w:color w:val="auto"/>
              </w:rPr>
              <w:t>3,2</w:t>
            </w:r>
          </w:p>
        </w:tc>
        <w:tc>
          <w:tcPr>
            <w:tcW w:w="1583" w:type="dxa"/>
            <w:tcBorders/>
            <w:vAlign w:val="bottom"/>
          </w:tcPr>
          <w:p>
            <w:pPr>
              <w:pStyle w:val="DMETW2940BIPOrganicCompEBIT"/>
              <w:widowControl w:val="false"/>
              <w:jc w:val="right"/>
              <w:rPr>
                <w:color w:val="auto"/>
              </w:rPr>
            </w:pPr>
            <w:r>
              <w:rPr>
                <w:color w:val="auto"/>
              </w:rPr>
              <w:t>6,4</w:t>
            </w:r>
          </w:p>
        </w:tc>
        <w:tc>
          <w:tcPr>
            <w:tcW w:w="1330" w:type="dxa"/>
            <w:tcBorders/>
            <w:vAlign w:val="bottom"/>
          </w:tcPr>
          <w:p>
            <w:pPr>
              <w:pStyle w:val="DMETW2940BIPOrganicCompEBIT"/>
              <w:widowControl w:val="false"/>
              <w:jc w:val="right"/>
              <w:rPr>
                <w:color w:val="auto"/>
              </w:rPr>
            </w:pPr>
            <w:r>
              <w:rPr>
                <w:color w:val="auto"/>
              </w:rPr>
              <w:t>10,1</w:t>
            </w:r>
          </w:p>
        </w:tc>
      </w:tr>
      <w:tr>
        <w:trPr>
          <w:trHeight w:val="283" w:hRule="atLeast"/>
        </w:trPr>
        <w:tc>
          <w:tcPr>
            <w:tcW w:w="3649" w:type="dxa"/>
            <w:tcBorders/>
            <w:vAlign w:val="bottom"/>
          </w:tcPr>
          <w:p>
            <w:pPr>
              <w:pStyle w:val="DMETW2940BIPOrganicCompEBIT"/>
              <w:widowControl w:val="false"/>
              <w:rPr>
                <w:b/>
                <w:bCs/>
                <w:color w:val="auto"/>
              </w:rPr>
            </w:pPr>
            <w:r>
              <w:rPr>
                <w:b/>
                <w:bCs/>
                <w:color w:val="auto"/>
              </w:rPr>
              <w:t>202</w:t>
            </w:r>
            <w:r>
              <w:rPr>
                <w:b/>
                <w:bCs/>
                <w:color w:val="auto"/>
                <w:lang w:val="el-GR"/>
              </w:rPr>
              <w:t>5</w:t>
            </w:r>
            <w:r>
              <w:rPr>
                <w:b/>
                <w:bCs/>
                <w:color w:val="auto"/>
              </w:rPr>
              <w:t xml:space="preserve"> προσαρμοσμένα μεγέθη</w:t>
            </w:r>
          </w:p>
        </w:tc>
        <w:tc>
          <w:tcPr>
            <w:tcW w:w="1668" w:type="dxa"/>
            <w:tcBorders/>
            <w:vAlign w:val="bottom"/>
          </w:tcPr>
          <w:p>
            <w:pPr>
              <w:pStyle w:val="DMETW2940BIPOrganicCompEBIT"/>
              <w:widowControl w:val="false"/>
              <w:jc w:val="right"/>
              <w:rPr>
                <w:b/>
                <w:color w:val="auto"/>
              </w:rPr>
            </w:pPr>
            <w:r>
              <w:rPr>
                <w:b/>
                <w:bCs/>
                <w:color w:val="auto"/>
              </w:rPr>
              <w:t>182,0</w:t>
            </w:r>
          </w:p>
        </w:tc>
        <w:tc>
          <w:tcPr>
            <w:tcW w:w="1720" w:type="dxa"/>
            <w:tcBorders/>
            <w:vAlign w:val="bottom"/>
          </w:tcPr>
          <w:p>
            <w:pPr>
              <w:pStyle w:val="DMETW2940BIPOrganicCompEBIT"/>
              <w:widowControl w:val="false"/>
              <w:jc w:val="right"/>
              <w:rPr>
                <w:b/>
                <w:color w:val="auto"/>
              </w:rPr>
            </w:pPr>
            <w:r>
              <w:rPr>
                <w:b/>
                <w:bCs/>
                <w:color w:val="auto"/>
              </w:rPr>
              <w:t>121,2</w:t>
            </w:r>
          </w:p>
        </w:tc>
        <w:tc>
          <w:tcPr>
            <w:tcW w:w="1583" w:type="dxa"/>
            <w:tcBorders/>
            <w:vAlign w:val="bottom"/>
          </w:tcPr>
          <w:p>
            <w:pPr>
              <w:pStyle w:val="DMETW2940BIPOrganicCompEBIT"/>
              <w:widowControl w:val="false"/>
              <w:jc w:val="right"/>
              <w:rPr>
                <w:b/>
                <w:color w:val="auto"/>
              </w:rPr>
            </w:pPr>
            <w:r>
              <w:rPr>
                <w:b/>
                <w:bCs/>
                <w:color w:val="auto"/>
              </w:rPr>
              <w:t>356,7</w:t>
            </w:r>
          </w:p>
        </w:tc>
        <w:tc>
          <w:tcPr>
            <w:tcW w:w="1330" w:type="dxa"/>
            <w:tcBorders/>
            <w:vAlign w:val="bottom"/>
          </w:tcPr>
          <w:p>
            <w:pPr>
              <w:pStyle w:val="DMETW2940BIPOrganicCompEBIT"/>
              <w:widowControl w:val="false"/>
              <w:jc w:val="right"/>
              <w:rPr>
                <w:b/>
                <w:color w:val="auto"/>
              </w:rPr>
            </w:pPr>
            <w:r>
              <w:rPr>
                <w:b/>
                <w:bCs/>
                <w:color w:val="auto"/>
              </w:rPr>
              <w:t>659,9</w:t>
            </w:r>
          </w:p>
        </w:tc>
      </w:tr>
      <w:tr>
        <w:trPr>
          <w:trHeight w:val="283" w:hRule="atLeast"/>
        </w:trPr>
        <w:tc>
          <w:tcPr>
            <w:tcW w:w="3649" w:type="dxa"/>
            <w:tcBorders/>
            <w:vAlign w:val="bottom"/>
          </w:tcPr>
          <w:p>
            <w:pPr>
              <w:pStyle w:val="DMETW2052BIPOrganicCompEBIT"/>
              <w:widowControl w:val="false"/>
              <w:rPr>
                <w:color w:val="auto"/>
                <w:lang w:val="el-GR"/>
              </w:rPr>
            </w:pPr>
            <w:r>
              <w:rPr>
                <w:color w:val="auto"/>
                <w:lang w:val="el-GR"/>
              </w:rPr>
              <w:t xml:space="preserve">Αντίκτυπος μεταβολών στην περίμετρο </w:t>
            </w:r>
          </w:p>
          <w:p>
            <w:pPr>
              <w:pStyle w:val="DMETW2940BIPOrganicCompEBIT"/>
              <w:widowControl w:val="false"/>
              <w:rPr>
                <w:color w:val="auto"/>
                <w:lang w:val="el-GR"/>
              </w:rPr>
            </w:pPr>
            <w:r>
              <w:rPr>
                <w:color w:val="auto"/>
                <w:lang w:val="el-GR"/>
              </w:rPr>
              <w:t>ενοποίησης</w:t>
            </w:r>
          </w:p>
        </w:tc>
        <w:tc>
          <w:tcPr>
            <w:tcW w:w="1668" w:type="dxa"/>
            <w:tcBorders/>
            <w:vAlign w:val="bottom"/>
          </w:tcPr>
          <w:p>
            <w:pPr>
              <w:pStyle w:val="DMETW2940BIPOrganicCompEBIT"/>
              <w:widowControl w:val="false"/>
              <w:jc w:val="right"/>
              <w:rPr>
                <w:color w:val="auto"/>
              </w:rPr>
            </w:pPr>
            <w:r>
              <w:rPr>
                <w:color w:val="auto"/>
              </w:rPr>
              <w:t>0,2</w:t>
            </w:r>
          </w:p>
        </w:tc>
        <w:tc>
          <w:tcPr>
            <w:tcW w:w="1720" w:type="dxa"/>
            <w:tcBorders/>
            <w:vAlign w:val="bottom"/>
          </w:tcPr>
          <w:p>
            <w:pPr>
              <w:pStyle w:val="DMETW2940BIPOrganicCompEBIT"/>
              <w:widowControl w:val="false"/>
              <w:jc w:val="right"/>
              <w:rPr>
                <w:color w:val="auto"/>
              </w:rPr>
            </w:pPr>
            <w:r>
              <w:rPr>
                <w:color w:val="auto"/>
              </w:rPr>
              <w:t>—</w:t>
            </w:r>
          </w:p>
        </w:tc>
        <w:tc>
          <w:tcPr>
            <w:tcW w:w="1583" w:type="dxa"/>
            <w:tcBorders/>
            <w:vAlign w:val="bottom"/>
          </w:tcPr>
          <w:p>
            <w:pPr>
              <w:pStyle w:val="DMETW2940BIPOrganicCompEBIT"/>
              <w:widowControl w:val="false"/>
              <w:jc w:val="right"/>
              <w:rPr>
                <w:color w:val="auto"/>
              </w:rPr>
            </w:pPr>
            <w:r>
              <w:rPr>
                <w:color w:val="auto"/>
              </w:rPr>
              <w:t>—</w:t>
            </w:r>
          </w:p>
        </w:tc>
        <w:tc>
          <w:tcPr>
            <w:tcW w:w="1330" w:type="dxa"/>
            <w:tcBorders/>
            <w:vAlign w:val="bottom"/>
          </w:tcPr>
          <w:p>
            <w:pPr>
              <w:pStyle w:val="DMETW2940BIPOrganicCompEBIT"/>
              <w:widowControl w:val="false"/>
              <w:jc w:val="right"/>
              <w:rPr>
                <w:b/>
                <w:color w:val="auto"/>
              </w:rPr>
            </w:pPr>
            <w:r>
              <w:rPr>
                <w:color w:val="auto"/>
              </w:rPr>
              <w:t>0,2</w:t>
            </w:r>
          </w:p>
        </w:tc>
      </w:tr>
      <w:tr>
        <w:trPr>
          <w:trHeight w:val="283" w:hRule="atLeast"/>
        </w:trPr>
        <w:tc>
          <w:tcPr>
            <w:tcW w:w="3649" w:type="dxa"/>
            <w:tcBorders/>
            <w:vAlign w:val="bottom"/>
          </w:tcPr>
          <w:p>
            <w:pPr>
              <w:pStyle w:val="DMETW2940BIPOrganicCompEBIT"/>
              <w:widowControl w:val="false"/>
              <w:rPr>
                <w:b/>
                <w:bCs/>
                <w:color w:val="auto"/>
              </w:rPr>
            </w:pPr>
            <w:r>
              <w:rPr>
                <w:b/>
                <w:bCs/>
                <w:color w:val="auto"/>
              </w:rPr>
              <w:t>Οργανική μεταβολή</w:t>
            </w:r>
          </w:p>
        </w:tc>
        <w:tc>
          <w:tcPr>
            <w:tcW w:w="1668" w:type="dxa"/>
            <w:tcBorders>
              <w:bottom w:val="single" w:sz="4" w:space="0" w:color="000000"/>
            </w:tcBorders>
            <w:vAlign w:val="bottom"/>
          </w:tcPr>
          <w:p>
            <w:pPr>
              <w:pStyle w:val="DMETW2940BIPOrganicCompEBIT"/>
              <w:widowControl w:val="false"/>
              <w:jc w:val="right"/>
              <w:rPr>
                <w:b/>
                <w:color w:val="auto"/>
              </w:rPr>
            </w:pPr>
            <w:r>
              <w:rPr>
                <w:b/>
                <w:bCs/>
                <w:color w:val="auto"/>
              </w:rPr>
              <w:t>12,5</w:t>
            </w:r>
          </w:p>
        </w:tc>
        <w:tc>
          <w:tcPr>
            <w:tcW w:w="1720" w:type="dxa"/>
            <w:tcBorders>
              <w:bottom w:val="single" w:sz="4" w:space="0" w:color="000000"/>
            </w:tcBorders>
            <w:vAlign w:val="bottom"/>
          </w:tcPr>
          <w:p>
            <w:pPr>
              <w:pStyle w:val="DMETW2940BIPOrganicCompEBIT"/>
              <w:widowControl w:val="false"/>
              <w:jc w:val="right"/>
              <w:rPr>
                <w:b/>
                <w:color w:val="auto"/>
              </w:rPr>
            </w:pPr>
            <w:r>
              <w:rPr>
                <w:b/>
                <w:bCs/>
                <w:color w:val="auto"/>
              </w:rPr>
              <w:t>2,2</w:t>
            </w:r>
          </w:p>
        </w:tc>
        <w:tc>
          <w:tcPr>
            <w:tcW w:w="1583" w:type="dxa"/>
            <w:tcBorders>
              <w:bottom w:val="single" w:sz="4" w:space="0" w:color="000000"/>
            </w:tcBorders>
            <w:vAlign w:val="bottom"/>
          </w:tcPr>
          <w:p>
            <w:pPr>
              <w:pStyle w:val="DMETW2940BIPOrganicCompEBIT"/>
              <w:widowControl w:val="false"/>
              <w:jc w:val="right"/>
              <w:rPr>
                <w:b/>
                <w:color w:val="auto"/>
              </w:rPr>
            </w:pPr>
            <w:r>
              <w:rPr>
                <w:b/>
                <w:bCs/>
                <w:color w:val="auto"/>
              </w:rPr>
              <w:t>85,3</w:t>
            </w:r>
          </w:p>
        </w:tc>
        <w:tc>
          <w:tcPr>
            <w:tcW w:w="1330" w:type="dxa"/>
            <w:tcBorders>
              <w:bottom w:val="single" w:sz="4" w:space="0" w:color="000000"/>
            </w:tcBorders>
            <w:vAlign w:val="bottom"/>
          </w:tcPr>
          <w:p>
            <w:pPr>
              <w:pStyle w:val="DMETW2940BIPOrganicCompEBIT"/>
              <w:widowControl w:val="false"/>
              <w:jc w:val="right"/>
              <w:rPr>
                <w:b/>
                <w:color w:val="auto"/>
              </w:rPr>
            </w:pPr>
            <w:r>
              <w:rPr>
                <w:b/>
                <w:bCs/>
                <w:color w:val="auto"/>
              </w:rPr>
              <w:t>100,0</w:t>
            </w:r>
          </w:p>
        </w:tc>
      </w:tr>
      <w:tr>
        <w:trPr>
          <w:trHeight w:val="283" w:hRule="atLeast"/>
        </w:trPr>
        <w:tc>
          <w:tcPr>
            <w:tcW w:w="3649" w:type="dxa"/>
            <w:tcBorders/>
            <w:vAlign w:val="bottom"/>
          </w:tcPr>
          <w:p>
            <w:pPr>
              <w:pStyle w:val="DMETW2940BIPOrganicCompEBIT"/>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t>194,7</w:t>
            </w:r>
          </w:p>
        </w:tc>
        <w:tc>
          <w:tcPr>
            <w:tcW w:w="1720"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t>123,4</w:t>
            </w:r>
          </w:p>
        </w:tc>
        <w:tc>
          <w:tcPr>
            <w:tcW w:w="1583"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t>442,0</w:t>
            </w:r>
          </w:p>
        </w:tc>
        <w:tc>
          <w:tcPr>
            <w:tcW w:w="1330"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t>760,1</w:t>
            </w:r>
          </w:p>
        </w:tc>
      </w:tr>
      <w:tr>
        <w:trPr>
          <w:trHeight w:val="113" w:hRule="exact"/>
        </w:trPr>
        <w:tc>
          <w:tcPr>
            <w:tcW w:w="3649" w:type="dxa"/>
            <w:tcBorders/>
            <w:vAlign w:val="bottom"/>
          </w:tcPr>
          <w:p>
            <w:pPr>
              <w:pStyle w:val="DMETW2940BIPOrganicCompEBIT"/>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CompEBIT"/>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CompEBIT"/>
              <w:widowControl w:val="false"/>
              <w:jc w:val="right"/>
              <w:rPr>
                <w:b/>
                <w:color w:val="auto"/>
              </w:rPr>
            </w:pPr>
            <w:r>
              <w:rPr>
                <w:b/>
                <w:color w:val="auto"/>
              </w:rPr>
            </w:r>
          </w:p>
        </w:tc>
      </w:tr>
      <w:tr>
        <w:trPr>
          <w:trHeight w:val="283" w:hRule="atLeast"/>
        </w:trPr>
        <w:tc>
          <w:tcPr>
            <w:tcW w:w="3649" w:type="dxa"/>
            <w:tcBorders/>
            <w:vAlign w:val="bottom"/>
          </w:tcPr>
          <w:p>
            <w:pPr>
              <w:pStyle w:val="DMETW2940BIPOrganicCompEBIT"/>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Percent"/>
              <w:widowControl w:val="false"/>
              <w:jc w:val="right"/>
              <w:rPr>
                <w:rFonts w:ascii="Effra Corp" w:hAnsi="Effra Corp" w:cs="Effra Corp"/>
                <w:b/>
                <w:color w:val="auto"/>
              </w:rPr>
            </w:pPr>
            <w:r>
              <w:rPr>
                <w:rFonts w:eastAsia="Effra Corp" w:cs="Effra Corp" w:ascii="Effra Corp" w:hAnsi="Effra Corp"/>
                <w:b/>
                <w:bCs/>
                <w:color w:val="auto"/>
              </w:rPr>
              <w:t>6,9%</w:t>
            </w:r>
          </w:p>
        </w:tc>
        <w:tc>
          <w:tcPr>
            <w:tcW w:w="1720" w:type="dxa"/>
            <w:tcBorders>
              <w:top w:val="single" w:sz="4" w:space="0" w:color="000000"/>
              <w:bottom w:val="single" w:sz="4" w:space="0" w:color="000000"/>
            </w:tcBorders>
            <w:vAlign w:val="bottom"/>
          </w:tcPr>
          <w:p>
            <w:pPr>
              <w:pStyle w:val="Percent"/>
              <w:widowControl w:val="false"/>
              <w:jc w:val="right"/>
              <w:rPr>
                <w:rFonts w:ascii="Effra Corp" w:hAnsi="Effra Corp" w:cs="Effra Corp"/>
                <w:b/>
                <w:color w:val="auto"/>
              </w:rPr>
            </w:pPr>
            <w:r>
              <w:rPr>
                <w:rFonts w:eastAsia="Effra Corp" w:cs="Effra Corp" w:ascii="Effra Corp" w:hAnsi="Effra Corp"/>
                <w:b/>
                <w:bCs/>
                <w:color w:val="auto"/>
              </w:rPr>
              <w:t>1,8%</w:t>
            </w:r>
          </w:p>
        </w:tc>
        <w:tc>
          <w:tcPr>
            <w:tcW w:w="1583" w:type="dxa"/>
            <w:tcBorders>
              <w:top w:val="single" w:sz="4" w:space="0" w:color="000000"/>
              <w:bottom w:val="single" w:sz="4" w:space="0" w:color="000000"/>
            </w:tcBorders>
            <w:vAlign w:val="bottom"/>
          </w:tcPr>
          <w:p>
            <w:pPr>
              <w:pStyle w:val="Percent"/>
              <w:widowControl w:val="false"/>
              <w:jc w:val="right"/>
              <w:rPr>
                <w:rFonts w:ascii="Effra Corp" w:hAnsi="Effra Corp" w:cs="Effra Corp"/>
                <w:b/>
                <w:color w:val="auto"/>
              </w:rPr>
            </w:pPr>
            <w:r>
              <w:rPr>
                <w:rFonts w:eastAsia="Effra Corp" w:cs="Effra Corp" w:ascii="Effra Corp" w:hAnsi="Effra Corp"/>
                <w:b/>
                <w:bCs/>
                <w:color w:val="auto"/>
              </w:rPr>
              <w:t>23,9%</w:t>
            </w:r>
          </w:p>
        </w:tc>
        <w:tc>
          <w:tcPr>
            <w:tcW w:w="1330" w:type="dxa"/>
            <w:tcBorders>
              <w:top w:val="single" w:sz="4" w:space="0" w:color="000000"/>
              <w:bottom w:val="single" w:sz="4" w:space="0" w:color="000000"/>
            </w:tcBorders>
            <w:vAlign w:val="bottom"/>
          </w:tcPr>
          <w:p>
            <w:pPr>
              <w:pStyle w:val="Percent"/>
              <w:widowControl w:val="false"/>
              <w:jc w:val="right"/>
              <w:rPr>
                <w:rFonts w:ascii="Effra Corp" w:hAnsi="Effra Corp" w:cs="Effra Corp"/>
                <w:b/>
                <w:color w:val="auto"/>
              </w:rPr>
            </w:pPr>
            <w:r>
              <w:rPr>
                <w:rFonts w:eastAsia="Effra Corp" w:cs="Effra Corp" w:ascii="Effra Corp" w:hAnsi="Effra Corp"/>
                <w:b/>
                <w:bCs/>
                <w:color w:val="auto"/>
              </w:rPr>
              <w:t>15,2%</w:t>
            </w:r>
          </w:p>
        </w:tc>
      </w:tr>
    </w:tbl>
    <w:p>
      <w:pPr>
        <w:pStyle w:val="Normal"/>
        <w:rPr>
          <w:rFonts w:ascii="Effra Corp" w:hAnsi="Effra Corp" w:cs="Arial"/>
          <w:b/>
          <w:sz w:val="12"/>
          <w:szCs w:val="12"/>
        </w:rPr>
      </w:pPr>
      <w:r>
        <w:rPr>
          <w:rFonts w:cs="Arial" w:ascii="Effra Corp" w:hAnsi="Effra Corp"/>
          <w:b/>
          <w:sz w:val="12"/>
          <w:szCs w:val="12"/>
        </w:rPr>
      </w:r>
    </w:p>
    <w:tbl>
      <w:tblPr>
        <w:tblW w:w="5000" w:type="pct"/>
        <w:jc w:val="left"/>
        <w:tblInd w:w="0" w:type="dxa"/>
        <w:tblLayout w:type="fixed"/>
        <w:tblCellMar>
          <w:top w:w="0" w:type="dxa"/>
          <w:left w:w="60" w:type="dxa"/>
          <w:bottom w:w="0" w:type="dxa"/>
          <w:right w:w="60" w:type="dxa"/>
        </w:tblCellMar>
        <w:tblLook w:firstRow="1" w:noVBand="1" w:lastRow="0" w:firstColumn="1" w:lastColumn="0" w:noHBand="0" w:val="04a0"/>
      </w:tblPr>
      <w:tblGrid>
        <w:gridCol w:w="3649"/>
        <w:gridCol w:w="1668"/>
        <w:gridCol w:w="1720"/>
        <w:gridCol w:w="1583"/>
        <w:gridCol w:w="1330"/>
      </w:tblGrid>
      <w:tr>
        <w:trPr>
          <w:trHeight w:val="260" w:hRule="exact"/>
        </w:trPr>
        <w:tc>
          <w:tcPr>
            <w:tcW w:w="3649" w:type="dxa"/>
            <w:tcBorders/>
            <w:vAlign w:val="center"/>
          </w:tcPr>
          <w:p>
            <w:pPr>
              <w:pStyle w:val="DMETW2940BIPOrganicCompEBITMargin"/>
              <w:widowControl w:val="false"/>
              <w:rPr>
                <w:color w:val="auto"/>
              </w:rPr>
            </w:pPr>
            <w:r>
              <w:rPr>
                <w:color w:val="auto"/>
              </w:rPr>
            </w:r>
            <w:bookmarkStart w:id="13" w:name="DOC_TBL00034_1_1"/>
            <w:bookmarkStart w:id="14" w:name="DOC_TBL00034_1_1"/>
            <w:bookmarkEnd w:id="14"/>
          </w:p>
        </w:tc>
        <w:tc>
          <w:tcPr>
            <w:tcW w:w="6301" w:type="dxa"/>
            <w:gridSpan w:val="4"/>
            <w:tcBorders/>
            <w:shd w:color="auto" w:fill="BFBFBF" w:val="clear"/>
            <w:vAlign w:val="center"/>
          </w:tcPr>
          <w:p>
            <w:pPr>
              <w:pStyle w:val="DMETW2940BIPOrganicCompEBITMargin"/>
              <w:widowControl w:val="false"/>
              <w:jc w:val="center"/>
              <w:rPr>
                <w:b/>
                <w:color w:val="auto"/>
              </w:rPr>
            </w:pPr>
            <w:r>
              <w:rPr>
                <w:b/>
                <w:color w:val="auto"/>
                <w:lang w:val="el-GR"/>
              </w:rPr>
              <w:t>Α’ Εξάμηνο</w:t>
            </w:r>
            <w:r>
              <w:rPr>
                <w:b/>
                <w:color w:val="auto"/>
              </w:rPr>
              <w:t xml:space="preserve"> 202</w:t>
            </w:r>
            <w:r>
              <w:rPr>
                <w:b/>
                <w:color w:val="auto"/>
                <w:lang w:val="el-GR"/>
              </w:rPr>
              <w:t>6</w:t>
            </w:r>
          </w:p>
        </w:tc>
      </w:tr>
      <w:tr>
        <w:trPr>
          <w:trHeight w:val="533" w:hRule="exact"/>
        </w:trPr>
        <w:tc>
          <w:tcPr>
            <w:tcW w:w="3649" w:type="dxa"/>
            <w:tcBorders/>
            <w:vAlign w:val="bottom"/>
          </w:tcPr>
          <w:p>
            <w:pPr>
              <w:pStyle w:val="DMETW2940BIPOrganicCompEBITMargin"/>
              <w:widowControl w:val="false"/>
              <w:rPr>
                <w:b/>
                <w:color w:val="auto"/>
              </w:rPr>
            </w:pPr>
            <w:r>
              <w:rPr>
                <w:b/>
                <w:color w:val="auto"/>
              </w:rPr>
              <w:t xml:space="preserve">Περιθώριο </w:t>
            </w:r>
            <w:r>
              <w:rPr>
                <w:b/>
                <w:color w:val="auto"/>
                <w:lang w:val="el-GR"/>
              </w:rPr>
              <w:t>σ</w:t>
            </w:r>
            <w:r>
              <w:rPr>
                <w:b/>
                <w:color w:val="auto"/>
              </w:rPr>
              <w:t xml:space="preserve">υγκρίσιμων </w:t>
            </w:r>
            <w:r>
              <w:rPr>
                <w:b/>
                <w:color w:val="auto"/>
                <w:lang w:val="el-GR"/>
              </w:rPr>
              <w:t>λ</w:t>
            </w:r>
            <w:r>
              <w:rPr>
                <w:b/>
                <w:color w:val="auto"/>
              </w:rPr>
              <w:t xml:space="preserve">ειτουργικών </w:t>
            </w:r>
            <w:r>
              <w:rPr>
                <w:b/>
                <w:color w:val="auto"/>
                <w:lang w:val="el-GR"/>
              </w:rPr>
              <w:t>κ</w:t>
            </w:r>
            <w:r>
              <w:rPr>
                <w:b/>
                <w:color w:val="auto"/>
              </w:rPr>
              <w:t>ερ</w:t>
            </w:r>
            <w:r>
              <w:rPr>
                <w:b/>
                <w:color w:val="auto"/>
                <w:lang w:val="el-GR"/>
              </w:rPr>
              <w:t>δ</w:t>
            </w:r>
            <w:r>
              <w:rPr>
                <w:b/>
                <w:color w:val="auto"/>
              </w:rPr>
              <w:t>ών (%)</w:t>
            </w:r>
            <w:r>
              <w:rPr>
                <w:b/>
                <w:color w:val="auto"/>
                <w:vertAlign w:val="superscript"/>
              </w:rPr>
              <w:t>1</w:t>
            </w:r>
          </w:p>
        </w:tc>
        <w:tc>
          <w:tcPr>
            <w:tcW w:w="1668" w:type="dxa"/>
            <w:tcBorders/>
            <w:shd w:color="auto" w:fill="BFBFBF" w:val="clear"/>
            <w:vAlign w:val="bottom"/>
          </w:tcPr>
          <w:p>
            <w:pPr>
              <w:pStyle w:val="DMETW2940BIPOrganicCompEBITMargin"/>
              <w:widowControl w:val="false"/>
              <w:jc w:val="right"/>
              <w:rPr>
                <w:b/>
                <w:color w:val="auto"/>
              </w:rPr>
            </w:pPr>
            <w:r>
              <w:rPr>
                <w:b/>
                <w:color w:val="auto"/>
              </w:rPr>
              <w:t>Αναπτυγμένες αγορές</w:t>
            </w:r>
          </w:p>
        </w:tc>
        <w:tc>
          <w:tcPr>
            <w:tcW w:w="1720" w:type="dxa"/>
            <w:tcBorders/>
            <w:shd w:color="auto" w:fill="BFBFBF" w:val="clear"/>
            <w:vAlign w:val="bottom"/>
          </w:tcPr>
          <w:p>
            <w:pPr>
              <w:pStyle w:val="DMETW2940BIPOrganicCompEBITMargin"/>
              <w:widowControl w:val="false"/>
              <w:jc w:val="right"/>
              <w:rPr>
                <w:b/>
                <w:color w:val="auto"/>
              </w:rPr>
            </w:pPr>
            <w:r>
              <w:rPr>
                <w:b/>
                <w:color w:val="auto"/>
              </w:rPr>
              <w:t>Αναπτυσσόμενες αγορές</w:t>
            </w:r>
          </w:p>
        </w:tc>
        <w:tc>
          <w:tcPr>
            <w:tcW w:w="1583" w:type="dxa"/>
            <w:tcBorders/>
            <w:shd w:color="auto" w:fill="BFBFBF" w:val="clear"/>
            <w:vAlign w:val="bottom"/>
          </w:tcPr>
          <w:p>
            <w:pPr>
              <w:pStyle w:val="DMETW2940BIPOrganicCompEBITMargin"/>
              <w:widowControl w:val="false"/>
              <w:jc w:val="right"/>
              <w:rPr>
                <w:b/>
                <w:color w:val="auto"/>
              </w:rPr>
            </w:pPr>
            <w:r>
              <w:rPr>
                <w:b/>
                <w:color w:val="auto"/>
              </w:rPr>
              <w:t>Αναδυόμενες αγορές</w:t>
            </w:r>
          </w:p>
        </w:tc>
        <w:tc>
          <w:tcPr>
            <w:tcW w:w="1330" w:type="dxa"/>
            <w:tcBorders/>
            <w:shd w:color="auto" w:fill="BFBFBF" w:val="clear"/>
            <w:vAlign w:val="bottom"/>
          </w:tcPr>
          <w:p>
            <w:pPr>
              <w:pStyle w:val="DMETW2940BIPOrganicCompEBITMargin"/>
              <w:widowControl w:val="false"/>
              <w:jc w:val="right"/>
              <w:rPr>
                <w:b/>
                <w:color w:val="auto"/>
              </w:rPr>
            </w:pPr>
            <w:r>
              <w:rPr>
                <w:b/>
                <w:color w:val="auto"/>
              </w:rPr>
              <w:t>Όμιλος</w:t>
            </w:r>
          </w:p>
        </w:tc>
      </w:tr>
      <w:tr>
        <w:trPr>
          <w:trHeight w:val="283" w:hRule="atLeast"/>
        </w:trPr>
        <w:tc>
          <w:tcPr>
            <w:tcW w:w="3649" w:type="dxa"/>
            <w:tcBorders/>
            <w:vAlign w:val="bottom"/>
          </w:tcPr>
          <w:p>
            <w:pPr>
              <w:pStyle w:val="DMETW2940BIPOrganicCompEBITMargin"/>
              <w:widowControl w:val="false"/>
              <w:rPr>
                <w:color w:val="auto"/>
              </w:rPr>
            </w:pPr>
            <w:r>
              <w:rPr>
                <w:color w:val="auto"/>
              </w:rPr>
              <w:t>202</w:t>
            </w:r>
            <w:r>
              <w:rPr>
                <w:color w:val="auto"/>
                <w:lang w:val="el-GR"/>
              </w:rPr>
              <w:t>5</w:t>
            </w:r>
            <w:r>
              <w:rPr>
                <w:color w:val="auto"/>
              </w:rPr>
              <w:t xml:space="preserve"> δημοσιευμένα μεγέθη</w:t>
            </w:r>
          </w:p>
        </w:tc>
        <w:tc>
          <w:tcPr>
            <w:tcW w:w="1668" w:type="dxa"/>
            <w:tcBorders/>
            <w:vAlign w:val="bottom"/>
          </w:tcPr>
          <w:p>
            <w:pPr>
              <w:pStyle w:val="DMETW2940BIPOrganicCompEBITMargin"/>
              <w:widowControl w:val="false"/>
              <w:jc w:val="right"/>
              <w:rPr>
                <w:color w:val="auto"/>
              </w:rPr>
            </w:pPr>
            <w:r>
              <w:rPr>
                <w:color w:val="auto"/>
              </w:rPr>
              <w:t>10</w:t>
            </w:r>
            <w:r>
              <w:rPr>
                <w:color w:val="auto"/>
                <w:lang w:val="el-GR"/>
              </w:rPr>
              <w:t>,</w:t>
            </w:r>
            <w:r>
              <w:rPr>
                <w:color w:val="auto"/>
              </w:rPr>
              <w:t>3%</w:t>
            </w:r>
          </w:p>
        </w:tc>
        <w:tc>
          <w:tcPr>
            <w:tcW w:w="1720" w:type="dxa"/>
            <w:tcBorders/>
            <w:vAlign w:val="bottom"/>
          </w:tcPr>
          <w:p>
            <w:pPr>
              <w:pStyle w:val="DMETW2940BIPOrganicCompEBITMargin"/>
              <w:widowControl w:val="false"/>
              <w:jc w:val="right"/>
              <w:rPr>
                <w:color w:val="auto"/>
              </w:rPr>
            </w:pPr>
            <w:r>
              <w:rPr>
                <w:color w:val="auto"/>
              </w:rPr>
              <w:t>9</w:t>
            </w:r>
            <w:r>
              <w:rPr>
                <w:color w:val="auto"/>
                <w:lang w:val="el-GR"/>
              </w:rPr>
              <w:t>,</w:t>
            </w:r>
            <w:r>
              <w:rPr>
                <w:color w:val="auto"/>
              </w:rPr>
              <w:t>8%</w:t>
            </w:r>
          </w:p>
        </w:tc>
        <w:tc>
          <w:tcPr>
            <w:tcW w:w="1583" w:type="dxa"/>
            <w:tcBorders/>
            <w:vAlign w:val="bottom"/>
          </w:tcPr>
          <w:p>
            <w:pPr>
              <w:pStyle w:val="DMETW2940BIPOrganicCompEBITMargin"/>
              <w:widowControl w:val="false"/>
              <w:jc w:val="right"/>
              <w:rPr>
                <w:color w:val="auto"/>
              </w:rPr>
            </w:pPr>
            <w:r>
              <w:rPr>
                <w:color w:val="auto"/>
              </w:rPr>
              <w:t>13</w:t>
            </w:r>
            <w:r>
              <w:rPr>
                <w:color w:val="auto"/>
                <w:lang w:val="el-GR"/>
              </w:rPr>
              <w:t>,</w:t>
            </w:r>
            <w:r>
              <w:rPr>
                <w:color w:val="auto"/>
              </w:rPr>
              <w:t>2%</w:t>
            </w:r>
          </w:p>
        </w:tc>
        <w:tc>
          <w:tcPr>
            <w:tcW w:w="1330" w:type="dxa"/>
            <w:tcBorders/>
            <w:vAlign w:val="bottom"/>
          </w:tcPr>
          <w:p>
            <w:pPr>
              <w:pStyle w:val="DMETW2940BIPOrganicCompEBITMargin"/>
              <w:widowControl w:val="false"/>
              <w:jc w:val="right"/>
              <w:rPr>
                <w:color w:val="auto"/>
              </w:rPr>
            </w:pPr>
            <w:r>
              <w:rPr>
                <w:color w:val="auto"/>
              </w:rPr>
              <w:t>11</w:t>
            </w:r>
            <w:r>
              <w:rPr>
                <w:color w:val="auto"/>
                <w:lang w:val="el-GR"/>
              </w:rPr>
              <w:t>,</w:t>
            </w:r>
            <w:r>
              <w:rPr>
                <w:color w:val="auto"/>
              </w:rPr>
              <w:t>6%</w:t>
            </w:r>
          </w:p>
        </w:tc>
      </w:tr>
      <w:tr>
        <w:trPr>
          <w:trHeight w:val="283" w:hRule="atLeast"/>
        </w:trPr>
        <w:tc>
          <w:tcPr>
            <w:tcW w:w="3649" w:type="dxa"/>
            <w:tcBorders/>
            <w:vAlign w:val="bottom"/>
          </w:tcPr>
          <w:p>
            <w:pPr>
              <w:pStyle w:val="DMETW2940BIPOrganicCompEBITMargin"/>
              <w:widowControl w:val="false"/>
              <w:rPr>
                <w:color w:val="auto"/>
              </w:rPr>
            </w:pPr>
            <w:r>
              <w:rPr>
                <w:color w:val="auto"/>
              </w:rPr>
              <w:t>Συναλλαγματική επίδραση</w:t>
            </w:r>
          </w:p>
        </w:tc>
        <w:tc>
          <w:tcPr>
            <w:tcW w:w="1668" w:type="dxa"/>
            <w:tcBorders/>
            <w:vAlign w:val="bottom"/>
          </w:tcPr>
          <w:p>
            <w:pPr>
              <w:pStyle w:val="DMETW2940BIPOrganicCompEBITMargin"/>
              <w:widowControl w:val="false"/>
              <w:jc w:val="right"/>
              <w:rPr>
                <w:color w:val="auto"/>
              </w:rPr>
            </w:pPr>
            <w:r>
              <w:rPr>
                <w:color w:val="auto"/>
              </w:rPr>
              <w:t>—</w:t>
            </w:r>
          </w:p>
        </w:tc>
        <w:tc>
          <w:tcPr>
            <w:tcW w:w="1720" w:type="dxa"/>
            <w:tcBorders/>
            <w:vAlign w:val="bottom"/>
          </w:tcPr>
          <w:p>
            <w:pPr>
              <w:pStyle w:val="DMETW2940BIPOrganicCompEBITMargin"/>
              <w:widowControl w:val="false"/>
              <w:jc w:val="right"/>
              <w:rPr>
                <w:color w:val="auto"/>
              </w:rPr>
            </w:pPr>
            <w:r>
              <w:rPr>
                <w:color w:val="auto"/>
              </w:rPr>
              <w:t>0,1%</w:t>
            </w:r>
          </w:p>
        </w:tc>
        <w:tc>
          <w:tcPr>
            <w:tcW w:w="1583" w:type="dxa"/>
            <w:tcBorders/>
            <w:vAlign w:val="bottom"/>
          </w:tcPr>
          <w:p>
            <w:pPr>
              <w:pStyle w:val="DMETW2940BIPOrganicCompEBITMargin"/>
              <w:widowControl w:val="false"/>
              <w:jc w:val="right"/>
              <w:rPr>
                <w:color w:val="auto"/>
              </w:rPr>
            </w:pPr>
            <w:r>
              <w:rPr>
                <w:color w:val="auto"/>
              </w:rPr>
              <w:t>—</w:t>
            </w:r>
          </w:p>
        </w:tc>
        <w:tc>
          <w:tcPr>
            <w:tcW w:w="1330" w:type="dxa"/>
            <w:tcBorders/>
            <w:vAlign w:val="bottom"/>
          </w:tcPr>
          <w:p>
            <w:pPr>
              <w:pStyle w:val="DMETW2940BIPOrganicCompEBITMargin"/>
              <w:widowControl w:val="false"/>
              <w:jc w:val="right"/>
              <w:rPr>
                <w:color w:val="auto"/>
              </w:rPr>
            </w:pPr>
            <w:r>
              <w:rPr>
                <w:color w:val="auto"/>
              </w:rPr>
              <w:t>—</w:t>
            </w:r>
          </w:p>
        </w:tc>
      </w:tr>
      <w:tr>
        <w:trPr>
          <w:trHeight w:val="283" w:hRule="atLeast"/>
        </w:trPr>
        <w:tc>
          <w:tcPr>
            <w:tcW w:w="3649" w:type="dxa"/>
            <w:tcBorders/>
            <w:vAlign w:val="bottom"/>
          </w:tcPr>
          <w:p>
            <w:pPr>
              <w:pStyle w:val="DMETW2940BIPOrganicCompEBITMargin"/>
              <w:widowControl w:val="false"/>
              <w:rPr>
                <w:b/>
                <w:bCs/>
                <w:color w:val="auto"/>
              </w:rPr>
            </w:pPr>
            <w:r>
              <w:rPr>
                <w:b/>
                <w:bCs/>
                <w:color w:val="auto"/>
              </w:rPr>
              <w:t>202</w:t>
            </w:r>
            <w:r>
              <w:rPr>
                <w:b/>
                <w:bCs/>
                <w:color w:val="auto"/>
                <w:lang w:val="el-GR"/>
              </w:rPr>
              <w:t>5</w:t>
            </w:r>
            <w:r>
              <w:rPr>
                <w:b/>
                <w:bCs/>
                <w:color w:val="auto"/>
              </w:rPr>
              <w:t xml:space="preserve"> προσαρμοσμένα μεγέθη</w:t>
            </w:r>
          </w:p>
        </w:tc>
        <w:tc>
          <w:tcPr>
            <w:tcW w:w="1668" w:type="dxa"/>
            <w:tcBorders/>
            <w:vAlign w:val="bottom"/>
          </w:tcPr>
          <w:p>
            <w:pPr>
              <w:pStyle w:val="DMETW2940BIPOrganicCompEBITMargin"/>
              <w:widowControl w:val="false"/>
              <w:jc w:val="right"/>
              <w:rPr>
                <w:b/>
                <w:color w:val="auto"/>
              </w:rPr>
            </w:pPr>
            <w:r>
              <w:rPr>
                <w:b/>
                <w:bCs/>
                <w:color w:val="auto"/>
              </w:rPr>
              <w:t>10,3%</w:t>
            </w:r>
          </w:p>
        </w:tc>
        <w:tc>
          <w:tcPr>
            <w:tcW w:w="1720" w:type="dxa"/>
            <w:tcBorders/>
            <w:vAlign w:val="bottom"/>
          </w:tcPr>
          <w:p>
            <w:pPr>
              <w:pStyle w:val="DMETW2940BIPOrganicCompEBITMargin"/>
              <w:widowControl w:val="false"/>
              <w:jc w:val="right"/>
              <w:rPr>
                <w:b/>
                <w:color w:val="auto"/>
              </w:rPr>
            </w:pPr>
            <w:r>
              <w:rPr>
                <w:b/>
                <w:bCs/>
                <w:color w:val="auto"/>
              </w:rPr>
              <w:t>9,9%</w:t>
            </w:r>
          </w:p>
        </w:tc>
        <w:tc>
          <w:tcPr>
            <w:tcW w:w="1583" w:type="dxa"/>
            <w:tcBorders/>
            <w:vAlign w:val="bottom"/>
          </w:tcPr>
          <w:p>
            <w:pPr>
              <w:pStyle w:val="DMETW2940BIPOrganicCompEBITMargin"/>
              <w:widowControl w:val="false"/>
              <w:jc w:val="right"/>
              <w:rPr>
                <w:b/>
                <w:color w:val="auto"/>
              </w:rPr>
            </w:pPr>
            <w:r>
              <w:rPr>
                <w:b/>
                <w:bCs/>
                <w:color w:val="auto"/>
              </w:rPr>
              <w:t>13,3%</w:t>
            </w:r>
          </w:p>
        </w:tc>
        <w:tc>
          <w:tcPr>
            <w:tcW w:w="1330" w:type="dxa"/>
            <w:tcBorders/>
            <w:vAlign w:val="bottom"/>
          </w:tcPr>
          <w:p>
            <w:pPr>
              <w:pStyle w:val="DMETW2940BIPOrganicCompEBITMargin"/>
              <w:widowControl w:val="false"/>
              <w:jc w:val="right"/>
              <w:rPr>
                <w:b/>
                <w:color w:val="auto"/>
              </w:rPr>
            </w:pPr>
            <w:r>
              <w:rPr>
                <w:b/>
                <w:bCs/>
                <w:color w:val="auto"/>
              </w:rPr>
              <w:t>11,6%</w:t>
            </w:r>
          </w:p>
        </w:tc>
      </w:tr>
      <w:tr>
        <w:trPr>
          <w:trHeight w:val="283" w:hRule="atLeast"/>
        </w:trPr>
        <w:tc>
          <w:tcPr>
            <w:tcW w:w="3649" w:type="dxa"/>
            <w:tcBorders/>
            <w:vAlign w:val="bottom"/>
          </w:tcPr>
          <w:p>
            <w:pPr>
              <w:pStyle w:val="DMETW2052BIPOrganicCompEBITMargin"/>
              <w:widowControl w:val="false"/>
              <w:rPr>
                <w:color w:val="auto"/>
                <w:lang w:val="el-GR"/>
              </w:rPr>
            </w:pPr>
            <w:r>
              <w:rPr>
                <w:color w:val="auto"/>
                <w:lang w:val="el-GR"/>
              </w:rPr>
              <w:t xml:space="preserve">Αντίκτυπος μεταβολών στην περίμετρο </w:t>
            </w:r>
          </w:p>
          <w:p>
            <w:pPr>
              <w:pStyle w:val="DMETW2940BIPOrganicCompEBITMargin"/>
              <w:widowControl w:val="false"/>
              <w:rPr>
                <w:color w:val="auto"/>
                <w:lang w:val="el-GR"/>
              </w:rPr>
            </w:pPr>
            <w:r>
              <w:rPr>
                <w:color w:val="auto"/>
                <w:lang w:val="el-GR"/>
              </w:rPr>
              <w:t>ενοποίησης</w:t>
            </w:r>
          </w:p>
        </w:tc>
        <w:tc>
          <w:tcPr>
            <w:tcW w:w="1668" w:type="dxa"/>
            <w:tcBorders/>
            <w:vAlign w:val="bottom"/>
          </w:tcPr>
          <w:p>
            <w:pPr>
              <w:pStyle w:val="Percent"/>
              <w:widowControl w:val="false"/>
              <w:jc w:val="right"/>
              <w:rPr>
                <w:rFonts w:ascii="Effra Corp" w:hAnsi="Effra Corp" w:cs="Effra Corp"/>
                <w:color w:val="auto"/>
              </w:rPr>
            </w:pPr>
            <w:r>
              <w:rPr>
                <w:color w:val="auto"/>
              </w:rPr>
              <w:t>—</w:t>
            </w:r>
          </w:p>
        </w:tc>
        <w:tc>
          <w:tcPr>
            <w:tcW w:w="1720" w:type="dxa"/>
            <w:tcBorders/>
            <w:vAlign w:val="bottom"/>
          </w:tcPr>
          <w:p>
            <w:pPr>
              <w:pStyle w:val="Percent"/>
              <w:widowControl w:val="false"/>
              <w:jc w:val="right"/>
              <w:rPr>
                <w:rFonts w:ascii="Effra Corp" w:hAnsi="Effra Corp" w:cs="Effra Corp"/>
                <w:color w:val="auto"/>
              </w:rPr>
            </w:pPr>
            <w:r>
              <w:rPr>
                <w:color w:val="auto"/>
              </w:rPr>
              <w:t>—</w:t>
            </w:r>
          </w:p>
        </w:tc>
        <w:tc>
          <w:tcPr>
            <w:tcW w:w="1583" w:type="dxa"/>
            <w:tcBorders/>
            <w:vAlign w:val="bottom"/>
          </w:tcPr>
          <w:p>
            <w:pPr>
              <w:pStyle w:val="DMETW2940BIPOrganicCompEBITMargin"/>
              <w:widowControl w:val="false"/>
              <w:jc w:val="right"/>
              <w:rPr>
                <w:color w:val="auto"/>
              </w:rPr>
            </w:pPr>
            <w:r>
              <w:rPr>
                <w:color w:val="auto"/>
              </w:rPr>
              <w:t>—</w:t>
            </w:r>
          </w:p>
        </w:tc>
        <w:tc>
          <w:tcPr>
            <w:tcW w:w="1330" w:type="dxa"/>
            <w:tcBorders/>
            <w:vAlign w:val="bottom"/>
          </w:tcPr>
          <w:p>
            <w:pPr>
              <w:pStyle w:val="DMETW2940BIPOrganicCompEBITMargin"/>
              <w:widowControl w:val="false"/>
              <w:jc w:val="right"/>
              <w:rPr>
                <w:b/>
                <w:bCs/>
                <w:color w:val="auto"/>
              </w:rPr>
            </w:pPr>
            <w:r>
              <w:rPr>
                <w:color w:val="auto"/>
              </w:rPr>
              <w:t>—</w:t>
            </w:r>
          </w:p>
        </w:tc>
      </w:tr>
      <w:tr>
        <w:trPr>
          <w:trHeight w:val="283" w:hRule="atLeast"/>
        </w:trPr>
        <w:tc>
          <w:tcPr>
            <w:tcW w:w="3649" w:type="dxa"/>
            <w:tcBorders/>
            <w:vAlign w:val="bottom"/>
          </w:tcPr>
          <w:p>
            <w:pPr>
              <w:pStyle w:val="DMETW2940BIPOrganicCompEBITMargin"/>
              <w:widowControl w:val="false"/>
              <w:rPr>
                <w:b/>
                <w:bCs/>
                <w:color w:val="auto"/>
              </w:rPr>
            </w:pPr>
            <w:r>
              <w:rPr>
                <w:b/>
                <w:bCs/>
                <w:color w:val="auto"/>
              </w:rPr>
              <w:t>Οργανική μεταβολή</w:t>
            </w:r>
          </w:p>
        </w:tc>
        <w:tc>
          <w:tcPr>
            <w:tcW w:w="1668" w:type="dxa"/>
            <w:tcBorders>
              <w:bottom w:val="single" w:sz="4" w:space="0" w:color="000000"/>
            </w:tcBorders>
            <w:vAlign w:val="bottom"/>
          </w:tcPr>
          <w:p>
            <w:pPr>
              <w:pStyle w:val="DMETW2940BIPOrganicCompEBITMargin"/>
              <w:widowControl w:val="false"/>
              <w:jc w:val="right"/>
              <w:rPr>
                <w:b/>
                <w:color w:val="auto"/>
              </w:rPr>
            </w:pPr>
            <w:r>
              <w:rPr>
                <w:b/>
                <w:bCs/>
                <w:color w:val="auto"/>
              </w:rPr>
              <w:t>0,1%</w:t>
            </w:r>
          </w:p>
        </w:tc>
        <w:tc>
          <w:tcPr>
            <w:tcW w:w="1720" w:type="dxa"/>
            <w:tcBorders>
              <w:bottom w:val="single" w:sz="4" w:space="0" w:color="000000"/>
            </w:tcBorders>
            <w:vAlign w:val="bottom"/>
          </w:tcPr>
          <w:p>
            <w:pPr>
              <w:pStyle w:val="DMETW2940BIPOrganicCompEBITMargin"/>
              <w:widowControl w:val="false"/>
              <w:jc w:val="right"/>
              <w:rPr>
                <w:b/>
                <w:bCs/>
                <w:color w:val="auto"/>
              </w:rPr>
            </w:pPr>
            <w:r>
              <w:rPr>
                <w:b/>
                <w:bCs/>
                <w:color w:val="auto"/>
              </w:rPr>
              <w:t>-0,7%</w:t>
            </w:r>
          </w:p>
        </w:tc>
        <w:tc>
          <w:tcPr>
            <w:tcW w:w="1583" w:type="dxa"/>
            <w:tcBorders>
              <w:bottom w:val="single" w:sz="4" w:space="0" w:color="000000"/>
            </w:tcBorders>
            <w:vAlign w:val="bottom"/>
          </w:tcPr>
          <w:p>
            <w:pPr>
              <w:pStyle w:val="DMETW2940BIPOrganicCompEBITMargin"/>
              <w:widowControl w:val="false"/>
              <w:jc w:val="right"/>
              <w:rPr>
                <w:b/>
                <w:color w:val="auto"/>
              </w:rPr>
            </w:pPr>
            <w:r>
              <w:rPr>
                <w:b/>
                <w:bCs/>
                <w:color w:val="auto"/>
              </w:rPr>
              <w:t>1,4%</w:t>
            </w:r>
          </w:p>
        </w:tc>
        <w:tc>
          <w:tcPr>
            <w:tcW w:w="1330" w:type="dxa"/>
            <w:tcBorders>
              <w:bottom w:val="single" w:sz="4" w:space="0" w:color="000000"/>
            </w:tcBorders>
            <w:vAlign w:val="bottom"/>
          </w:tcPr>
          <w:p>
            <w:pPr>
              <w:pStyle w:val="DMETW2940BIPOrganicCompEBITMargin"/>
              <w:widowControl w:val="false"/>
              <w:jc w:val="right"/>
              <w:rPr>
                <w:b/>
                <w:color w:val="auto"/>
              </w:rPr>
            </w:pPr>
            <w:r>
              <w:rPr>
                <w:b/>
                <w:bCs/>
                <w:color w:val="auto"/>
              </w:rPr>
              <w:t>0,6%</w:t>
            </w:r>
          </w:p>
        </w:tc>
      </w:tr>
      <w:tr>
        <w:trPr>
          <w:trHeight w:val="283" w:hRule="atLeast"/>
        </w:trPr>
        <w:tc>
          <w:tcPr>
            <w:tcW w:w="3649" w:type="dxa"/>
            <w:tcBorders/>
            <w:vAlign w:val="bottom"/>
          </w:tcPr>
          <w:p>
            <w:pPr>
              <w:pStyle w:val="DMETW2940BIPOrganicCompEBITMargin"/>
              <w:widowControl w:val="false"/>
              <w:rPr>
                <w:bCs/>
                <w:color w:val="auto"/>
              </w:rPr>
            </w:pPr>
            <w:r>
              <w:rPr>
                <w:bCs/>
                <w:color w:val="auto"/>
              </w:rPr>
              <w:t>202</w:t>
            </w:r>
            <w:r>
              <w:rPr>
                <w:bCs/>
                <w:color w:val="auto"/>
                <w:lang w:val="el-GR"/>
              </w:rPr>
              <w:t>6</w:t>
            </w:r>
            <w:r>
              <w:rPr>
                <w:bCs/>
                <w:color w:val="auto"/>
              </w:rPr>
              <w:t xml:space="preserve"> δημοσιευμένα μεγέθη</w:t>
            </w:r>
          </w:p>
        </w:tc>
        <w:tc>
          <w:tcPr>
            <w:tcW w:w="1668"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t>10,3%</w:t>
            </w:r>
          </w:p>
        </w:tc>
        <w:tc>
          <w:tcPr>
            <w:tcW w:w="1720"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t>9,3%</w:t>
            </w:r>
          </w:p>
        </w:tc>
        <w:tc>
          <w:tcPr>
            <w:tcW w:w="1583"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t>14,7%</w:t>
            </w:r>
          </w:p>
        </w:tc>
        <w:tc>
          <w:tcPr>
            <w:tcW w:w="1330"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t>12,2%</w:t>
            </w:r>
          </w:p>
        </w:tc>
      </w:tr>
      <w:tr>
        <w:trPr>
          <w:trHeight w:val="113" w:hRule="exact"/>
        </w:trPr>
        <w:tc>
          <w:tcPr>
            <w:tcW w:w="3649" w:type="dxa"/>
            <w:tcBorders/>
            <w:vAlign w:val="bottom"/>
          </w:tcPr>
          <w:p>
            <w:pPr>
              <w:pStyle w:val="DMETW2940BIPOrganicCompEBITMargin"/>
              <w:widowControl w:val="false"/>
              <w:rPr>
                <w:color w:val="auto"/>
              </w:rPr>
            </w:pPr>
            <w:r>
              <w:rPr>
                <w:color w:val="auto"/>
              </w:rPr>
            </w:r>
          </w:p>
        </w:tc>
        <w:tc>
          <w:tcPr>
            <w:tcW w:w="1668"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r>
          </w:p>
        </w:tc>
        <w:tc>
          <w:tcPr>
            <w:tcW w:w="1720"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r>
          </w:p>
        </w:tc>
        <w:tc>
          <w:tcPr>
            <w:tcW w:w="1583" w:type="dxa"/>
            <w:tcBorders>
              <w:top w:val="single" w:sz="4" w:space="0" w:color="000000"/>
              <w:bottom w:val="single" w:sz="4" w:space="0" w:color="000000"/>
            </w:tcBorders>
            <w:vAlign w:val="bottom"/>
          </w:tcPr>
          <w:p>
            <w:pPr>
              <w:pStyle w:val="DMETW2940BIPOrganicCompEBITMargin"/>
              <w:widowControl w:val="false"/>
              <w:jc w:val="right"/>
              <w:rPr>
                <w:color w:val="auto"/>
              </w:rPr>
            </w:pPr>
            <w:r>
              <w:rPr>
                <w:color w:val="auto"/>
              </w:rPr>
            </w:r>
          </w:p>
        </w:tc>
        <w:tc>
          <w:tcPr>
            <w:tcW w:w="1330" w:type="dxa"/>
            <w:tcBorders>
              <w:top w:val="single" w:sz="4" w:space="0" w:color="000000"/>
              <w:bottom w:val="single" w:sz="4" w:space="0" w:color="000000"/>
            </w:tcBorders>
            <w:vAlign w:val="bottom"/>
          </w:tcPr>
          <w:p>
            <w:pPr>
              <w:pStyle w:val="DMETW2940BIPOrganicCompEBITMargin"/>
              <w:widowControl w:val="false"/>
              <w:jc w:val="right"/>
              <w:rPr>
                <w:b/>
                <w:color w:val="auto"/>
              </w:rPr>
            </w:pPr>
            <w:r>
              <w:rPr>
                <w:b/>
                <w:color w:val="auto"/>
              </w:rPr>
            </w:r>
          </w:p>
        </w:tc>
      </w:tr>
      <w:tr>
        <w:trPr>
          <w:trHeight w:val="283" w:hRule="atLeast"/>
        </w:trPr>
        <w:tc>
          <w:tcPr>
            <w:tcW w:w="3649" w:type="dxa"/>
            <w:tcBorders/>
            <w:vAlign w:val="bottom"/>
          </w:tcPr>
          <w:p>
            <w:pPr>
              <w:pStyle w:val="DMETW2940BIPOrganicCompEBITMargin"/>
              <w:widowControl w:val="false"/>
              <w:rPr>
                <w:b/>
                <w:color w:val="auto"/>
              </w:rPr>
            </w:pPr>
            <w:r>
              <w:rPr>
                <w:b/>
                <w:color w:val="auto"/>
              </w:rPr>
              <w:t>Οργανική αύξηση (%)</w:t>
            </w:r>
          </w:p>
        </w:tc>
        <w:tc>
          <w:tcPr>
            <w:tcW w:w="1668" w:type="dxa"/>
            <w:tcBorders>
              <w:top w:val="single" w:sz="4" w:space="0" w:color="000000"/>
              <w:bottom w:val="single" w:sz="4" w:space="0" w:color="000000"/>
            </w:tcBorders>
            <w:vAlign w:val="bottom"/>
          </w:tcPr>
          <w:p>
            <w:pPr>
              <w:pStyle w:val="Percent"/>
              <w:widowControl w:val="false"/>
              <w:jc w:val="right"/>
              <w:rPr>
                <w:rFonts w:ascii="Effra Corp" w:hAnsi="Effra Corp" w:cs="Effra Corp"/>
                <w:b/>
                <w:bCs/>
                <w:color w:val="auto"/>
              </w:rPr>
            </w:pPr>
            <w:r>
              <w:rPr>
                <w:rFonts w:eastAsia="Effra Corp" w:cs="Effra Corp" w:ascii="Effra Corp" w:hAnsi="Effra Corp"/>
                <w:b/>
                <w:bCs/>
                <w:color w:val="auto"/>
              </w:rPr>
              <w:t xml:space="preserve"> </w:t>
            </w:r>
            <w:r>
              <w:rPr>
                <w:rFonts w:eastAsia="Effra Corp" w:cs="Effra Corp" w:ascii="Effra Corp" w:hAnsi="Effra Corp"/>
                <w:b/>
                <w:bCs/>
                <w:color w:val="auto"/>
              </w:rPr>
              <w:t xml:space="preserve">10bps </w:t>
            </w:r>
          </w:p>
        </w:tc>
        <w:tc>
          <w:tcPr>
            <w:tcW w:w="1720" w:type="dxa"/>
            <w:tcBorders>
              <w:top w:val="single" w:sz="4" w:space="0" w:color="000000"/>
              <w:bottom w:val="single" w:sz="4" w:space="0" w:color="000000"/>
            </w:tcBorders>
            <w:vAlign w:val="bottom"/>
          </w:tcPr>
          <w:p>
            <w:pPr>
              <w:pStyle w:val="Percent"/>
              <w:widowControl w:val="false"/>
              <w:jc w:val="right"/>
              <w:rPr>
                <w:rFonts w:ascii="Effra Corp" w:hAnsi="Effra Corp" w:cs="Effra Corp"/>
                <w:b/>
                <w:bCs/>
                <w:color w:val="auto"/>
              </w:rPr>
            </w:pPr>
            <w:r>
              <w:rPr>
                <w:rFonts w:eastAsia="Effra Corp" w:cs="Effra Corp" w:ascii="Effra Corp" w:hAnsi="Effra Corp"/>
                <w:b/>
                <w:bCs/>
                <w:color w:val="auto"/>
              </w:rPr>
              <w:t xml:space="preserve"> </w:t>
            </w:r>
            <w:r>
              <w:rPr>
                <w:rFonts w:eastAsia="Effra Corp" w:cs="Effra Corp" w:ascii="Effra Corp" w:hAnsi="Effra Corp"/>
                <w:b/>
                <w:bCs/>
                <w:color w:val="auto"/>
              </w:rPr>
              <w:t xml:space="preserve">-70bps </w:t>
            </w:r>
          </w:p>
        </w:tc>
        <w:tc>
          <w:tcPr>
            <w:tcW w:w="1583" w:type="dxa"/>
            <w:tcBorders>
              <w:top w:val="single" w:sz="4" w:space="0" w:color="000000"/>
              <w:bottom w:val="single" w:sz="4" w:space="0" w:color="000000"/>
            </w:tcBorders>
            <w:vAlign w:val="bottom"/>
          </w:tcPr>
          <w:p>
            <w:pPr>
              <w:pStyle w:val="Percent"/>
              <w:widowControl w:val="false"/>
              <w:jc w:val="right"/>
              <w:rPr>
                <w:rFonts w:ascii="Effra Corp" w:hAnsi="Effra Corp" w:cs="Effra Corp"/>
                <w:b/>
                <w:bCs/>
                <w:color w:val="auto"/>
              </w:rPr>
            </w:pPr>
            <w:r>
              <w:rPr>
                <w:rFonts w:eastAsia="Effra Corp" w:cs="Effra Corp" w:ascii="Effra Corp" w:hAnsi="Effra Corp"/>
                <w:b/>
                <w:bCs/>
                <w:color w:val="auto"/>
              </w:rPr>
              <w:t xml:space="preserve"> </w:t>
            </w:r>
            <w:r>
              <w:rPr>
                <w:rFonts w:eastAsia="Effra Corp" w:cs="Effra Corp" w:ascii="Effra Corp" w:hAnsi="Effra Corp"/>
                <w:b/>
                <w:bCs/>
                <w:color w:val="auto"/>
              </w:rPr>
              <w:t xml:space="preserve">140bps </w:t>
            </w:r>
          </w:p>
        </w:tc>
        <w:tc>
          <w:tcPr>
            <w:tcW w:w="1330" w:type="dxa"/>
            <w:tcBorders>
              <w:top w:val="single" w:sz="4" w:space="0" w:color="000000"/>
              <w:bottom w:val="single" w:sz="4" w:space="0" w:color="000000"/>
            </w:tcBorders>
            <w:vAlign w:val="bottom"/>
          </w:tcPr>
          <w:p>
            <w:pPr>
              <w:pStyle w:val="Percent"/>
              <w:widowControl w:val="false"/>
              <w:jc w:val="right"/>
              <w:rPr>
                <w:rFonts w:ascii="Effra Corp" w:hAnsi="Effra Corp" w:cs="Effra Corp"/>
                <w:b/>
                <w:bCs/>
                <w:color w:val="auto"/>
              </w:rPr>
            </w:pPr>
            <w:r>
              <w:rPr>
                <w:rFonts w:eastAsia="Effra Corp" w:cs="Effra Corp" w:ascii="Effra Corp" w:hAnsi="Effra Corp"/>
                <w:b/>
                <w:bCs/>
                <w:color w:val="auto"/>
              </w:rPr>
              <w:t>60bps</w:t>
            </w:r>
          </w:p>
        </w:tc>
      </w:tr>
    </w:tbl>
    <w:p>
      <w:pPr>
        <w:pStyle w:val="Normal"/>
        <w:spacing w:before="120" w:after="0"/>
        <w:jc w:val="both"/>
        <w:rPr>
          <w:rFonts w:ascii="Effra Corp" w:hAnsi="Effra Corp" w:cs="Arial"/>
          <w:b/>
          <w:sz w:val="21"/>
          <w:szCs w:val="21"/>
          <w:lang w:val="el-GR"/>
        </w:rPr>
      </w:pPr>
      <w:r>
        <w:rPr>
          <w:rFonts w:cs="Arial" w:ascii="Effra Corp" w:hAnsi="Effra Corp"/>
          <w:i/>
          <w:spacing w:val="-2"/>
          <w:sz w:val="14"/>
          <w:szCs w:val="14"/>
          <w:vertAlign w:val="superscript"/>
          <w:lang w:val="el-GR"/>
        </w:rPr>
        <w:t>1</w:t>
      </w:r>
      <w:r>
        <w:rPr>
          <w:rFonts w:cs="Arial" w:ascii="Effra Corp" w:hAnsi="Effra Corp"/>
          <w:i/>
          <w:spacing w:val="-2"/>
          <w:sz w:val="14"/>
          <w:szCs w:val="14"/>
          <w:lang w:val="el-GR"/>
        </w:rPr>
        <w:t xml:space="preserve"> Τ</w:t>
      </w:r>
      <w:r>
        <w:rPr>
          <w:rFonts w:eastAsia="Effra Corp" w:cs="Effra Corp" w:ascii="Effra Corp" w:hAnsi="Effra Corp"/>
          <w:i/>
          <w:iCs/>
          <w:sz w:val="14"/>
          <w:szCs w:val="14"/>
          <w:lang w:val="el-GR"/>
        </w:rPr>
        <w:t>υχούσες διαφοροποιήσεις στους υπολογισμούς οφείλονται σε στρογγυλοποιήσεις</w:t>
      </w:r>
      <w:r>
        <w:rPr>
          <w:rFonts w:cs="Arial" w:ascii="Effra Corp" w:hAnsi="Effra Corp"/>
          <w:i/>
          <w:spacing w:val="-2"/>
          <w:sz w:val="14"/>
          <w:szCs w:val="14"/>
          <w:lang w:val="el-GR"/>
        </w:rPr>
        <w:t>.</w:t>
      </w:r>
      <w:r>
        <w:br w:type="page"/>
      </w:r>
    </w:p>
    <w:p>
      <w:pPr>
        <w:pStyle w:val="BodyText3"/>
        <w:shd w:val="clear" w:color="auto" w:fill="BFBFBF"/>
        <w:spacing w:before="0" w:after="120"/>
        <w:ind w:right="-37" w:hanging="0"/>
        <w:rPr>
          <w:rFonts w:ascii="Effra Corp" w:hAnsi="Effra Corp" w:cs="Arial"/>
          <w:spacing w:val="-2"/>
          <w:sz w:val="21"/>
          <w:szCs w:val="21"/>
          <w:lang w:val="el-GR"/>
        </w:rPr>
      </w:pPr>
      <w:r>
        <w:rPr>
          <w:rFonts w:cs="Arial" w:ascii="Effra Corp" w:hAnsi="Effra Corp"/>
          <w:b/>
          <w:sz w:val="21"/>
          <w:szCs w:val="21"/>
          <w:lang w:val="el-GR"/>
        </w:rPr>
        <w:t>Ορισμοί και συμφωνίες Εναλλακτικών δεικτών μέτρησης απόδοσης («ΕΔΜΑ») (συνέχεια)</w:t>
      </w:r>
    </w:p>
    <w:p>
      <w:pPr>
        <w:pStyle w:val="ListParagraph"/>
        <w:numPr>
          <w:ilvl w:val="0"/>
          <w:numId w:val="9"/>
        </w:numPr>
        <w:ind w:left="426" w:hanging="426"/>
        <w:rPr>
          <w:rFonts w:ascii="Effra Corp" w:hAnsi="Effra Corp" w:cs="Arial"/>
          <w:b/>
          <w:spacing w:val="-2"/>
          <w:sz w:val="21"/>
          <w:szCs w:val="21"/>
          <w:lang w:val="el-GR"/>
        </w:rPr>
      </w:pPr>
      <w:bookmarkStart w:id="15" w:name="_Hlk216704294"/>
      <w:bookmarkEnd w:id="15"/>
      <w:r>
        <w:rPr>
          <w:rFonts w:cs="Arial" w:ascii="Effra Corp" w:hAnsi="Effra Corp"/>
          <w:b/>
          <w:spacing w:val="-2"/>
          <w:sz w:val="21"/>
          <w:szCs w:val="21"/>
          <w:lang w:val="el-GR"/>
        </w:rPr>
        <w:t>Λοιποί εναλλακτικοί δείκτες μέτρησης απόδοσης</w:t>
      </w:r>
    </w:p>
    <w:p>
      <w:pPr>
        <w:pStyle w:val="Normal"/>
        <w:jc w:val="both"/>
        <w:rPr>
          <w:rFonts w:ascii="Effra Corp" w:hAnsi="Effra Corp" w:cs="Arial"/>
          <w:spacing w:val="-2"/>
          <w:sz w:val="12"/>
          <w:szCs w:val="12"/>
          <w:lang w:val="el-GR"/>
        </w:rPr>
      </w:pPr>
      <w:r>
        <w:rPr>
          <w:rFonts w:cs="Arial" w:ascii="Effra Corp" w:hAnsi="Effra Corp"/>
          <w:spacing w:val="-2"/>
          <w:sz w:val="12"/>
          <w:szCs w:val="12"/>
          <w:lang w:val="el-GR"/>
        </w:rPr>
      </w:r>
    </w:p>
    <w:p>
      <w:pPr>
        <w:pStyle w:val="Normal"/>
        <w:spacing w:before="0" w:after="120"/>
        <w:rPr>
          <w:rFonts w:ascii="Effra Corp" w:hAnsi="Effra Corp"/>
          <w:b/>
          <w:spacing w:val="-2"/>
          <w:sz w:val="21"/>
          <w:lang w:val="el-GR"/>
        </w:rPr>
      </w:pPr>
      <w:bookmarkStart w:id="16" w:name="_Hlk216704294"/>
      <w:bookmarkStart w:id="17" w:name="_Hlk189668948"/>
      <w:bookmarkEnd w:id="16"/>
      <w:r>
        <w:rPr>
          <w:rFonts w:cs="Arial" w:ascii="Effra Corp" w:hAnsi="Effra Corp"/>
          <w:b/>
          <w:spacing w:val="-2"/>
          <w:sz w:val="21"/>
          <w:szCs w:val="21"/>
          <w:lang w:val="el-GR"/>
        </w:rPr>
        <w:t>Π</w:t>
      </w:r>
      <w:r>
        <w:rPr>
          <w:rFonts w:eastAsia="Effra Corp" w:cs="Effra Corp" w:ascii="Effra Corp" w:hAnsi="Effra Corp"/>
          <w:b/>
          <w:spacing w:val="-2"/>
          <w:sz w:val="21"/>
          <w:lang w:val="el-GR" w:bidi="el-GR"/>
        </w:rPr>
        <w:t>ροσαρμοσμένα αποτελέσματα προ φόρων, τόκων και αποσβέσεων (EBITDA)</w:t>
      </w:r>
      <w:bookmarkEnd w:id="17"/>
    </w:p>
    <w:p>
      <w:pPr>
        <w:pStyle w:val="Normal"/>
        <w:spacing w:before="0" w:after="120"/>
        <w:jc w:val="both"/>
        <w:rPr>
          <w:rFonts w:ascii="Effra Corp" w:hAnsi="Effra Corp" w:eastAsia="Effra Corp" w:cs="Effra Corp"/>
          <w:sz w:val="21"/>
          <w:szCs w:val="21"/>
          <w:lang w:val="el-GR"/>
        </w:rPr>
      </w:pPr>
      <w:r>
        <w:rPr>
          <w:rFonts w:eastAsia="Effra Corp" w:cs="Arial" w:ascii="Effra Corp" w:hAnsi="Effra Corp"/>
          <w:spacing w:val="-2"/>
          <w:sz w:val="21"/>
          <w:szCs w:val="21"/>
          <w:lang w:val="el-GR" w:bidi="el-GR"/>
        </w:rPr>
        <w:t xml:space="preserve">Το προσαρμοσμένο EBITDA υπολογίζεται προσθέτοντας στα λειτουργικά κέρδη τις αποσβέσεις και τις καθαρές απομειώσεις ενσώματων παγίων στοιχείων, τις αποσβέσεις και τις καθαρές απομειώσεις των άυλων περιουσιακών στοιχείων, τις καθαρές απομειώσεις συμμετοχών λογιστικοποιημένων με την μέθοδο της καθαρής θέσης και τις μετοχές συνδεδεμένες με στόχους αποδοτικότητας και στοιχείων, εάν υπάρχουν, τα οποία αναγνωρίζονται στη γραμμή «Λοιπά μη ταμειακά στοιχεία» της ενοποιημένης κατάστασης ταμειακών ροών. Το προσαρμοσμένο EBITDA παρέχει χρήσιμες πληροφορίες για την ανάλυση της λειτουργικής απόδοσης του Ομίλου εξαιρώντας την επίδραση των λειτουργικών μη ταμειακών στοιχείων, όπως προβλέπεται παραπάνω. </w:t>
      </w:r>
      <w:r>
        <w:rPr>
          <w:rFonts w:eastAsia="Effra Corp" w:cs="Effra Corp" w:ascii="Effra Corp" w:hAnsi="Effra Corp"/>
          <w:sz w:val="21"/>
          <w:szCs w:val="21"/>
          <w:lang w:val="el-GR"/>
        </w:rPr>
        <w:t xml:space="preserve">Ο Όμιλος χρησιμοποιεί επίσης τα συγκρίσιμα προσαρμοσμένα αποτελέσματα προ φόρων, τόκων και αποσβέσεων (το συγκρίσιμο προσαρμοσμένο EBITDA), το οποίο υπολογίζεται αφαιρώντας από το προσαρμοσμένο EBITDA την επίδραση των εξόδων αναδιάρθρωσης του Ομίλου, των εξόδων εξαγοράς και ενσωμάτωσης, των εξόδων, κερδών ή ζημιών αποεπένδυσης, την τρέχουσα αποτίμηση των πράξεων αντιστάθμισης κινδύνου πρώτων υλών και την επίδραση της σύγκρουσης μεταξύ Ρωσίας και Ουκρανίας. Το συγκρίσιμο προσαρμοσμένο </w:t>
      </w:r>
      <w:r>
        <w:rPr>
          <w:rFonts w:eastAsia="Effra Corp" w:cs="Effra Corp" w:ascii="Effra Corp" w:hAnsi="Effra Corp"/>
          <w:sz w:val="21"/>
          <w:szCs w:val="21"/>
        </w:rPr>
        <w:t>EBITDA</w:t>
      </w:r>
      <w:r>
        <w:rPr>
          <w:rFonts w:eastAsia="Effra Corp" w:cs="Effra Corp" w:ascii="Effra Corp" w:hAnsi="Effra Corp"/>
          <w:sz w:val="21"/>
          <w:szCs w:val="21"/>
          <w:lang w:val="el-GR"/>
        </w:rPr>
        <w:t xml:space="preserve"> έχει στόχο την μέτρηση του επιπέδου χρηματοοικονομικής μόχλευσης του Ομίλου που υπολογίζεται συγκρίνοντας το συγκρίσιμο προσαρμοσμένο </w:t>
      </w:r>
      <w:r>
        <w:rPr>
          <w:rFonts w:eastAsia="Effra Corp" w:cs="Effra Corp" w:ascii="Effra Corp" w:hAnsi="Effra Corp"/>
          <w:sz w:val="21"/>
          <w:szCs w:val="21"/>
        </w:rPr>
        <w:t>EBITDA</w:t>
      </w:r>
      <w:r>
        <w:rPr>
          <w:rFonts w:eastAsia="Effra Corp" w:cs="Effra Corp" w:ascii="Effra Corp" w:hAnsi="Effra Corp"/>
          <w:sz w:val="21"/>
          <w:szCs w:val="21"/>
          <w:lang w:val="el-GR"/>
        </w:rPr>
        <w:t xml:space="preserve"> με τον καθαρό δανεισμό.</w:t>
      </w:r>
    </w:p>
    <w:p>
      <w:pPr>
        <w:pStyle w:val="Normal"/>
        <w:spacing w:before="0" w:after="120"/>
        <w:jc w:val="both"/>
        <w:rPr>
          <w:rFonts w:ascii="Effra Corp" w:hAnsi="Effra Corp" w:cs="Arial"/>
          <w:spacing w:val="-2"/>
          <w:sz w:val="21"/>
          <w:szCs w:val="21"/>
          <w:lang w:val="el-GR"/>
        </w:rPr>
      </w:pPr>
      <w:r>
        <w:rPr>
          <w:rFonts w:eastAsia="Effra Corp" w:cs="Arial" w:ascii="Effra Corp" w:hAnsi="Effra Corp"/>
          <w:spacing w:val="-2"/>
          <w:sz w:val="21"/>
          <w:szCs w:val="21"/>
          <w:lang w:val="el-GR" w:bidi="el-GR"/>
        </w:rPr>
        <w:t xml:space="preserve">Το προσαρμοσμένο EBITDA και το συγκρίσιμο προσαρμοσμένο EBITDA δεν αποτελούν δείκτες της κερδοφορίας και της ρευστότητας σύμφωνα με τα ΔΠΧΑ και υπόκεινται σε περιορισμούς, μερικοί από τους οποίους είναι οι εξής: το προσαρμοσμένο EBITDA και το συγκρίσιμο προσαρμοσμένο EBITDA δεν αντικατοπτρίζουν τις δαπάνες μας σε μετρητά ή τις μελλοντικές απαιτήσεις για κεφαλαιουχικές δαπάνες ή συμβατικές δεσμεύσεις. Το προσαρμοσμένο EBITDA και το συγκρίσιμο προσαρμοσμένο EBITDA δεν αντικατοπτρίζουν τις αλλαγές ή τις απαιτήσεις σε μετρητά ή τις ανάγκες σε κεφάλαιο κίνησης. Αν και οι απομειώσεις και οι αποσβέσεις αποτελούν μη ταμειακές επιβαρύνσεις, τα περιουσιακά στοιχεία η αξία των οποίων απομειώνεται και αποσβένεται συχνά αντικαθίστανται σε μεταγενέστερο χρόνο και το προσαρμοσμένο EBITDA και το συγκρίσιμο προσαρμοσμένο EBITDA δεν αντικατοπτρίζουν τυχόν απαιτήσεις σε μετρητά για τέτοιες αντικαταστάσεις. Εξαιτίας αυτών των περιορισμών, το προσαρμοσμένο EBITDA και το συγκρίσιμο προσαρμοσμένο EBITDA δεν πρέπει να θεωρούνται δείκτες των διαθέσιμων ταμειακών ροών και πρέπει να χρησιμοποιούνται μόνο ως συμπληρωματικοί ΕΔΜΑ. </w:t>
      </w:r>
    </w:p>
    <w:p>
      <w:pPr>
        <w:pStyle w:val="Normal"/>
        <w:spacing w:before="0" w:after="120"/>
        <w:rPr>
          <w:rFonts w:ascii="Effra Corp" w:hAnsi="Effra Corp" w:eastAsia="Effra Corp" w:cs="Effra Corp"/>
          <w:b/>
          <w:spacing w:val="-2"/>
          <w:sz w:val="21"/>
          <w:lang w:val="el-GR" w:bidi="el-GR"/>
        </w:rPr>
      </w:pPr>
      <w:r>
        <w:rPr>
          <w:rFonts w:eastAsia="Effra Corp" w:cs="Effra Corp" w:ascii="Effra Corp" w:hAnsi="Effra Corp"/>
          <w:b/>
          <w:spacing w:val="-2"/>
          <w:sz w:val="21"/>
          <w:lang w:val="el-GR" w:bidi="el-GR"/>
        </w:rPr>
        <w:t>Καθαρές ταμειακές ροές</w:t>
      </w:r>
    </w:p>
    <w:p>
      <w:pPr>
        <w:pStyle w:val="Normal"/>
        <w:spacing w:before="0" w:after="120"/>
        <w:jc w:val="both"/>
        <w:rPr>
          <w:rFonts w:ascii="Effra Corp" w:hAnsi="Effra Corp" w:cs="Arial"/>
          <w:spacing w:val="-2"/>
          <w:sz w:val="21"/>
          <w:szCs w:val="21"/>
          <w:lang w:val="el-GR"/>
        </w:rPr>
      </w:pPr>
      <w:r>
        <w:rPr>
          <w:rFonts w:cs="Arial" w:ascii="Effra Corp" w:hAnsi="Effra Corp"/>
          <w:spacing w:val="-2"/>
          <w:sz w:val="21"/>
          <w:szCs w:val="21"/>
          <w:lang w:val="el-GR"/>
        </w:rPr>
        <w:t>Οι καθαρές ταμειακές ροές είναι ένας εναλλακτικός δείκτης μέτρησης απόδοσης που χρησιμοποιεί ο Όμιλος και ορίζεται ως οι ταμειακές ροές από τις λειτουργικές δραστηριότητες, εξαιρουμένων των πληρωθέντων εξόδων εξαγοράς, μετά τις καθαρές πληρωμές για αγορές ενσώματων παγίων στοιχείων και των αποπληρωμών κεφαλαίου μισθώσεων, λαμβάνοντας υπόψη τις εισπράξεις από πωλήσεις ενσώματων παγίων στοιχείων. Οι καθαρές ταμειακές ροές μετρούν τις ταμειακές ροές που δημιουργούνται από τις δραστηριότητες του Ομίλου με βάση τις λειτουργικές δραστηριότητες, συμπεριλαμβανομένης της αποτελεσματικής χρήσης του κεφαλαίου κίνησης και λαμβάνοντας υπόψη τις καθαρές πληρωμές για αγορές ενσώματων παγίων στοιχείων. Ο Όμιλος θεωρεί την αγορά και διάθεση ενσώματων παγίων στοιχείων ως εν τέλει υποχρεωτική, καθώς απαιτείται συνεχής επένδυση σε εγκαταστάσεις, τεχνολογία και εξοπλισμό μάρκετινγκ, συμπεριλαμβανομένων των ψυγείων, για την υποστήριξη των καθημερινών λειτουργιών και των προοπτικών ανάπτυξης του Ομίλου. Ο Όμιλος παρουσιάζει τις καθαρές ταμειακές ροές, επειδή πιστεύει ότι ο δείκτης αυτός επιτρέπει στους χρήστες των οικονομικών καταστάσεων να κατανοήσουν την απόδοση των ταμειακών ροών του Ομίλου, καθώς και τη διαθεσιμότητα των ταμειακών ροών για καταβολή τόκων, διανομή μερίσματος καθώς και διακράτηση για άλλους σκοπούς. Το μέγεθος των καθαρών ταμειακών ροών χρησιμοποιείται από τη διοίκηση για τον προγραμματισμό και την υποβολή αναφορών, καθώς παρέχει πληροφορίες σχετικά με τις ταμειακές ροές από λειτουργικές δραστηριότητες, τις μεταβολές του κεφαλαίου κίνησης και τις καθαρές κεφαλαιουχικές δαπάνες που οι τοπικοί διευθυντές είναι πιο άμεσα σε θέση να επηρεάσουν. Οι συγκριτικές καθαρές ταμειακές ροές αναμορφώθηκαν ώστε να εξαιρεθεί το ποσό των εξόδων εξαγοράς που πληρώθηκαν κατά τη συγκριτική περίοδο, σε συμμόρφωση με την τροποποίηση του ορισμού των καθαρών ταμειακών ροών που τέθηκε σε ισχύ το 2025.</w:t>
      </w:r>
    </w:p>
    <w:p>
      <w:pPr>
        <w:pStyle w:val="Normal"/>
        <w:spacing w:before="0" w:after="120"/>
        <w:jc w:val="both"/>
        <w:rPr>
          <w:rFonts w:ascii="Effra Corp" w:hAnsi="Effra Corp" w:cs="Arial"/>
          <w:spacing w:val="-2"/>
          <w:sz w:val="21"/>
          <w:szCs w:val="21"/>
          <w:lang w:val="el-GR"/>
        </w:rPr>
      </w:pPr>
      <w:r>
        <w:rPr>
          <w:rFonts w:cs="Arial" w:ascii="Effra Corp" w:hAnsi="Effra Corp"/>
          <w:spacing w:val="-2"/>
          <w:sz w:val="21"/>
          <w:szCs w:val="21"/>
          <w:lang w:val="el-GR"/>
        </w:rPr>
      </w:r>
    </w:p>
    <w:p>
      <w:pPr>
        <w:pStyle w:val="BodyText3"/>
        <w:shd w:val="clear" w:color="auto" w:fill="BFBFBF"/>
        <w:spacing w:before="0" w:after="120"/>
        <w:rPr>
          <w:rFonts w:ascii="Effra Corp" w:hAnsi="Effra Corp" w:cs="Arial"/>
          <w:b/>
          <w:sz w:val="21"/>
          <w:szCs w:val="21"/>
          <w:lang w:val="el-GR"/>
        </w:rPr>
      </w:pPr>
      <w:r>
        <w:rPr>
          <w:rFonts w:eastAsia="Effra Corp" w:cs="Arial" w:ascii="Effra Corp" w:hAnsi="Effra Corp"/>
          <w:b/>
          <w:sz w:val="21"/>
          <w:szCs w:val="21"/>
          <w:lang w:val="el-GR" w:bidi="el-GR"/>
        </w:rPr>
        <w:t>Ορισμοί και συμφωνίες Εναλλακτικών δεικτών μέτρησης απόδοσης («ΕΔΜΑ») (συνέχεια)</w:t>
      </w:r>
    </w:p>
    <w:p>
      <w:pPr>
        <w:pStyle w:val="ListParagraph"/>
        <w:numPr>
          <w:ilvl w:val="0"/>
          <w:numId w:val="13"/>
        </w:numPr>
        <w:spacing w:before="0" w:after="120"/>
        <w:ind w:left="425" w:hanging="425"/>
        <w:contextualSpacing/>
        <w:rPr>
          <w:rFonts w:ascii="Effra Corp" w:hAnsi="Effra Corp" w:cs="Arial"/>
          <w:b/>
          <w:spacing w:val="-2"/>
          <w:sz w:val="21"/>
          <w:szCs w:val="21"/>
          <w:lang w:val="el-GR"/>
        </w:rPr>
      </w:pPr>
      <w:r>
        <w:rPr>
          <w:rFonts w:cs="Arial" w:ascii="Effra Corp" w:hAnsi="Effra Corp"/>
          <w:b/>
          <w:spacing w:val="-2"/>
          <w:sz w:val="21"/>
          <w:szCs w:val="21"/>
          <w:lang w:val="el-GR"/>
        </w:rPr>
        <w:t>Λοιποί εναλλακτικοί δείκτες μέτρησης απόδοσης (συνέχεια)</w:t>
      </w:r>
    </w:p>
    <w:p>
      <w:pPr>
        <w:pStyle w:val="Normal"/>
        <w:spacing w:before="0" w:after="120"/>
        <w:rPr>
          <w:rFonts w:ascii="Effra Corp" w:hAnsi="Effra Corp" w:eastAsia="Effra Corp" w:cs="Effra Corp"/>
          <w:b/>
          <w:spacing w:val="-2"/>
          <w:sz w:val="21"/>
          <w:lang w:val="el-GR" w:bidi="el-GR"/>
        </w:rPr>
      </w:pPr>
      <w:r>
        <w:rPr>
          <w:rFonts w:eastAsia="Effra Corp" w:cs="Effra Corp" w:ascii="Effra Corp" w:hAnsi="Effra Corp"/>
          <w:b/>
          <w:spacing w:val="-2"/>
          <w:sz w:val="21"/>
          <w:lang w:val="el-GR" w:bidi="el-GR"/>
        </w:rPr>
        <w:t>Καθαρές ταμειακές ροές (συνέχεια)</w:t>
      </w:r>
    </w:p>
    <w:p>
      <w:pPr>
        <w:pStyle w:val="Normal"/>
        <w:spacing w:before="0" w:after="120"/>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t>Οι καθαρές ταμειακές ροές δεν αποτελούν δείκτη της δημιουργίας ταμειακών ροών σύμφωνα με τα ΔΠΧΑ και υπόκεινται σε περιορισμούς, μερικοί από τους οποίους είναι οι εξής: οι καθαρές ταμειακές ροές δεν αντιπροσωπεύουν τις ταμειακές ροές που απομένουν και είναι διαθέσιμες για δαπάνες, καθώς ο Όμιλος έχει υποχρεώσεις πληρωμής που δεν αφαιρούνται από τον δείκτη. Από τις καθαρές ταμειακές ροές δεν αφαιρούνται οι ταμειακές ροές που χρησιμοποιεί ο Όμιλος σε άλλες επενδυτικές και χρηματοδοτικές δραστηριότητες καθώς και συγκεκριμένα άλλα στοιχεία που διακανονίζονται σε μετρητά. Άλλες εταιρείες του κλάδου στον οποίο λειτουργεί ο Όμιλος ενδέχεται να υπολογίζουν διαφορετικά τις καθαρές ταμειακές ροές, περιορίζοντας έτσι τη χρησιμότητά τους ως συγκριτικό μέγεθος.</w:t>
      </w:r>
    </w:p>
    <w:p>
      <w:pPr>
        <w:pStyle w:val="Normal"/>
        <w:spacing w:before="0" w:after="120"/>
        <w:rPr>
          <w:rFonts w:ascii="Effra Corp" w:hAnsi="Effra Corp"/>
          <w:b/>
          <w:spacing w:val="-2"/>
          <w:sz w:val="21"/>
          <w:lang w:val="el-GR"/>
        </w:rPr>
      </w:pPr>
      <w:r>
        <w:rPr>
          <w:rFonts w:eastAsia="Effra Corp" w:cs="Effra Corp" w:ascii="Effra Corp" w:hAnsi="Effra Corp"/>
          <w:b/>
          <w:spacing w:val="-2"/>
          <w:sz w:val="21"/>
          <w:lang w:val="el-GR" w:bidi="el-GR"/>
        </w:rPr>
        <w:t>Κεφαλαιουχικές δαπάνες</w:t>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t>Οι κεφαλαιουχικές δαπάνες ορίζονται ως οι πληρωμές για αγορές ενσώματων παγίων στοιχείων, πλέον τις αποπληρωμές κεφαλαίου μισθώσεων, μείον τις εισπράξεις από πωλήσεις ενσώματων παγίων στοιχείων. Ο Όμιλος χρησιμοποιεί τις κεφαλαιουχικές δαπάνες ως ΕΔΜΑ προκειμένου να διασφαλίσει ότι οι δαπάνες σε μετρητά είναι σε συνέπεια με τη συνολική στρατηγική για τη χρήση των μετρητών.</w:t>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r>
    </w:p>
    <w:p>
      <w:pPr>
        <w:pStyle w:val="Normal"/>
        <w:jc w:val="both"/>
        <w:rPr>
          <w:rFonts w:ascii="Effra Corp" w:hAnsi="Effra Corp" w:eastAsia="Effra Corp" w:cs="Arial"/>
          <w:spacing w:val="-2"/>
          <w:sz w:val="21"/>
          <w:szCs w:val="21"/>
          <w:lang w:val="el-GR" w:bidi="el-GR"/>
        </w:rPr>
      </w:pPr>
      <w:r>
        <w:rPr>
          <w:rFonts w:eastAsia="Effra Corp" w:cs="Arial" w:ascii="Effra Corp" w:hAnsi="Effra Corp"/>
          <w:spacing w:val="-2"/>
          <w:sz w:val="21"/>
          <w:szCs w:val="21"/>
          <w:lang w:val="el-GR" w:bidi="el-GR"/>
        </w:rPr>
      </w:r>
    </w:p>
    <w:p>
      <w:pPr>
        <w:pStyle w:val="Normal"/>
        <w:spacing w:before="0" w:after="120"/>
        <w:jc w:val="both"/>
        <w:rPr>
          <w:rFonts w:ascii="Effra Corp" w:hAnsi="Effra Corp"/>
          <w:bCs/>
          <w:spacing w:val="-2"/>
          <w:sz w:val="21"/>
          <w:lang w:val="el-GR" w:bidi="el-GR"/>
        </w:rPr>
      </w:pPr>
      <w:r>
        <w:rPr>
          <w:rFonts w:ascii="Effra Corp" w:hAnsi="Effra Corp"/>
          <w:bCs/>
          <w:spacing w:val="-2"/>
          <w:sz w:val="21"/>
          <w:lang w:val="el-GR" w:bidi="el-GR"/>
        </w:rPr>
        <w:t xml:space="preserve">Ο παρακάτω πίνακας απεικονίζει πως υπολογίζονται το προσαρμοσμένο </w:t>
      </w:r>
      <w:r>
        <w:rPr>
          <w:rFonts w:ascii="Effra Corp" w:hAnsi="Effra Corp"/>
          <w:bCs/>
          <w:spacing w:val="-2"/>
          <w:sz w:val="21"/>
          <w:lang w:bidi="el-GR"/>
        </w:rPr>
        <w:t>EBITDA</w:t>
      </w:r>
      <w:r>
        <w:rPr>
          <w:rFonts w:ascii="Effra Corp" w:hAnsi="Effra Corp"/>
          <w:bCs/>
          <w:spacing w:val="-2"/>
          <w:sz w:val="21"/>
          <w:lang w:val="el-GR" w:bidi="el-GR"/>
        </w:rPr>
        <w:t>, οι καθαρές ταμειακές ροές και οι κεφαλαιουχικές δαπάνες:</w:t>
      </w:r>
    </w:p>
    <w:p>
      <w:pPr>
        <w:pStyle w:val="Normal"/>
        <w:spacing w:before="0" w:after="60"/>
        <w:jc w:val="both"/>
        <w:rPr>
          <w:rFonts w:ascii="Effra Corp" w:hAnsi="Effra Corp" w:cs="Arial"/>
          <w:spacing w:val="-2"/>
          <w:sz w:val="12"/>
          <w:szCs w:val="12"/>
          <w:lang w:val="el-GR"/>
        </w:rPr>
      </w:pPr>
      <w:r>
        <w:rPr>
          <w:rFonts w:cs="Arial" w:ascii="Effra Corp" w:hAnsi="Effra Corp"/>
          <w:spacing w:val="-2"/>
          <w:sz w:val="12"/>
          <w:szCs w:val="12"/>
          <w:lang w:val="el-GR"/>
        </w:rPr>
      </w:r>
    </w:p>
    <w:tbl>
      <w:tblPr>
        <w:tblW w:w="10017" w:type="dxa"/>
        <w:jc w:val="left"/>
        <w:tblInd w:w="0" w:type="dxa"/>
        <w:tblLayout w:type="fixed"/>
        <w:tblCellMar>
          <w:top w:w="0" w:type="dxa"/>
          <w:left w:w="60" w:type="dxa"/>
          <w:bottom w:w="0" w:type="dxa"/>
          <w:right w:w="60" w:type="dxa"/>
        </w:tblCellMar>
        <w:tblLook w:firstRow="1" w:noVBand="1" w:lastRow="0" w:firstColumn="1" w:lastColumn="0" w:noHBand="0" w:val="04a0"/>
      </w:tblPr>
      <w:tblGrid>
        <w:gridCol w:w="7088"/>
        <w:gridCol w:w="1558"/>
        <w:gridCol w:w="1371"/>
      </w:tblGrid>
      <w:tr>
        <w:trPr>
          <w:trHeight w:val="20" w:hRule="atLeast"/>
        </w:trPr>
        <w:tc>
          <w:tcPr>
            <w:tcW w:w="7088" w:type="dxa"/>
            <w:tcBorders/>
            <w:vAlign w:val="bottom"/>
          </w:tcPr>
          <w:p>
            <w:pPr>
              <w:pStyle w:val="DMETW2940BIPFCF"/>
              <w:widowControl w:val="false"/>
              <w:rPr>
                <w:color w:val="auto"/>
                <w:lang w:val="el-GR"/>
              </w:rPr>
            </w:pPr>
            <w:r>
              <w:rPr>
                <w:color w:val="auto"/>
                <w:lang w:val="el-GR"/>
              </w:rPr>
            </w:r>
            <w:bookmarkStart w:id="18" w:name="DOC_TBL00016_1_1"/>
            <w:bookmarkStart w:id="19" w:name="DOC_TBL00016_1_1"/>
            <w:bookmarkEnd w:id="19"/>
          </w:p>
        </w:tc>
        <w:tc>
          <w:tcPr>
            <w:tcW w:w="2929" w:type="dxa"/>
            <w:gridSpan w:val="2"/>
            <w:tcBorders/>
            <w:shd w:color="auto" w:fill="BFBFBF" w:val="clear"/>
            <w:vAlign w:val="bottom"/>
          </w:tcPr>
          <w:p>
            <w:pPr>
              <w:pStyle w:val="DMETW2940BIPFCF"/>
              <w:widowControl w:val="false"/>
              <w:jc w:val="center"/>
              <w:rPr>
                <w:b/>
                <w:color w:val="auto"/>
                <w:lang w:val="el-GR"/>
              </w:rPr>
            </w:pPr>
            <w:r>
              <w:rPr>
                <w:b/>
                <w:color w:val="auto"/>
                <w:lang w:val="el-GR"/>
              </w:rPr>
              <w:t>Α’ Εξάμηνο</w:t>
            </w:r>
          </w:p>
        </w:tc>
      </w:tr>
      <w:tr>
        <w:trPr>
          <w:trHeight w:val="20" w:hRule="atLeast"/>
        </w:trPr>
        <w:tc>
          <w:tcPr>
            <w:tcW w:w="7088" w:type="dxa"/>
            <w:tcBorders/>
            <w:vAlign w:val="bottom"/>
          </w:tcPr>
          <w:p>
            <w:pPr>
              <w:pStyle w:val="DMETW2940BIPFCF"/>
              <w:widowControl w:val="false"/>
              <w:rPr>
                <w:color w:val="auto"/>
              </w:rPr>
            </w:pPr>
            <w:r>
              <w:rPr>
                <w:color w:val="auto"/>
              </w:rPr>
            </w:r>
          </w:p>
        </w:tc>
        <w:tc>
          <w:tcPr>
            <w:tcW w:w="1558" w:type="dxa"/>
            <w:tcBorders/>
            <w:shd w:color="auto" w:fill="BFBFBF" w:val="clear"/>
            <w:vAlign w:val="bottom"/>
          </w:tcPr>
          <w:p>
            <w:pPr>
              <w:pStyle w:val="DMETW2940BIPFCF"/>
              <w:widowControl w:val="false"/>
              <w:jc w:val="right"/>
              <w:rPr>
                <w:b/>
                <w:color w:val="auto"/>
              </w:rPr>
            </w:pPr>
            <w:r>
              <w:rPr>
                <w:b/>
                <w:color w:val="auto"/>
              </w:rPr>
              <w:t>202</w:t>
            </w:r>
            <w:r>
              <w:rPr>
                <w:b/>
                <w:color w:val="auto"/>
                <w:lang w:val="el-GR"/>
              </w:rPr>
              <w:t>6</w:t>
            </w:r>
          </w:p>
        </w:tc>
        <w:tc>
          <w:tcPr>
            <w:tcW w:w="1371" w:type="dxa"/>
            <w:tcBorders/>
            <w:shd w:color="auto" w:fill="BFBFBF" w:val="clear"/>
            <w:vAlign w:val="bottom"/>
          </w:tcPr>
          <w:p>
            <w:pPr>
              <w:pStyle w:val="DMETW2940BIPFCF"/>
              <w:widowControl w:val="false"/>
              <w:jc w:val="right"/>
              <w:rPr>
                <w:b/>
                <w:color w:val="auto"/>
              </w:rPr>
            </w:pPr>
            <w:r>
              <w:rPr>
                <w:b/>
                <w:color w:val="auto"/>
              </w:rPr>
              <w:t>202</w:t>
            </w:r>
            <w:r>
              <w:rPr>
                <w:b/>
                <w:color w:val="auto"/>
                <w:lang w:val="el-GR"/>
              </w:rPr>
              <w:t>5</w:t>
            </w:r>
          </w:p>
        </w:tc>
      </w:tr>
      <w:tr>
        <w:trPr>
          <w:trHeight w:val="20" w:hRule="atLeast"/>
        </w:trPr>
        <w:tc>
          <w:tcPr>
            <w:tcW w:w="7088" w:type="dxa"/>
            <w:tcBorders/>
            <w:vAlign w:val="bottom"/>
          </w:tcPr>
          <w:p>
            <w:pPr>
              <w:pStyle w:val="DMETW2940BIPFCF"/>
              <w:widowControl w:val="false"/>
              <w:rPr>
                <w:color w:val="auto"/>
              </w:rPr>
            </w:pPr>
            <w:r>
              <w:rPr>
                <w:color w:val="auto"/>
              </w:rPr>
            </w:r>
          </w:p>
        </w:tc>
        <w:tc>
          <w:tcPr>
            <w:tcW w:w="1558" w:type="dxa"/>
            <w:tcBorders/>
            <w:shd w:color="auto" w:fill="BFBFBF" w:val="clear"/>
            <w:vAlign w:val="bottom"/>
          </w:tcPr>
          <w:p>
            <w:pPr>
              <w:pStyle w:val="DMETW2940BIPFCF"/>
              <w:widowControl w:val="false"/>
              <w:jc w:val="right"/>
              <w:rPr>
                <w:b/>
                <w:color w:val="auto"/>
              </w:rPr>
            </w:pPr>
            <w:r>
              <w:rPr>
                <w:b/>
                <w:color w:val="auto"/>
              </w:rPr>
              <w:t xml:space="preserve">€ </w:t>
            </w:r>
            <w:r>
              <w:rPr>
                <w:b/>
                <w:color w:val="auto"/>
                <w:lang w:val="el-GR"/>
              </w:rPr>
              <w:t>εκατ</w:t>
            </w:r>
            <w:r>
              <w:rPr>
                <w:b/>
                <w:color w:val="auto"/>
              </w:rPr>
              <w:t>.</w:t>
            </w:r>
          </w:p>
        </w:tc>
        <w:tc>
          <w:tcPr>
            <w:tcW w:w="1371" w:type="dxa"/>
            <w:tcBorders/>
            <w:shd w:color="auto" w:fill="BFBFBF" w:val="clear"/>
            <w:vAlign w:val="bottom"/>
          </w:tcPr>
          <w:p>
            <w:pPr>
              <w:pStyle w:val="DMETW2940BIPFCF"/>
              <w:widowControl w:val="false"/>
              <w:jc w:val="right"/>
              <w:rPr>
                <w:b/>
                <w:color w:val="auto"/>
                <w:lang w:val="el-GR"/>
              </w:rPr>
            </w:pPr>
            <w:r>
              <w:rPr>
                <w:b/>
                <w:color w:val="auto"/>
              </w:rPr>
              <w:t xml:space="preserve">€ </w:t>
            </w:r>
            <w:r>
              <w:rPr>
                <w:b/>
                <w:color w:val="auto"/>
                <w:lang w:val="el-GR"/>
              </w:rPr>
              <w:t>εκατ.</w:t>
            </w:r>
          </w:p>
        </w:tc>
      </w:tr>
      <w:tr>
        <w:trPr>
          <w:trHeight w:val="20" w:hRule="atLeast"/>
        </w:trPr>
        <w:tc>
          <w:tcPr>
            <w:tcW w:w="7088" w:type="dxa"/>
            <w:tcBorders/>
            <w:vAlign w:val="bottom"/>
          </w:tcPr>
          <w:p>
            <w:pPr>
              <w:pStyle w:val="DMETW2940BIPFCF"/>
              <w:widowControl w:val="false"/>
              <w:rPr>
                <w:b/>
                <w:color w:val="auto"/>
              </w:rPr>
            </w:pPr>
            <w:r>
              <w:rPr>
                <w:b/>
                <w:color w:val="auto"/>
                <w:spacing w:val="-2"/>
                <w:lang w:val="el-GR" w:bidi="el-GR"/>
              </w:rPr>
              <w:t>Λειτουργικά κέρδη</w:t>
            </w:r>
          </w:p>
        </w:tc>
        <w:tc>
          <w:tcPr>
            <w:tcW w:w="1558" w:type="dxa"/>
            <w:tcBorders/>
            <w:vAlign w:val="bottom"/>
          </w:tcPr>
          <w:p>
            <w:pPr>
              <w:pStyle w:val="DMETW2940BIPFCF"/>
              <w:widowControl w:val="false"/>
              <w:jc w:val="right"/>
              <w:rPr>
                <w:b/>
                <w:color w:val="auto"/>
              </w:rPr>
            </w:pPr>
            <w:r>
              <w:rPr>
                <w:b/>
                <w:bCs/>
                <w:color w:val="auto"/>
                <w:sz w:val="18"/>
                <w:szCs w:val="18"/>
              </w:rPr>
              <w:t>746,9</w:t>
            </w:r>
          </w:p>
        </w:tc>
        <w:tc>
          <w:tcPr>
            <w:tcW w:w="1371" w:type="dxa"/>
            <w:tcBorders/>
            <w:vAlign w:val="bottom"/>
          </w:tcPr>
          <w:p>
            <w:pPr>
              <w:pStyle w:val="DMETW2940BIPFCF"/>
              <w:widowControl w:val="false"/>
              <w:jc w:val="right"/>
              <w:rPr>
                <w:color w:val="auto"/>
                <w:sz w:val="18"/>
                <w:szCs w:val="18"/>
              </w:rPr>
            </w:pPr>
            <w:r>
              <w:rPr>
                <w:bCs/>
                <w:color w:val="auto"/>
                <w:sz w:val="18"/>
                <w:szCs w:val="18"/>
              </w:rPr>
              <w:t>644</w:t>
            </w:r>
            <w:r>
              <w:rPr>
                <w:bCs/>
                <w:color w:val="auto"/>
                <w:sz w:val="18"/>
                <w:szCs w:val="18"/>
                <w:lang w:val="el-GR"/>
              </w:rPr>
              <w:t>,</w:t>
            </w:r>
            <w:r>
              <w:rPr>
                <w:bCs/>
                <w:color w:val="auto"/>
                <w:sz w:val="18"/>
                <w:szCs w:val="18"/>
              </w:rPr>
              <w:t>6</w:t>
            </w:r>
          </w:p>
        </w:tc>
      </w:tr>
      <w:tr>
        <w:trPr>
          <w:trHeight w:val="20" w:hRule="atLeast"/>
        </w:trPr>
        <w:tc>
          <w:tcPr>
            <w:tcW w:w="7088" w:type="dxa"/>
            <w:tcBorders/>
            <w:vAlign w:val="bottom"/>
          </w:tcPr>
          <w:p>
            <w:pPr>
              <w:pStyle w:val="DMETW2940BIPFCF"/>
              <w:widowControl w:val="false"/>
              <w:rPr>
                <w:color w:val="auto"/>
                <w:lang w:val="el-GR"/>
              </w:rPr>
            </w:pPr>
            <w:r>
              <w:rPr>
                <w:bCs/>
                <w:color w:val="auto"/>
                <w:spacing w:val="-2"/>
                <w:lang w:val="el-GR" w:bidi="el-GR"/>
              </w:rPr>
              <w:t>Αποσβέσεις και απομειώσεις ενσώματων πάγιων περιουσιακών στοιχείων, συμπεριλαμβανομένων δικαιωμάτων χρήσης μισθώσεων</w:t>
            </w:r>
          </w:p>
        </w:tc>
        <w:tc>
          <w:tcPr>
            <w:tcW w:w="1558" w:type="dxa"/>
            <w:tcBorders/>
            <w:vAlign w:val="bottom"/>
          </w:tcPr>
          <w:p>
            <w:pPr>
              <w:pStyle w:val="DMETW2940BIPFCF"/>
              <w:widowControl w:val="false"/>
              <w:jc w:val="right"/>
              <w:rPr>
                <w:b/>
                <w:color w:val="auto"/>
              </w:rPr>
            </w:pPr>
            <w:r>
              <w:rPr>
                <w:b/>
                <w:bCs/>
                <w:color w:val="auto"/>
                <w:sz w:val="18"/>
                <w:szCs w:val="18"/>
              </w:rPr>
              <w:t>230,5</w:t>
            </w:r>
          </w:p>
        </w:tc>
        <w:tc>
          <w:tcPr>
            <w:tcW w:w="1371" w:type="dxa"/>
            <w:tcBorders/>
            <w:vAlign w:val="bottom"/>
          </w:tcPr>
          <w:p>
            <w:pPr>
              <w:pStyle w:val="DMETW2940BIPFCF"/>
              <w:widowControl w:val="false"/>
              <w:jc w:val="right"/>
              <w:rPr>
                <w:color w:val="auto"/>
                <w:sz w:val="18"/>
                <w:szCs w:val="18"/>
              </w:rPr>
            </w:pPr>
            <w:r>
              <w:rPr>
                <w:bCs/>
                <w:color w:val="auto"/>
                <w:sz w:val="18"/>
                <w:szCs w:val="18"/>
              </w:rPr>
              <w:t>204</w:t>
            </w:r>
            <w:r>
              <w:rPr>
                <w:bCs/>
                <w:color w:val="auto"/>
                <w:sz w:val="18"/>
                <w:szCs w:val="18"/>
                <w:lang w:val="el-GR"/>
              </w:rPr>
              <w:t>,</w:t>
            </w:r>
            <w:r>
              <w:rPr>
                <w:bCs/>
                <w:color w:val="auto"/>
                <w:sz w:val="18"/>
                <w:szCs w:val="18"/>
              </w:rPr>
              <w:t>2</w:t>
            </w:r>
          </w:p>
        </w:tc>
      </w:tr>
      <w:tr>
        <w:trPr>
          <w:trHeight w:val="20" w:hRule="atLeast"/>
        </w:trPr>
        <w:tc>
          <w:tcPr>
            <w:tcW w:w="7088" w:type="dxa"/>
            <w:tcBorders/>
            <w:vAlign w:val="bottom"/>
          </w:tcPr>
          <w:p>
            <w:pPr>
              <w:pStyle w:val="DMETW2940BIPFCF"/>
              <w:widowControl w:val="false"/>
              <w:rPr>
                <w:color w:val="auto"/>
                <w:lang w:val="el-GR"/>
              </w:rPr>
            </w:pPr>
            <w:r>
              <w:rPr>
                <w:bCs/>
                <w:color w:val="auto"/>
                <w:spacing w:val="-2"/>
                <w:lang w:val="el-GR" w:bidi="el-GR"/>
              </w:rPr>
              <w:t>Αποσβέσεις και απομειώσεις άυλων περιουσιακών στοιχείων</w:t>
            </w:r>
          </w:p>
        </w:tc>
        <w:tc>
          <w:tcPr>
            <w:tcW w:w="1558" w:type="dxa"/>
            <w:tcBorders/>
            <w:vAlign w:val="bottom"/>
          </w:tcPr>
          <w:p>
            <w:pPr>
              <w:pStyle w:val="DMETW2940BIPFCF"/>
              <w:widowControl w:val="false"/>
              <w:jc w:val="right"/>
              <w:rPr>
                <w:b/>
                <w:color w:val="auto"/>
              </w:rPr>
            </w:pPr>
            <w:r>
              <w:rPr>
                <w:b/>
                <w:bCs/>
                <w:color w:val="auto"/>
                <w:sz w:val="18"/>
                <w:szCs w:val="18"/>
              </w:rPr>
              <w:t>1,6</w:t>
            </w:r>
          </w:p>
        </w:tc>
        <w:tc>
          <w:tcPr>
            <w:tcW w:w="1371" w:type="dxa"/>
            <w:tcBorders/>
            <w:vAlign w:val="bottom"/>
          </w:tcPr>
          <w:p>
            <w:pPr>
              <w:pStyle w:val="DMETW2940BIPFCF"/>
              <w:widowControl w:val="false"/>
              <w:jc w:val="right"/>
              <w:rPr>
                <w:color w:val="auto"/>
                <w:sz w:val="18"/>
                <w:szCs w:val="18"/>
              </w:rPr>
            </w:pPr>
            <w:r>
              <w:rPr>
                <w:bCs/>
                <w:color w:val="auto"/>
                <w:sz w:val="18"/>
                <w:szCs w:val="18"/>
              </w:rPr>
              <w:t>0</w:t>
            </w:r>
            <w:r>
              <w:rPr>
                <w:bCs/>
                <w:color w:val="auto"/>
                <w:sz w:val="18"/>
                <w:szCs w:val="18"/>
                <w:lang w:val="el-GR"/>
              </w:rPr>
              <w:t>,</w:t>
            </w:r>
            <w:r>
              <w:rPr>
                <w:bCs/>
                <w:color w:val="auto"/>
                <w:sz w:val="18"/>
                <w:szCs w:val="18"/>
              </w:rPr>
              <w:t>6</w:t>
            </w:r>
          </w:p>
        </w:tc>
      </w:tr>
      <w:tr>
        <w:trPr>
          <w:trHeight w:val="20" w:hRule="atLeast"/>
        </w:trPr>
        <w:tc>
          <w:tcPr>
            <w:tcW w:w="7088" w:type="dxa"/>
            <w:tcBorders/>
            <w:vAlign w:val="bottom"/>
          </w:tcPr>
          <w:p>
            <w:pPr>
              <w:pStyle w:val="DMETW2940BIPFCF"/>
              <w:widowControl w:val="false"/>
              <w:ind w:right="-343" w:hanging="0"/>
              <w:rPr>
                <w:color w:val="auto"/>
                <w:lang w:val="el-GR"/>
              </w:rPr>
            </w:pPr>
            <w:r>
              <w:rPr>
                <w:bCs/>
                <w:color w:val="auto"/>
                <w:spacing w:val="-2"/>
                <w:lang w:val="el-GR" w:bidi="el-GR"/>
              </w:rPr>
              <w:t>Παροχές μετοχών συνδεδεμένων με στόχους αποδοτικότητας</w:t>
            </w:r>
          </w:p>
        </w:tc>
        <w:tc>
          <w:tcPr>
            <w:tcW w:w="1558" w:type="dxa"/>
            <w:tcBorders>
              <w:bottom w:val="single" w:sz="4" w:space="0" w:color="000000"/>
            </w:tcBorders>
            <w:vAlign w:val="bottom"/>
          </w:tcPr>
          <w:p>
            <w:pPr>
              <w:pStyle w:val="DMETW2940BIPFCF"/>
              <w:widowControl w:val="false"/>
              <w:jc w:val="right"/>
              <w:rPr>
                <w:b/>
                <w:color w:val="auto"/>
              </w:rPr>
            </w:pPr>
            <w:r>
              <w:rPr>
                <w:b/>
                <w:bCs/>
                <w:color w:val="auto"/>
                <w:sz w:val="18"/>
                <w:szCs w:val="18"/>
              </w:rPr>
              <w:t>11,0</w:t>
            </w:r>
          </w:p>
        </w:tc>
        <w:tc>
          <w:tcPr>
            <w:tcW w:w="1371" w:type="dxa"/>
            <w:tcBorders>
              <w:bottom w:val="single" w:sz="4" w:space="0" w:color="000000"/>
            </w:tcBorders>
            <w:vAlign w:val="bottom"/>
          </w:tcPr>
          <w:p>
            <w:pPr>
              <w:pStyle w:val="DMETW2940BIPFCF"/>
              <w:widowControl w:val="false"/>
              <w:jc w:val="right"/>
              <w:rPr>
                <w:color w:val="auto"/>
                <w:sz w:val="18"/>
                <w:szCs w:val="18"/>
              </w:rPr>
            </w:pPr>
            <w:r>
              <w:rPr>
                <w:bCs/>
                <w:color w:val="auto"/>
                <w:sz w:val="18"/>
                <w:szCs w:val="18"/>
              </w:rPr>
              <w:t>11</w:t>
            </w:r>
            <w:r>
              <w:rPr>
                <w:bCs/>
                <w:color w:val="auto"/>
                <w:sz w:val="18"/>
                <w:szCs w:val="18"/>
                <w:lang w:val="el-GR"/>
              </w:rPr>
              <w:t>,</w:t>
            </w:r>
            <w:r>
              <w:rPr>
                <w:bCs/>
                <w:color w:val="auto"/>
                <w:sz w:val="18"/>
                <w:szCs w:val="18"/>
              </w:rPr>
              <w:t>8</w:t>
            </w:r>
          </w:p>
        </w:tc>
      </w:tr>
      <w:tr>
        <w:trPr>
          <w:trHeight w:val="20" w:hRule="atLeast"/>
        </w:trPr>
        <w:tc>
          <w:tcPr>
            <w:tcW w:w="7088" w:type="dxa"/>
            <w:tcBorders/>
            <w:vAlign w:val="bottom"/>
          </w:tcPr>
          <w:p>
            <w:pPr>
              <w:pStyle w:val="DMETW2940BIPFCF"/>
              <w:widowControl w:val="false"/>
              <w:rPr>
                <w:b/>
                <w:color w:val="auto"/>
              </w:rPr>
            </w:pPr>
            <w:r>
              <w:rPr>
                <w:b/>
                <w:color w:val="auto"/>
                <w:spacing w:val="-2"/>
                <w:lang w:val="el-GR" w:bidi="el-GR"/>
              </w:rPr>
              <w:t xml:space="preserve">Προσαρμοσμένο </w:t>
            </w:r>
            <w:r>
              <w:rPr>
                <w:b/>
                <w:color w:val="auto"/>
                <w:spacing w:val="-2"/>
                <w:lang w:val="en-GB" w:bidi="el-GR"/>
              </w:rPr>
              <w:t>EBITDA</w:t>
            </w:r>
          </w:p>
        </w:tc>
        <w:tc>
          <w:tcPr>
            <w:tcW w:w="1558" w:type="dxa"/>
            <w:tcBorders>
              <w:top w:val="single" w:sz="4" w:space="0" w:color="000000"/>
            </w:tcBorders>
            <w:vAlign w:val="bottom"/>
          </w:tcPr>
          <w:p>
            <w:pPr>
              <w:pStyle w:val="DMETW2940BIPFCF"/>
              <w:widowControl w:val="false"/>
              <w:jc w:val="right"/>
              <w:rPr>
                <w:b/>
                <w:color w:val="auto"/>
              </w:rPr>
            </w:pPr>
            <w:r>
              <w:rPr>
                <w:b/>
                <w:bCs/>
                <w:color w:val="auto"/>
                <w:sz w:val="18"/>
                <w:szCs w:val="18"/>
              </w:rPr>
              <w:t>990,0</w:t>
            </w:r>
          </w:p>
        </w:tc>
        <w:tc>
          <w:tcPr>
            <w:tcW w:w="1371" w:type="dxa"/>
            <w:tcBorders>
              <w:top w:val="single" w:sz="4" w:space="0" w:color="000000"/>
            </w:tcBorders>
            <w:vAlign w:val="bottom"/>
          </w:tcPr>
          <w:p>
            <w:pPr>
              <w:pStyle w:val="DMETW2940BIPFCF"/>
              <w:widowControl w:val="false"/>
              <w:jc w:val="right"/>
              <w:rPr>
                <w:color w:val="auto"/>
                <w:sz w:val="18"/>
                <w:szCs w:val="18"/>
              </w:rPr>
            </w:pPr>
            <w:r>
              <w:rPr>
                <w:bCs/>
                <w:color w:val="auto"/>
                <w:sz w:val="18"/>
                <w:szCs w:val="18"/>
              </w:rPr>
              <w:t>861</w:t>
            </w:r>
            <w:r>
              <w:rPr>
                <w:bCs/>
                <w:color w:val="auto"/>
                <w:sz w:val="18"/>
                <w:szCs w:val="18"/>
                <w:lang w:val="el-GR"/>
              </w:rPr>
              <w:t>,</w:t>
            </w:r>
            <w:r>
              <w:rPr>
                <w:bCs/>
                <w:color w:val="auto"/>
                <w:sz w:val="18"/>
                <w:szCs w:val="18"/>
              </w:rPr>
              <w:t>2</w:t>
            </w:r>
          </w:p>
        </w:tc>
      </w:tr>
      <w:tr>
        <w:trPr>
          <w:trHeight w:val="20" w:hRule="atLeast"/>
        </w:trPr>
        <w:tc>
          <w:tcPr>
            <w:tcW w:w="7088" w:type="dxa"/>
            <w:tcBorders/>
            <w:vAlign w:val="bottom"/>
          </w:tcPr>
          <w:p>
            <w:pPr>
              <w:pStyle w:val="Normal"/>
              <w:widowControl w:val="false"/>
              <w:rPr>
                <w:lang w:val="el-GR"/>
              </w:rPr>
            </w:pPr>
            <w:r>
              <w:rPr>
                <w:rFonts w:ascii="Effra Corp" w:hAnsi="Effra Corp"/>
                <w:bCs/>
                <w:spacing w:val="-2"/>
                <w:sz w:val="20"/>
                <w:szCs w:val="20"/>
                <w:lang w:val="el-GR" w:bidi="el-GR"/>
              </w:rPr>
              <w:t>Μερίδιο στα αποτελέσματα ενσωματωμένων συμμετοχών, λογιστικοποιημένων με τη μέθοδο της καθαρής θέσης</w:t>
            </w:r>
          </w:p>
        </w:tc>
        <w:tc>
          <w:tcPr>
            <w:tcW w:w="1558" w:type="dxa"/>
            <w:tcBorders/>
            <w:vAlign w:val="bottom"/>
          </w:tcPr>
          <w:p>
            <w:pPr>
              <w:pStyle w:val="DMETW2940BIPFCF"/>
              <w:widowControl w:val="false"/>
              <w:jc w:val="right"/>
              <w:rPr>
                <w:b/>
                <w:color w:val="auto"/>
              </w:rPr>
            </w:pPr>
            <w:r>
              <w:rPr>
                <w:b/>
                <w:bCs/>
                <w:color w:val="auto"/>
                <w:sz w:val="18"/>
                <w:szCs w:val="18"/>
              </w:rPr>
              <w:t>(8,0)</w:t>
            </w:r>
          </w:p>
        </w:tc>
        <w:tc>
          <w:tcPr>
            <w:tcW w:w="1371" w:type="dxa"/>
            <w:tcBorders/>
            <w:vAlign w:val="bottom"/>
          </w:tcPr>
          <w:p>
            <w:pPr>
              <w:pStyle w:val="DMETW2940BIPFCF"/>
              <w:widowControl w:val="false"/>
              <w:jc w:val="right"/>
              <w:rPr>
                <w:color w:val="auto"/>
                <w:sz w:val="18"/>
                <w:szCs w:val="18"/>
              </w:rPr>
            </w:pPr>
            <w:r>
              <w:rPr>
                <w:bCs/>
                <w:color w:val="auto"/>
                <w:sz w:val="18"/>
                <w:szCs w:val="18"/>
              </w:rPr>
              <w:t>(6</w:t>
            </w:r>
            <w:r>
              <w:rPr>
                <w:bCs/>
                <w:color w:val="auto"/>
                <w:sz w:val="18"/>
                <w:szCs w:val="18"/>
                <w:lang w:val="el-GR"/>
              </w:rPr>
              <w:t>,</w:t>
            </w:r>
            <w:r>
              <w:rPr>
                <w:bCs/>
                <w:color w:val="auto"/>
                <w:sz w:val="18"/>
                <w:szCs w:val="18"/>
              </w:rPr>
              <w:t>3)</w:t>
            </w:r>
          </w:p>
        </w:tc>
      </w:tr>
      <w:tr>
        <w:trPr>
          <w:trHeight w:val="20" w:hRule="atLeast"/>
        </w:trPr>
        <w:tc>
          <w:tcPr>
            <w:tcW w:w="7088" w:type="dxa"/>
            <w:tcBorders/>
            <w:vAlign w:val="bottom"/>
          </w:tcPr>
          <w:p>
            <w:pPr>
              <w:pStyle w:val="DMETW2940BIPFCF"/>
              <w:widowControl w:val="false"/>
              <w:rPr>
                <w:color w:val="auto"/>
                <w:lang w:val="el-GR"/>
              </w:rPr>
            </w:pPr>
            <w:r>
              <w:rPr>
                <w:bCs/>
                <w:color w:val="auto"/>
                <w:spacing w:val="-2"/>
                <w:lang w:val="el-GR" w:bidi="el-GR"/>
              </w:rPr>
              <w:t>Κέρδη από διάθεση ενσώματων πάγιων περιουσιακών στοιχείων</w:t>
            </w:r>
          </w:p>
        </w:tc>
        <w:tc>
          <w:tcPr>
            <w:tcW w:w="1558" w:type="dxa"/>
            <w:tcBorders/>
            <w:vAlign w:val="bottom"/>
          </w:tcPr>
          <w:p>
            <w:pPr>
              <w:pStyle w:val="DMETW2940BIPFCF"/>
              <w:widowControl w:val="false"/>
              <w:jc w:val="right"/>
              <w:rPr>
                <w:b/>
                <w:color w:val="auto"/>
              </w:rPr>
            </w:pPr>
            <w:r>
              <w:rPr>
                <w:b/>
                <w:bCs/>
                <w:color w:val="auto"/>
                <w:sz w:val="18"/>
                <w:szCs w:val="18"/>
              </w:rPr>
              <w:t>(13,4)</w:t>
            </w:r>
          </w:p>
        </w:tc>
        <w:tc>
          <w:tcPr>
            <w:tcW w:w="1371" w:type="dxa"/>
            <w:tcBorders/>
            <w:vAlign w:val="bottom"/>
          </w:tcPr>
          <w:p>
            <w:pPr>
              <w:pStyle w:val="DMETW2940BIPFCF"/>
              <w:widowControl w:val="false"/>
              <w:jc w:val="right"/>
              <w:rPr>
                <w:color w:val="auto"/>
                <w:sz w:val="18"/>
                <w:szCs w:val="18"/>
              </w:rPr>
            </w:pPr>
            <w:r>
              <w:rPr>
                <w:bCs/>
                <w:color w:val="auto"/>
                <w:sz w:val="18"/>
                <w:szCs w:val="18"/>
              </w:rPr>
              <w:t>(3</w:t>
            </w:r>
            <w:r>
              <w:rPr>
                <w:bCs/>
                <w:color w:val="auto"/>
                <w:sz w:val="18"/>
                <w:szCs w:val="18"/>
                <w:lang w:val="el-GR"/>
              </w:rPr>
              <w:t>,</w:t>
            </w:r>
            <w:r>
              <w:rPr>
                <w:bCs/>
                <w:color w:val="auto"/>
                <w:sz w:val="18"/>
                <w:szCs w:val="18"/>
              </w:rPr>
              <w:t>5)</w:t>
            </w:r>
          </w:p>
        </w:tc>
      </w:tr>
      <w:tr>
        <w:trPr>
          <w:trHeight w:val="20" w:hRule="atLeast"/>
        </w:trPr>
        <w:tc>
          <w:tcPr>
            <w:tcW w:w="7088" w:type="dxa"/>
            <w:tcBorders/>
            <w:vAlign w:val="bottom"/>
          </w:tcPr>
          <w:p>
            <w:pPr>
              <w:pStyle w:val="DMETW2940BIPFCF"/>
              <w:widowControl w:val="false"/>
              <w:rPr>
                <w:color w:val="auto"/>
                <w:lang w:val="el-GR"/>
              </w:rPr>
            </w:pPr>
            <w:r>
              <w:rPr>
                <w:bCs/>
                <w:color w:val="auto"/>
                <w:spacing w:val="-2"/>
                <w:lang w:val="el-GR" w:bidi="el-GR"/>
              </w:rPr>
              <w:t>Χρηματικά διαθέσιμα από κεφάλαιο κίνησης</w:t>
            </w:r>
          </w:p>
        </w:tc>
        <w:tc>
          <w:tcPr>
            <w:tcW w:w="1558" w:type="dxa"/>
            <w:tcBorders/>
            <w:vAlign w:val="bottom"/>
          </w:tcPr>
          <w:p>
            <w:pPr>
              <w:pStyle w:val="DMETW2940BIPFCF"/>
              <w:widowControl w:val="false"/>
              <w:jc w:val="right"/>
              <w:rPr>
                <w:b/>
                <w:color w:val="auto"/>
              </w:rPr>
            </w:pPr>
            <w:r>
              <w:rPr>
                <w:b/>
                <w:bCs/>
                <w:color w:val="auto"/>
                <w:sz w:val="18"/>
                <w:szCs w:val="18"/>
              </w:rPr>
              <w:t>(213,8)</w:t>
            </w:r>
          </w:p>
        </w:tc>
        <w:tc>
          <w:tcPr>
            <w:tcW w:w="1371" w:type="dxa"/>
            <w:tcBorders/>
            <w:vAlign w:val="bottom"/>
          </w:tcPr>
          <w:p>
            <w:pPr>
              <w:pStyle w:val="DMETW2940BIPFCF"/>
              <w:widowControl w:val="false"/>
              <w:jc w:val="right"/>
              <w:rPr>
                <w:color w:val="auto"/>
                <w:sz w:val="18"/>
                <w:szCs w:val="18"/>
              </w:rPr>
            </w:pPr>
            <w:r>
              <w:rPr>
                <w:bCs/>
                <w:color w:val="auto"/>
                <w:sz w:val="18"/>
                <w:szCs w:val="18"/>
              </w:rPr>
              <w:t>(191</w:t>
            </w:r>
            <w:r>
              <w:rPr>
                <w:bCs/>
                <w:color w:val="auto"/>
                <w:sz w:val="18"/>
                <w:szCs w:val="18"/>
                <w:lang w:val="el-GR"/>
              </w:rPr>
              <w:t>,</w:t>
            </w:r>
            <w:r>
              <w:rPr>
                <w:bCs/>
                <w:color w:val="auto"/>
                <w:sz w:val="18"/>
                <w:szCs w:val="18"/>
              </w:rPr>
              <w:t>8)</w:t>
            </w:r>
          </w:p>
        </w:tc>
      </w:tr>
      <w:tr>
        <w:trPr>
          <w:trHeight w:val="20" w:hRule="atLeast"/>
        </w:trPr>
        <w:tc>
          <w:tcPr>
            <w:tcW w:w="7088" w:type="dxa"/>
            <w:tcBorders/>
            <w:vAlign w:val="bottom"/>
          </w:tcPr>
          <w:p>
            <w:pPr>
              <w:pStyle w:val="DMETW2940BIPFCF"/>
              <w:widowControl w:val="false"/>
              <w:rPr>
                <w:color w:val="auto"/>
              </w:rPr>
            </w:pPr>
            <w:r>
              <w:rPr>
                <w:bCs/>
                <w:color w:val="auto"/>
                <w:spacing w:val="-2"/>
                <w:lang w:val="el-GR" w:bidi="el-GR"/>
              </w:rPr>
              <w:t>Πληρωμή φόρων</w:t>
            </w:r>
          </w:p>
        </w:tc>
        <w:tc>
          <w:tcPr>
            <w:tcW w:w="1558" w:type="dxa"/>
            <w:tcBorders>
              <w:bottom w:val="single" w:sz="4" w:space="0" w:color="000000"/>
            </w:tcBorders>
            <w:vAlign w:val="bottom"/>
          </w:tcPr>
          <w:p>
            <w:pPr>
              <w:pStyle w:val="DMETW2940BIPFCF"/>
              <w:widowControl w:val="false"/>
              <w:jc w:val="right"/>
              <w:rPr>
                <w:b/>
                <w:color w:val="auto"/>
              </w:rPr>
            </w:pPr>
            <w:r>
              <w:rPr>
                <w:b/>
                <w:bCs/>
                <w:color w:val="auto"/>
                <w:sz w:val="18"/>
                <w:szCs w:val="18"/>
              </w:rPr>
              <w:t>(167,8)</w:t>
            </w:r>
          </w:p>
        </w:tc>
        <w:tc>
          <w:tcPr>
            <w:tcW w:w="1371" w:type="dxa"/>
            <w:tcBorders>
              <w:bottom w:val="single" w:sz="4" w:space="0" w:color="000000"/>
            </w:tcBorders>
            <w:vAlign w:val="bottom"/>
          </w:tcPr>
          <w:p>
            <w:pPr>
              <w:pStyle w:val="DMETW2940BIPFCF"/>
              <w:widowControl w:val="false"/>
              <w:jc w:val="right"/>
              <w:rPr>
                <w:color w:val="auto"/>
                <w:sz w:val="18"/>
                <w:szCs w:val="18"/>
              </w:rPr>
            </w:pPr>
            <w:r>
              <w:rPr>
                <w:bCs/>
                <w:color w:val="auto"/>
                <w:sz w:val="18"/>
                <w:szCs w:val="18"/>
              </w:rPr>
              <w:t>(138</w:t>
            </w:r>
            <w:r>
              <w:rPr>
                <w:bCs/>
                <w:color w:val="auto"/>
                <w:sz w:val="18"/>
                <w:szCs w:val="18"/>
                <w:lang w:val="el-GR"/>
              </w:rPr>
              <w:t>,</w:t>
            </w:r>
            <w:r>
              <w:rPr>
                <w:bCs/>
                <w:color w:val="auto"/>
                <w:sz w:val="18"/>
                <w:szCs w:val="18"/>
              </w:rPr>
              <w:t>3)</w:t>
            </w:r>
          </w:p>
        </w:tc>
      </w:tr>
      <w:tr>
        <w:trPr>
          <w:trHeight w:val="20" w:hRule="atLeast"/>
        </w:trPr>
        <w:tc>
          <w:tcPr>
            <w:tcW w:w="7088" w:type="dxa"/>
            <w:tcBorders/>
            <w:vAlign w:val="bottom"/>
          </w:tcPr>
          <w:p>
            <w:pPr>
              <w:pStyle w:val="DMETW2940BIPFCF"/>
              <w:widowControl w:val="false"/>
              <w:rPr>
                <w:b/>
                <w:color w:val="auto"/>
                <w:lang w:val="el-GR"/>
              </w:rPr>
            </w:pPr>
            <w:r>
              <w:rPr>
                <w:b/>
                <w:color w:val="auto"/>
                <w:spacing w:val="-2"/>
                <w:lang w:val="el-GR" w:bidi="el-GR"/>
              </w:rPr>
              <w:t>Καθαρές ταμειακές εισροές από λειτουργικές δραστηριότητες</w:t>
            </w:r>
          </w:p>
        </w:tc>
        <w:tc>
          <w:tcPr>
            <w:tcW w:w="1558" w:type="dxa"/>
            <w:tcBorders>
              <w:top w:val="single" w:sz="4" w:space="0" w:color="000000"/>
              <w:bottom w:val="single" w:sz="4" w:space="0" w:color="000000"/>
            </w:tcBorders>
            <w:vAlign w:val="bottom"/>
          </w:tcPr>
          <w:p>
            <w:pPr>
              <w:pStyle w:val="DMETW2940BIPFCF"/>
              <w:widowControl w:val="false"/>
              <w:jc w:val="right"/>
              <w:rPr>
                <w:b/>
                <w:color w:val="auto"/>
              </w:rPr>
            </w:pPr>
            <w:r>
              <w:rPr>
                <w:b/>
                <w:bCs/>
                <w:color w:val="auto"/>
                <w:sz w:val="18"/>
                <w:szCs w:val="18"/>
              </w:rPr>
              <w:t>587,0</w:t>
            </w:r>
          </w:p>
        </w:tc>
        <w:tc>
          <w:tcPr>
            <w:tcW w:w="1371" w:type="dxa"/>
            <w:tcBorders>
              <w:top w:val="single" w:sz="4" w:space="0" w:color="000000"/>
              <w:bottom w:val="single" w:sz="4" w:space="0" w:color="000000"/>
            </w:tcBorders>
            <w:vAlign w:val="bottom"/>
          </w:tcPr>
          <w:p>
            <w:pPr>
              <w:pStyle w:val="DMETW2940BIPFCF"/>
              <w:widowControl w:val="false"/>
              <w:jc w:val="right"/>
              <w:rPr>
                <w:color w:val="auto"/>
                <w:sz w:val="18"/>
                <w:szCs w:val="18"/>
              </w:rPr>
            </w:pPr>
            <w:r>
              <w:rPr>
                <w:bCs/>
                <w:color w:val="auto"/>
                <w:sz w:val="18"/>
                <w:szCs w:val="18"/>
              </w:rPr>
              <w:t>521</w:t>
            </w:r>
            <w:r>
              <w:rPr>
                <w:bCs/>
                <w:color w:val="auto"/>
                <w:sz w:val="18"/>
                <w:szCs w:val="18"/>
                <w:lang w:val="el-GR"/>
              </w:rPr>
              <w:t>,</w:t>
            </w:r>
            <w:r>
              <w:rPr>
                <w:bCs/>
                <w:color w:val="auto"/>
                <w:sz w:val="18"/>
                <w:szCs w:val="18"/>
              </w:rPr>
              <w:t>3</w:t>
            </w:r>
          </w:p>
        </w:tc>
      </w:tr>
      <w:tr>
        <w:trPr>
          <w:trHeight w:val="20" w:hRule="atLeast"/>
        </w:trPr>
        <w:tc>
          <w:tcPr>
            <w:tcW w:w="7088" w:type="dxa"/>
            <w:tcBorders/>
            <w:vAlign w:val="bottom"/>
          </w:tcPr>
          <w:p>
            <w:pPr>
              <w:pStyle w:val="DMETW2940BIPFCF"/>
              <w:widowControl w:val="false"/>
              <w:rPr>
                <w:bCs/>
                <w:color w:val="auto"/>
              </w:rPr>
            </w:pPr>
            <w:r>
              <w:rPr>
                <w:b/>
                <w:color w:val="auto"/>
                <w:lang w:val="el-GR"/>
              </w:rPr>
              <w:t>Πληρωθέντα έξοδα εξαγοράς</w:t>
            </w:r>
          </w:p>
        </w:tc>
        <w:tc>
          <w:tcPr>
            <w:tcW w:w="1558" w:type="dxa"/>
            <w:tcBorders>
              <w:top w:val="single" w:sz="4" w:space="0" w:color="000000"/>
              <w:bottom w:val="single" w:sz="4" w:space="0" w:color="000000"/>
            </w:tcBorders>
            <w:vAlign w:val="bottom"/>
          </w:tcPr>
          <w:p>
            <w:pPr>
              <w:pStyle w:val="DMETW2940BIPFCF"/>
              <w:widowControl w:val="false"/>
              <w:jc w:val="right"/>
              <w:rPr>
                <w:b/>
                <w:color w:val="auto"/>
              </w:rPr>
            </w:pPr>
            <w:r>
              <w:rPr>
                <w:b/>
                <w:bCs/>
                <w:color w:val="auto"/>
                <w:sz w:val="18"/>
                <w:szCs w:val="18"/>
              </w:rPr>
              <w:t>7,6</w:t>
            </w:r>
          </w:p>
        </w:tc>
        <w:tc>
          <w:tcPr>
            <w:tcW w:w="1371" w:type="dxa"/>
            <w:tcBorders>
              <w:top w:val="single" w:sz="4" w:space="0" w:color="000000"/>
              <w:bottom w:val="single" w:sz="4" w:space="0" w:color="000000"/>
            </w:tcBorders>
            <w:vAlign w:val="bottom"/>
          </w:tcPr>
          <w:p>
            <w:pPr>
              <w:pStyle w:val="DMETW2940BIPFCF"/>
              <w:widowControl w:val="false"/>
              <w:jc w:val="right"/>
              <w:rPr>
                <w:color w:val="auto"/>
                <w:sz w:val="18"/>
                <w:szCs w:val="18"/>
              </w:rPr>
            </w:pPr>
            <w:r>
              <w:rPr>
                <w:bCs/>
                <w:color w:val="auto"/>
                <w:sz w:val="18"/>
                <w:szCs w:val="18"/>
              </w:rPr>
              <w:t>2</w:t>
            </w:r>
            <w:r>
              <w:rPr>
                <w:bCs/>
                <w:color w:val="auto"/>
                <w:sz w:val="18"/>
                <w:szCs w:val="18"/>
                <w:lang w:val="el-GR"/>
              </w:rPr>
              <w:t>,</w:t>
            </w:r>
            <w:r>
              <w:rPr>
                <w:bCs/>
                <w:color w:val="auto"/>
                <w:sz w:val="18"/>
                <w:szCs w:val="18"/>
              </w:rPr>
              <w:t>0</w:t>
            </w:r>
          </w:p>
        </w:tc>
      </w:tr>
      <w:tr>
        <w:trPr>
          <w:trHeight w:val="20" w:hRule="atLeast"/>
        </w:trPr>
        <w:tc>
          <w:tcPr>
            <w:tcW w:w="7088" w:type="dxa"/>
            <w:tcBorders/>
            <w:vAlign w:val="bottom"/>
          </w:tcPr>
          <w:p>
            <w:pPr>
              <w:pStyle w:val="DMETW2940BIPFCF"/>
              <w:widowControl w:val="false"/>
              <w:rPr>
                <w:b/>
                <w:color w:val="auto"/>
                <w:lang w:val="el-GR"/>
              </w:rPr>
            </w:pPr>
            <w:r>
              <w:rPr>
                <w:b/>
                <w:color w:val="auto"/>
                <w:lang w:val="el-GR"/>
              </w:rPr>
              <w:t>Καθαρές ταμειακές εισροές από λειτουργικές δραστηριότητες, εξαιρουμένων των πληρωθέντων εξόδων εξαγοράς</w:t>
            </w:r>
          </w:p>
        </w:tc>
        <w:tc>
          <w:tcPr>
            <w:tcW w:w="1558" w:type="dxa"/>
            <w:tcBorders>
              <w:top w:val="single" w:sz="4" w:space="0" w:color="000000"/>
              <w:bottom w:val="single" w:sz="4" w:space="0" w:color="000000"/>
            </w:tcBorders>
            <w:vAlign w:val="bottom"/>
          </w:tcPr>
          <w:p>
            <w:pPr>
              <w:pStyle w:val="DMETW2940BIPFCF"/>
              <w:widowControl w:val="false"/>
              <w:jc w:val="right"/>
              <w:rPr>
                <w:b/>
                <w:color w:val="auto"/>
              </w:rPr>
            </w:pPr>
            <w:r>
              <w:rPr>
                <w:b/>
                <w:bCs/>
                <w:color w:val="auto"/>
                <w:sz w:val="18"/>
                <w:szCs w:val="18"/>
              </w:rPr>
              <w:t>594,6</w:t>
            </w:r>
          </w:p>
        </w:tc>
        <w:tc>
          <w:tcPr>
            <w:tcW w:w="1371" w:type="dxa"/>
            <w:tcBorders>
              <w:top w:val="single" w:sz="4" w:space="0" w:color="000000"/>
              <w:bottom w:val="single" w:sz="4" w:space="0" w:color="000000"/>
            </w:tcBorders>
            <w:vAlign w:val="bottom"/>
          </w:tcPr>
          <w:p>
            <w:pPr>
              <w:pStyle w:val="DMETW2940BIPFCF"/>
              <w:widowControl w:val="false"/>
              <w:jc w:val="right"/>
              <w:rPr>
                <w:color w:val="auto"/>
                <w:sz w:val="18"/>
                <w:szCs w:val="18"/>
              </w:rPr>
            </w:pPr>
            <w:r>
              <w:rPr>
                <w:bCs/>
                <w:color w:val="auto"/>
                <w:sz w:val="18"/>
                <w:szCs w:val="18"/>
              </w:rPr>
              <w:t>523</w:t>
            </w:r>
            <w:r>
              <w:rPr>
                <w:bCs/>
                <w:color w:val="auto"/>
                <w:sz w:val="18"/>
                <w:szCs w:val="18"/>
                <w:lang w:val="el-GR"/>
              </w:rPr>
              <w:t>,</w:t>
            </w:r>
            <w:r>
              <w:rPr>
                <w:bCs/>
                <w:color w:val="auto"/>
                <w:sz w:val="18"/>
                <w:szCs w:val="18"/>
              </w:rPr>
              <w:t>3</w:t>
            </w:r>
          </w:p>
        </w:tc>
      </w:tr>
      <w:tr>
        <w:trPr>
          <w:trHeight w:val="20" w:hRule="atLeast"/>
        </w:trPr>
        <w:tc>
          <w:tcPr>
            <w:tcW w:w="7088" w:type="dxa"/>
            <w:tcBorders/>
            <w:vAlign w:val="bottom"/>
          </w:tcPr>
          <w:p>
            <w:pPr>
              <w:pStyle w:val="DMETW2940BIPFCF"/>
              <w:widowControl w:val="false"/>
              <w:rPr>
                <w:color w:val="auto"/>
                <w:lang w:val="el-GR"/>
              </w:rPr>
            </w:pPr>
            <w:r>
              <w:rPr>
                <w:bCs/>
                <w:color w:val="auto"/>
                <w:spacing w:val="-2"/>
                <w:lang w:val="el-GR" w:bidi="el-GR"/>
              </w:rPr>
              <w:t>Πληρωμές για αγορές ενσώματων πάγιων περιουσιακών στοιχείων</w:t>
            </w:r>
            <w:r>
              <w:rPr>
                <w:bCs/>
                <w:color w:val="auto"/>
                <w:spacing w:val="-2"/>
                <w:vertAlign w:val="superscript"/>
                <w:lang w:val="el-GR" w:bidi="el-GR"/>
              </w:rPr>
              <w:t>1</w:t>
            </w:r>
          </w:p>
        </w:tc>
        <w:tc>
          <w:tcPr>
            <w:tcW w:w="1558" w:type="dxa"/>
            <w:tcBorders>
              <w:top w:val="single" w:sz="4" w:space="0" w:color="000000"/>
            </w:tcBorders>
            <w:vAlign w:val="bottom"/>
          </w:tcPr>
          <w:p>
            <w:pPr>
              <w:pStyle w:val="DMETW2940BIPFCF"/>
              <w:widowControl w:val="false"/>
              <w:jc w:val="right"/>
              <w:rPr>
                <w:b/>
                <w:color w:val="auto"/>
              </w:rPr>
            </w:pPr>
            <w:r>
              <w:rPr>
                <w:b/>
                <w:bCs/>
                <w:color w:val="auto"/>
                <w:sz w:val="18"/>
                <w:szCs w:val="18"/>
              </w:rPr>
              <w:t>(333,7)</w:t>
            </w:r>
          </w:p>
        </w:tc>
        <w:tc>
          <w:tcPr>
            <w:tcW w:w="1371" w:type="dxa"/>
            <w:tcBorders>
              <w:top w:val="single" w:sz="4" w:space="0" w:color="000000"/>
            </w:tcBorders>
            <w:vAlign w:val="bottom"/>
          </w:tcPr>
          <w:p>
            <w:pPr>
              <w:pStyle w:val="DMETW2940BIPFCF"/>
              <w:widowControl w:val="false"/>
              <w:jc w:val="right"/>
              <w:rPr>
                <w:color w:val="auto"/>
                <w:sz w:val="18"/>
                <w:szCs w:val="18"/>
              </w:rPr>
            </w:pPr>
            <w:r>
              <w:rPr>
                <w:bCs/>
                <w:color w:val="auto"/>
                <w:sz w:val="18"/>
                <w:szCs w:val="18"/>
              </w:rPr>
              <w:t>(248</w:t>
            </w:r>
            <w:r>
              <w:rPr>
                <w:bCs/>
                <w:color w:val="auto"/>
                <w:sz w:val="18"/>
                <w:szCs w:val="18"/>
                <w:lang w:val="el-GR"/>
              </w:rPr>
              <w:t>,</w:t>
            </w:r>
            <w:r>
              <w:rPr>
                <w:bCs/>
                <w:color w:val="auto"/>
                <w:sz w:val="18"/>
                <w:szCs w:val="18"/>
              </w:rPr>
              <w:t>9)</w:t>
            </w:r>
          </w:p>
        </w:tc>
      </w:tr>
      <w:tr>
        <w:trPr>
          <w:trHeight w:val="20" w:hRule="atLeast"/>
        </w:trPr>
        <w:tc>
          <w:tcPr>
            <w:tcW w:w="7088" w:type="dxa"/>
            <w:tcBorders/>
            <w:vAlign w:val="bottom"/>
          </w:tcPr>
          <w:p>
            <w:pPr>
              <w:pStyle w:val="DMETW2940BIPFCF"/>
              <w:widowControl w:val="false"/>
              <w:rPr>
                <w:color w:val="auto"/>
              </w:rPr>
            </w:pPr>
            <w:r>
              <w:rPr>
                <w:bCs/>
                <w:color w:val="auto"/>
                <w:spacing w:val="-2"/>
                <w:lang w:val="el-GR" w:bidi="el-GR"/>
              </w:rPr>
              <w:t>Αποπληρωμή κεφαλαίου μισθώσεων</w:t>
            </w:r>
          </w:p>
        </w:tc>
        <w:tc>
          <w:tcPr>
            <w:tcW w:w="1558" w:type="dxa"/>
            <w:tcBorders/>
            <w:vAlign w:val="bottom"/>
          </w:tcPr>
          <w:p>
            <w:pPr>
              <w:pStyle w:val="DMETW2940BIPFCF"/>
              <w:widowControl w:val="false"/>
              <w:jc w:val="right"/>
              <w:rPr>
                <w:b/>
                <w:color w:val="auto"/>
              </w:rPr>
            </w:pPr>
            <w:r>
              <w:rPr>
                <w:b/>
                <w:bCs/>
                <w:color w:val="auto"/>
                <w:sz w:val="18"/>
                <w:szCs w:val="18"/>
              </w:rPr>
              <w:t>(49,7)</w:t>
            </w:r>
          </w:p>
        </w:tc>
        <w:tc>
          <w:tcPr>
            <w:tcW w:w="1371" w:type="dxa"/>
            <w:tcBorders/>
            <w:vAlign w:val="bottom"/>
          </w:tcPr>
          <w:p>
            <w:pPr>
              <w:pStyle w:val="DMETW2940BIPFCF"/>
              <w:widowControl w:val="false"/>
              <w:jc w:val="right"/>
              <w:rPr>
                <w:color w:val="auto"/>
                <w:sz w:val="18"/>
                <w:szCs w:val="18"/>
              </w:rPr>
            </w:pPr>
            <w:r>
              <w:rPr>
                <w:bCs/>
                <w:color w:val="auto"/>
                <w:sz w:val="18"/>
                <w:szCs w:val="18"/>
              </w:rPr>
              <w:t>(33</w:t>
            </w:r>
            <w:r>
              <w:rPr>
                <w:bCs/>
                <w:color w:val="auto"/>
                <w:sz w:val="18"/>
                <w:szCs w:val="18"/>
                <w:lang w:val="el-GR"/>
              </w:rPr>
              <w:t>,</w:t>
            </w:r>
            <w:r>
              <w:rPr>
                <w:bCs/>
                <w:color w:val="auto"/>
                <w:sz w:val="18"/>
                <w:szCs w:val="18"/>
              </w:rPr>
              <w:t>7)</w:t>
            </w:r>
          </w:p>
        </w:tc>
      </w:tr>
      <w:tr>
        <w:trPr>
          <w:trHeight w:val="20" w:hRule="atLeast"/>
        </w:trPr>
        <w:tc>
          <w:tcPr>
            <w:tcW w:w="7088" w:type="dxa"/>
            <w:tcBorders/>
            <w:vAlign w:val="bottom"/>
          </w:tcPr>
          <w:p>
            <w:pPr>
              <w:pStyle w:val="DMETW2940BIPFCF"/>
              <w:widowControl w:val="false"/>
              <w:rPr>
                <w:color w:val="auto"/>
                <w:lang w:val="el-GR"/>
              </w:rPr>
            </w:pPr>
            <w:r>
              <w:rPr>
                <w:bCs/>
                <w:color w:val="auto"/>
                <w:spacing w:val="-2"/>
                <w:lang w:val="el-GR" w:bidi="el-GR"/>
              </w:rPr>
              <w:t>Εισροές από πωλήσεις ενσώματων πάγιων περιουσιακών στοιχείων</w:t>
            </w:r>
          </w:p>
        </w:tc>
        <w:tc>
          <w:tcPr>
            <w:tcW w:w="1558" w:type="dxa"/>
            <w:tcBorders>
              <w:bottom w:val="single" w:sz="4" w:space="0" w:color="000000"/>
            </w:tcBorders>
            <w:vAlign w:val="bottom"/>
          </w:tcPr>
          <w:p>
            <w:pPr>
              <w:pStyle w:val="DMETW2940BIPFCF"/>
              <w:widowControl w:val="false"/>
              <w:jc w:val="right"/>
              <w:rPr>
                <w:b/>
                <w:color w:val="auto"/>
              </w:rPr>
            </w:pPr>
            <w:r>
              <w:rPr>
                <w:b/>
                <w:bCs/>
                <w:color w:val="auto"/>
                <w:sz w:val="18"/>
                <w:szCs w:val="18"/>
              </w:rPr>
              <w:t>4,5</w:t>
            </w:r>
          </w:p>
        </w:tc>
        <w:tc>
          <w:tcPr>
            <w:tcW w:w="1371" w:type="dxa"/>
            <w:tcBorders>
              <w:bottom w:val="single" w:sz="4" w:space="0" w:color="000000"/>
            </w:tcBorders>
            <w:vAlign w:val="bottom"/>
          </w:tcPr>
          <w:p>
            <w:pPr>
              <w:pStyle w:val="DMETW2940BIPFCF"/>
              <w:widowControl w:val="false"/>
              <w:jc w:val="right"/>
              <w:rPr>
                <w:color w:val="auto"/>
                <w:sz w:val="18"/>
                <w:szCs w:val="18"/>
              </w:rPr>
            </w:pPr>
            <w:r>
              <w:rPr>
                <w:bCs/>
                <w:color w:val="auto"/>
                <w:sz w:val="18"/>
                <w:szCs w:val="18"/>
              </w:rPr>
              <w:t>3</w:t>
            </w:r>
            <w:r>
              <w:rPr>
                <w:bCs/>
                <w:color w:val="auto"/>
                <w:sz w:val="18"/>
                <w:szCs w:val="18"/>
                <w:lang w:val="el-GR"/>
              </w:rPr>
              <w:t>,</w:t>
            </w:r>
            <w:r>
              <w:rPr>
                <w:bCs/>
                <w:color w:val="auto"/>
                <w:sz w:val="18"/>
                <w:szCs w:val="18"/>
              </w:rPr>
              <w:t>8</w:t>
            </w:r>
          </w:p>
        </w:tc>
      </w:tr>
      <w:tr>
        <w:trPr>
          <w:trHeight w:val="20" w:hRule="atLeast"/>
        </w:trPr>
        <w:tc>
          <w:tcPr>
            <w:tcW w:w="7088" w:type="dxa"/>
            <w:tcBorders/>
            <w:vAlign w:val="bottom"/>
          </w:tcPr>
          <w:p>
            <w:pPr>
              <w:pStyle w:val="DMETW2940BIPFCF"/>
              <w:widowControl w:val="false"/>
              <w:rPr>
                <w:b/>
                <w:color w:val="auto"/>
              </w:rPr>
            </w:pPr>
            <w:r>
              <w:rPr>
                <w:b/>
                <w:color w:val="auto"/>
                <w:spacing w:val="-2"/>
                <w:lang w:val="el-GR" w:bidi="el-GR"/>
              </w:rPr>
              <w:t>Κεφαλαιουχικές δαπάνες</w:t>
            </w:r>
          </w:p>
        </w:tc>
        <w:tc>
          <w:tcPr>
            <w:tcW w:w="1558" w:type="dxa"/>
            <w:tcBorders>
              <w:top w:val="single" w:sz="4" w:space="0" w:color="000000"/>
              <w:bottom w:val="single" w:sz="4" w:space="0" w:color="000000"/>
            </w:tcBorders>
            <w:vAlign w:val="bottom"/>
          </w:tcPr>
          <w:p>
            <w:pPr>
              <w:pStyle w:val="DMETW2940BIPFCF"/>
              <w:widowControl w:val="false"/>
              <w:jc w:val="right"/>
              <w:rPr>
                <w:b/>
                <w:color w:val="auto"/>
              </w:rPr>
            </w:pPr>
            <w:r>
              <w:rPr>
                <w:b/>
                <w:bCs/>
                <w:color w:val="auto"/>
                <w:sz w:val="18"/>
                <w:szCs w:val="18"/>
              </w:rPr>
              <w:t>(378,9)</w:t>
            </w:r>
          </w:p>
        </w:tc>
        <w:tc>
          <w:tcPr>
            <w:tcW w:w="1371" w:type="dxa"/>
            <w:tcBorders>
              <w:top w:val="single" w:sz="4" w:space="0" w:color="000000"/>
              <w:bottom w:val="single" w:sz="4" w:space="0" w:color="000000"/>
            </w:tcBorders>
            <w:vAlign w:val="bottom"/>
          </w:tcPr>
          <w:p>
            <w:pPr>
              <w:pStyle w:val="DMETW2940BIPFCF"/>
              <w:widowControl w:val="false"/>
              <w:jc w:val="right"/>
              <w:rPr>
                <w:color w:val="auto"/>
                <w:sz w:val="18"/>
                <w:szCs w:val="18"/>
              </w:rPr>
            </w:pPr>
            <w:r>
              <w:rPr>
                <w:bCs/>
                <w:color w:val="auto"/>
                <w:sz w:val="18"/>
                <w:szCs w:val="18"/>
              </w:rPr>
              <w:t>(278</w:t>
            </w:r>
            <w:r>
              <w:rPr>
                <w:bCs/>
                <w:color w:val="auto"/>
                <w:sz w:val="18"/>
                <w:szCs w:val="18"/>
                <w:lang w:val="el-GR"/>
              </w:rPr>
              <w:t>,</w:t>
            </w:r>
            <w:r>
              <w:rPr>
                <w:bCs/>
                <w:color w:val="auto"/>
                <w:sz w:val="18"/>
                <w:szCs w:val="18"/>
              </w:rPr>
              <w:t>8)</w:t>
            </w:r>
          </w:p>
        </w:tc>
      </w:tr>
      <w:tr>
        <w:trPr>
          <w:trHeight w:val="20" w:hRule="atLeast"/>
        </w:trPr>
        <w:tc>
          <w:tcPr>
            <w:tcW w:w="7088" w:type="dxa"/>
            <w:tcBorders/>
            <w:vAlign w:val="bottom"/>
          </w:tcPr>
          <w:p>
            <w:pPr>
              <w:pStyle w:val="DMETW2940BIPFCF"/>
              <w:widowControl w:val="false"/>
              <w:rPr>
                <w:b/>
                <w:color w:val="auto"/>
              </w:rPr>
            </w:pPr>
            <w:r>
              <w:rPr>
                <w:b/>
                <w:color w:val="auto"/>
                <w:spacing w:val="-2"/>
                <w:lang w:val="el-GR" w:bidi="el-GR"/>
              </w:rPr>
              <w:t>Καθαρές ταμειακές ροές</w:t>
            </w:r>
          </w:p>
        </w:tc>
        <w:tc>
          <w:tcPr>
            <w:tcW w:w="1558" w:type="dxa"/>
            <w:tcBorders>
              <w:top w:val="single" w:sz="4" w:space="0" w:color="000000"/>
              <w:bottom w:val="single" w:sz="4" w:space="0" w:color="000000"/>
            </w:tcBorders>
            <w:vAlign w:val="bottom"/>
          </w:tcPr>
          <w:p>
            <w:pPr>
              <w:pStyle w:val="DMETW2940BIPFCF"/>
              <w:widowControl w:val="false"/>
              <w:jc w:val="right"/>
              <w:rPr>
                <w:b/>
                <w:color w:val="auto"/>
              </w:rPr>
            </w:pPr>
            <w:r>
              <w:rPr>
                <w:b/>
                <w:bCs/>
                <w:color w:val="auto"/>
                <w:sz w:val="18"/>
                <w:szCs w:val="18"/>
              </w:rPr>
              <w:t>215,7</w:t>
            </w:r>
          </w:p>
        </w:tc>
        <w:tc>
          <w:tcPr>
            <w:tcW w:w="1371" w:type="dxa"/>
            <w:tcBorders>
              <w:top w:val="single" w:sz="4" w:space="0" w:color="000000"/>
              <w:bottom w:val="single" w:sz="4" w:space="0" w:color="000000"/>
            </w:tcBorders>
            <w:vAlign w:val="bottom"/>
          </w:tcPr>
          <w:p>
            <w:pPr>
              <w:pStyle w:val="DMETW2940BIPFCF"/>
              <w:widowControl w:val="false"/>
              <w:jc w:val="right"/>
              <w:rPr>
                <w:color w:val="auto"/>
                <w:sz w:val="18"/>
                <w:szCs w:val="18"/>
              </w:rPr>
            </w:pPr>
            <w:r>
              <w:rPr>
                <w:bCs/>
                <w:color w:val="auto"/>
                <w:sz w:val="18"/>
                <w:szCs w:val="18"/>
              </w:rPr>
              <w:t>244</w:t>
            </w:r>
            <w:r>
              <w:rPr>
                <w:bCs/>
                <w:color w:val="auto"/>
                <w:sz w:val="18"/>
                <w:szCs w:val="18"/>
                <w:lang w:val="el-GR"/>
              </w:rPr>
              <w:t>,</w:t>
            </w:r>
            <w:r>
              <w:rPr>
                <w:bCs/>
                <w:color w:val="auto"/>
                <w:sz w:val="18"/>
                <w:szCs w:val="18"/>
              </w:rPr>
              <w:t>5</w:t>
            </w:r>
          </w:p>
        </w:tc>
      </w:tr>
    </w:tbl>
    <w:p>
      <w:pPr>
        <w:pStyle w:val="Normal"/>
        <w:spacing w:before="60" w:after="120"/>
        <w:jc w:val="both"/>
        <w:rPr>
          <w:rFonts w:ascii="Effra Corp" w:hAnsi="Effra Corp" w:cs="Arial"/>
          <w:i/>
          <w:i/>
          <w:sz w:val="14"/>
          <w:szCs w:val="14"/>
          <w:lang w:val="el-GR"/>
        </w:rPr>
      </w:pPr>
      <w:r>
        <w:rPr>
          <w:rFonts w:cs="Arial" w:ascii="Effra Corp" w:hAnsi="Effra Corp"/>
          <w:i/>
          <w:sz w:val="14"/>
          <w:szCs w:val="14"/>
          <w:lang w:val="el-GR"/>
        </w:rPr>
      </w:r>
      <w:bookmarkStart w:id="20" w:name="_Hlk95908633"/>
      <w:bookmarkStart w:id="21" w:name="_Hlk95908633"/>
      <w:bookmarkEnd w:id="21"/>
    </w:p>
    <w:p>
      <w:pPr>
        <w:pStyle w:val="Normal"/>
        <w:jc w:val="both"/>
        <w:rPr>
          <w:rFonts w:ascii="Effra Corp" w:hAnsi="Effra Corp"/>
          <w:b/>
          <w:spacing w:val="-2"/>
          <w:sz w:val="21"/>
          <w:lang w:val="el-GR" w:bidi="el-GR"/>
        </w:rPr>
      </w:pPr>
      <w:r>
        <w:rPr>
          <w:rFonts w:cs="Arial" w:ascii="Effra Corp" w:hAnsi="Effra Corp"/>
          <w:i/>
          <w:sz w:val="14"/>
          <w:szCs w:val="14"/>
          <w:vertAlign w:val="superscript"/>
          <w:lang w:val="el-GR"/>
        </w:rPr>
        <w:t xml:space="preserve">1 </w:t>
      </w:r>
      <w:r>
        <w:rPr>
          <w:rFonts w:cs="Arial" w:ascii="Effra Corp" w:hAnsi="Effra Corp"/>
          <w:i/>
          <w:sz w:val="14"/>
          <w:szCs w:val="14"/>
          <w:lang w:val="el-GR"/>
        </w:rPr>
        <w:t>Οι πληρωμές για αγορές ενσώματων πάγιων περιουσιακών στοιχείωνκατά το πρώτο εξάμηνο του 2026 περιλαμβάνουν ποσό ύψους €5,7 εκατ. (πρώτο εξάμηνο του 2025: €3,1 εκατ.) που αφορά την αποπληρωμή δανείων τα οποία είχαν ληφθεί για τη χρηματοδότηση της αγοράς εξοπλισμού παραγωγής από τη θυγατρική του Ομίλου στη Νιγηρία, και το οποίο ταξινομείται ως «Αποπληρωμές δανείων» στην περιληπτική ενοποιημένη ενδιάμεση κατάσταση ταμειακών ροών.</w:t>
      </w:r>
      <w:r>
        <w:br w:type="page"/>
      </w:r>
    </w:p>
    <w:p>
      <w:pPr>
        <w:pStyle w:val="BodyText3"/>
        <w:shd w:val="clear" w:color="auto" w:fill="BFBFBF"/>
        <w:spacing w:before="0" w:after="120"/>
        <w:rPr>
          <w:lang w:val="el-GR" w:bidi="el-GR"/>
        </w:rPr>
      </w:pPr>
      <w:r>
        <w:rPr>
          <w:rFonts w:eastAsia="Effra Corp" w:cs="Arial" w:ascii="Effra Corp" w:hAnsi="Effra Corp"/>
          <w:b/>
          <w:sz w:val="21"/>
          <w:szCs w:val="21"/>
          <w:lang w:val="el-GR" w:bidi="el-GR"/>
        </w:rPr>
        <w:t>Ορισμοί και συμφωνίες Εναλλακτικών δεικτών μέτρησης απόδοσης («ΕΔΜΑ») (συνέχεια)</w:t>
      </w:r>
    </w:p>
    <w:p>
      <w:pPr>
        <w:pStyle w:val="ListParagraph"/>
        <w:numPr>
          <w:ilvl w:val="0"/>
          <w:numId w:val="14"/>
        </w:numPr>
        <w:spacing w:before="0" w:after="120"/>
        <w:ind w:left="426" w:hanging="426"/>
        <w:contextualSpacing/>
        <w:rPr>
          <w:rFonts w:ascii="Effra Corp" w:hAnsi="Effra Corp" w:cs="Arial"/>
          <w:b/>
          <w:spacing w:val="-2"/>
          <w:sz w:val="21"/>
          <w:szCs w:val="21"/>
          <w:lang w:val="el-GR"/>
        </w:rPr>
      </w:pPr>
      <w:r>
        <w:rPr>
          <w:rFonts w:cs="Arial" w:ascii="Effra Corp" w:hAnsi="Effra Corp"/>
          <w:b/>
          <w:spacing w:val="-2"/>
          <w:sz w:val="21"/>
          <w:szCs w:val="21"/>
          <w:lang w:val="el-GR"/>
        </w:rPr>
        <w:t>Λοιποί εναλλακτικοί δείκτες μέτρησης απόδοσης (συνέχεια)</w:t>
      </w:r>
    </w:p>
    <w:p>
      <w:pPr>
        <w:pStyle w:val="Normal"/>
        <w:spacing w:before="0" w:after="120"/>
        <w:jc w:val="both"/>
        <w:rPr>
          <w:rFonts w:ascii="Effra Corp" w:hAnsi="Effra Corp"/>
          <w:b/>
          <w:spacing w:val="-2"/>
          <w:sz w:val="21"/>
          <w:lang w:val="el-GR"/>
        </w:rPr>
      </w:pPr>
      <w:r>
        <w:rPr>
          <w:rFonts w:ascii="Effra Corp" w:hAnsi="Effra Corp"/>
          <w:b/>
          <w:spacing w:val="-2"/>
          <w:sz w:val="21"/>
          <w:lang w:val="el-GR" w:bidi="el-GR"/>
        </w:rPr>
        <w:t>Καθαρός δανεισμός</w:t>
      </w:r>
    </w:p>
    <w:p>
      <w:pPr>
        <w:pStyle w:val="Normal"/>
        <w:jc w:val="both"/>
        <w:rPr>
          <w:rFonts w:ascii="Effra Corp" w:hAnsi="Effra Corp"/>
          <w:spacing w:val="-2"/>
          <w:sz w:val="21"/>
          <w:lang w:val="el-GR" w:bidi="el-GR"/>
        </w:rPr>
      </w:pPr>
      <w:r>
        <w:rPr>
          <w:rFonts w:ascii="Effra Corp" w:hAnsi="Effra Corp"/>
          <w:spacing w:val="-2"/>
          <w:sz w:val="21"/>
          <w:lang w:val="el-GR" w:bidi="el-GR"/>
        </w:rPr>
        <w:t>Ο καθαρός δανεισμός αποτελεί έναν ΕΔΜΑ που χρησιμοποιείται από τον Όμιλο για τη μέτρηση της κεφαλαιακής του διάρθρωσης και του επιπέδου χρηματοοικονομικής μόχλευσης. Ο καθαρός δανεισμός ορίζεται ως τα βραχυπρόθεσμα και μακροπρόθεσμα δάνεια, μείον την εύλογη αξία των πράξεων ανταλλαγής επιτοκίων (σταθερά σε κυμαινόμενα), τα χρηματικά διαθέσιμα και ισοδύναμα και τα χρηματοοικονομικά περιουσιακά στοιχεία (όπως οι προθεσμιακές καταθέσεις και τα αμοιβαία κεφάλαια), όπως φαίνεται παρακάτω:</w:t>
      </w:r>
    </w:p>
    <w:p>
      <w:pPr>
        <w:pStyle w:val="Normal"/>
        <w:jc w:val="both"/>
        <w:rPr>
          <w:rFonts w:ascii="Effra Corp" w:hAnsi="Effra Corp" w:cs="Arial"/>
          <w:spacing w:val="-2"/>
          <w:sz w:val="21"/>
          <w:szCs w:val="21"/>
          <w:lang w:val="el-GR"/>
        </w:rPr>
      </w:pPr>
      <w:r>
        <w:rPr>
          <w:rFonts w:cs="Arial" w:ascii="Effra Corp" w:hAnsi="Effra Corp"/>
          <w:spacing w:val="-2"/>
          <w:sz w:val="21"/>
          <w:szCs w:val="21"/>
          <w:lang w:val="el-GR"/>
        </w:rPr>
      </w:r>
    </w:p>
    <w:tbl>
      <w:tblPr>
        <w:tblW w:w="9781" w:type="dxa"/>
        <w:jc w:val="left"/>
        <w:tblInd w:w="0" w:type="dxa"/>
        <w:tblLayout w:type="fixed"/>
        <w:tblCellMar>
          <w:top w:w="0" w:type="dxa"/>
          <w:left w:w="60" w:type="dxa"/>
          <w:bottom w:w="0" w:type="dxa"/>
          <w:right w:w="60" w:type="dxa"/>
        </w:tblCellMar>
        <w:tblLook w:firstRow="1" w:noVBand="1" w:lastRow="0" w:firstColumn="1" w:lastColumn="0" w:noHBand="0" w:val="04a0"/>
      </w:tblPr>
      <w:tblGrid>
        <w:gridCol w:w="5670"/>
        <w:gridCol w:w="2127"/>
        <w:gridCol w:w="1984"/>
      </w:tblGrid>
      <w:tr>
        <w:trPr>
          <w:trHeight w:val="278" w:hRule="exact"/>
        </w:trPr>
        <w:tc>
          <w:tcPr>
            <w:tcW w:w="5670" w:type="dxa"/>
            <w:tcBorders/>
            <w:vAlign w:val="bottom"/>
          </w:tcPr>
          <w:p>
            <w:pPr>
              <w:pStyle w:val="DMETW2940BIPCASH"/>
              <w:widowControl w:val="false"/>
              <w:rPr>
                <w:color w:val="auto"/>
                <w:lang w:val="el-GR"/>
              </w:rPr>
            </w:pPr>
            <w:r>
              <w:rPr>
                <w:color w:val="auto"/>
                <w:lang w:val="el-GR"/>
              </w:rPr>
            </w:r>
            <w:bookmarkStart w:id="22" w:name="DOC_TBL00017_1_1"/>
            <w:bookmarkStart w:id="23" w:name="DOC_TBL00017_1_1"/>
            <w:bookmarkEnd w:id="23"/>
          </w:p>
        </w:tc>
        <w:tc>
          <w:tcPr>
            <w:tcW w:w="4111" w:type="dxa"/>
            <w:gridSpan w:val="2"/>
            <w:tcBorders/>
            <w:shd w:color="auto" w:fill="BFBFBF" w:val="clear"/>
            <w:vAlign w:val="bottom"/>
          </w:tcPr>
          <w:p>
            <w:pPr>
              <w:pStyle w:val="DMETW2940BIPCASH"/>
              <w:widowControl w:val="false"/>
              <w:ind w:left="365" w:hanging="0"/>
              <w:jc w:val="center"/>
              <w:rPr>
                <w:b/>
                <w:color w:val="auto"/>
              </w:rPr>
            </w:pPr>
            <w:r>
              <w:rPr>
                <w:b/>
                <w:color w:val="auto"/>
                <w:spacing w:val="-2"/>
                <w:lang w:val="el-GR"/>
              </w:rPr>
              <w:t>Ποσά κατά την</w:t>
            </w:r>
          </w:p>
        </w:tc>
      </w:tr>
      <w:tr>
        <w:trPr>
          <w:trHeight w:val="278" w:hRule="exact"/>
        </w:trPr>
        <w:tc>
          <w:tcPr>
            <w:tcW w:w="5670" w:type="dxa"/>
            <w:tcBorders/>
            <w:vAlign w:val="bottom"/>
          </w:tcPr>
          <w:p>
            <w:pPr>
              <w:pStyle w:val="DMETW2940BIPCASH"/>
              <w:widowControl w:val="false"/>
              <w:rPr>
                <w:color w:val="auto"/>
              </w:rPr>
            </w:pPr>
            <w:r>
              <w:rPr>
                <w:color w:val="auto"/>
              </w:rPr>
            </w:r>
          </w:p>
        </w:tc>
        <w:tc>
          <w:tcPr>
            <w:tcW w:w="2127" w:type="dxa"/>
            <w:tcBorders/>
            <w:shd w:color="auto" w:fill="BFBFBF" w:val="clear"/>
            <w:vAlign w:val="bottom"/>
          </w:tcPr>
          <w:p>
            <w:pPr>
              <w:pStyle w:val="DMETW2940BIPCASH"/>
              <w:widowControl w:val="false"/>
              <w:jc w:val="right"/>
              <w:rPr>
                <w:b/>
                <w:color w:val="auto"/>
              </w:rPr>
            </w:pPr>
            <w:r>
              <w:rPr>
                <w:b/>
                <w:color w:val="auto"/>
                <w:spacing w:val="-2"/>
                <w:lang w:bidi="en-GB"/>
              </w:rPr>
              <w:t>3</w:t>
            </w:r>
            <w:r>
              <w:rPr>
                <w:b/>
                <w:color w:val="auto"/>
                <w:spacing w:val="-2"/>
                <w:lang w:val="el-GR" w:bidi="en-GB"/>
              </w:rPr>
              <w:t xml:space="preserve"> Ιουλίου 2026</w:t>
            </w:r>
          </w:p>
        </w:tc>
        <w:tc>
          <w:tcPr>
            <w:tcW w:w="1984" w:type="dxa"/>
            <w:tcBorders/>
            <w:shd w:color="auto" w:fill="BFBFBF" w:val="clear"/>
            <w:vAlign w:val="bottom"/>
          </w:tcPr>
          <w:p>
            <w:pPr>
              <w:pStyle w:val="DMETW2940BIPCASH"/>
              <w:widowControl w:val="false"/>
              <w:jc w:val="right"/>
              <w:rPr>
                <w:b/>
                <w:color w:val="auto"/>
              </w:rPr>
            </w:pPr>
            <w:r>
              <w:rPr>
                <w:b/>
                <w:color w:val="auto"/>
                <w:spacing w:val="-2"/>
                <w:lang w:val="el-GR" w:bidi="en-GB"/>
              </w:rPr>
              <w:t>31 Δεκεμβρίου 2025</w:t>
            </w:r>
          </w:p>
        </w:tc>
      </w:tr>
      <w:tr>
        <w:trPr>
          <w:trHeight w:val="278" w:hRule="exact"/>
        </w:trPr>
        <w:tc>
          <w:tcPr>
            <w:tcW w:w="5670" w:type="dxa"/>
            <w:tcBorders/>
            <w:vAlign w:val="bottom"/>
          </w:tcPr>
          <w:p>
            <w:pPr>
              <w:pStyle w:val="DMETW2940BIPCASH"/>
              <w:widowControl w:val="false"/>
              <w:rPr>
                <w:color w:val="auto"/>
              </w:rPr>
            </w:pPr>
            <w:r>
              <w:rPr>
                <w:color w:val="auto"/>
              </w:rPr>
            </w:r>
          </w:p>
        </w:tc>
        <w:tc>
          <w:tcPr>
            <w:tcW w:w="2127" w:type="dxa"/>
            <w:tcBorders/>
            <w:shd w:color="auto" w:fill="BFBFBF" w:val="clear"/>
            <w:vAlign w:val="bottom"/>
          </w:tcPr>
          <w:p>
            <w:pPr>
              <w:pStyle w:val="DMETW2940BIPCASH"/>
              <w:widowControl w:val="false"/>
              <w:jc w:val="right"/>
              <w:rPr>
                <w:b/>
                <w:color w:val="auto"/>
              </w:rPr>
            </w:pPr>
            <w:r>
              <w:rPr>
                <w:b/>
                <w:color w:val="auto"/>
                <w:spacing w:val="-2"/>
                <w:lang w:val="el-GR" w:bidi="en-GB"/>
              </w:rPr>
              <w:t xml:space="preserve">€ </w:t>
            </w:r>
            <w:r>
              <w:rPr>
                <w:b/>
                <w:color w:val="auto"/>
                <w:spacing w:val="-2"/>
                <w:lang w:val="el-GR" w:bidi="en-GB"/>
              </w:rPr>
              <w:t>εκατ.</w:t>
            </w:r>
          </w:p>
        </w:tc>
        <w:tc>
          <w:tcPr>
            <w:tcW w:w="1984" w:type="dxa"/>
            <w:tcBorders/>
            <w:shd w:color="auto" w:fill="BFBFBF" w:val="clear"/>
            <w:vAlign w:val="bottom"/>
          </w:tcPr>
          <w:p>
            <w:pPr>
              <w:pStyle w:val="DMETW2940BIPCASH"/>
              <w:widowControl w:val="false"/>
              <w:jc w:val="right"/>
              <w:rPr>
                <w:b/>
                <w:color w:val="auto"/>
              </w:rPr>
            </w:pPr>
            <w:r>
              <w:rPr>
                <w:b/>
                <w:color w:val="auto"/>
                <w:spacing w:val="-2"/>
                <w:lang w:val="el-GR" w:bidi="en-GB"/>
              </w:rPr>
              <w:t xml:space="preserve">€ </w:t>
            </w:r>
            <w:r>
              <w:rPr>
                <w:b/>
                <w:color w:val="auto"/>
                <w:spacing w:val="-2"/>
                <w:lang w:val="el-GR" w:bidi="en-GB"/>
              </w:rPr>
              <w:t>εκατ.</w:t>
            </w:r>
          </w:p>
        </w:tc>
      </w:tr>
      <w:tr>
        <w:trPr>
          <w:trHeight w:val="278" w:hRule="exact"/>
        </w:trPr>
        <w:tc>
          <w:tcPr>
            <w:tcW w:w="5670" w:type="dxa"/>
            <w:tcBorders/>
            <w:vAlign w:val="bottom"/>
          </w:tcPr>
          <w:p>
            <w:pPr>
              <w:pStyle w:val="DMETW2940BIPCASH"/>
              <w:widowControl w:val="false"/>
              <w:rPr>
                <w:color w:val="auto"/>
              </w:rPr>
            </w:pPr>
            <w:r>
              <w:rPr>
                <w:color w:val="auto"/>
                <w:spacing w:val="-2"/>
                <w:lang w:val="el-GR" w:bidi="en-GB"/>
              </w:rPr>
              <w:t>Βραχυπρόθεσμα δάνεια</w:t>
            </w:r>
          </w:p>
        </w:tc>
        <w:tc>
          <w:tcPr>
            <w:tcW w:w="2127" w:type="dxa"/>
            <w:tcBorders/>
            <w:vAlign w:val="bottom"/>
          </w:tcPr>
          <w:p>
            <w:pPr>
              <w:pStyle w:val="DMETW2940BIPCASH"/>
              <w:widowControl w:val="false"/>
              <w:jc w:val="right"/>
              <w:rPr>
                <w:b/>
                <w:color w:val="auto"/>
              </w:rPr>
            </w:pPr>
            <w:r>
              <w:rPr>
                <w:b/>
                <w:bCs/>
                <w:color w:val="auto"/>
              </w:rPr>
              <w:t>1.662,5</w:t>
            </w:r>
          </w:p>
        </w:tc>
        <w:tc>
          <w:tcPr>
            <w:tcW w:w="1984" w:type="dxa"/>
            <w:tcBorders/>
            <w:vAlign w:val="bottom"/>
          </w:tcPr>
          <w:p>
            <w:pPr>
              <w:pStyle w:val="DMETW2940BIPCASH"/>
              <w:widowControl w:val="false"/>
              <w:jc w:val="right"/>
              <w:rPr>
                <w:color w:val="auto"/>
              </w:rPr>
            </w:pPr>
            <w:r>
              <w:rPr>
                <w:color w:val="auto"/>
              </w:rPr>
              <w:t>805</w:t>
            </w:r>
            <w:r>
              <w:rPr>
                <w:color w:val="auto"/>
                <w:lang w:val="el-GR"/>
              </w:rPr>
              <w:t>,</w:t>
            </w:r>
            <w:r>
              <w:rPr>
                <w:color w:val="auto"/>
              </w:rPr>
              <w:t>6</w:t>
            </w:r>
          </w:p>
        </w:tc>
      </w:tr>
      <w:tr>
        <w:trPr>
          <w:trHeight w:val="278" w:hRule="exact"/>
        </w:trPr>
        <w:tc>
          <w:tcPr>
            <w:tcW w:w="5670" w:type="dxa"/>
            <w:tcBorders/>
            <w:vAlign w:val="bottom"/>
          </w:tcPr>
          <w:p>
            <w:pPr>
              <w:pStyle w:val="DMETW2940BIPCASH"/>
              <w:widowControl w:val="false"/>
              <w:rPr>
                <w:color w:val="auto"/>
              </w:rPr>
            </w:pPr>
            <w:r>
              <w:rPr>
                <w:color w:val="auto"/>
                <w:spacing w:val="-2"/>
                <w:lang w:val="el-GR" w:bidi="en-GB"/>
              </w:rPr>
              <w:t>Μακροπρόθεσμα δάνεια</w:t>
            </w:r>
          </w:p>
        </w:tc>
        <w:tc>
          <w:tcPr>
            <w:tcW w:w="2127" w:type="dxa"/>
            <w:tcBorders/>
            <w:vAlign w:val="bottom"/>
          </w:tcPr>
          <w:p>
            <w:pPr>
              <w:pStyle w:val="DMETW2940BIPCASH"/>
              <w:widowControl w:val="false"/>
              <w:jc w:val="right"/>
              <w:rPr>
                <w:b/>
                <w:color w:val="auto"/>
              </w:rPr>
            </w:pPr>
            <w:r>
              <w:rPr>
                <w:b/>
                <w:color w:val="auto"/>
              </w:rPr>
              <w:t>4.506,3</w:t>
            </w:r>
          </w:p>
        </w:tc>
        <w:tc>
          <w:tcPr>
            <w:tcW w:w="1984" w:type="dxa"/>
            <w:tcBorders/>
            <w:vAlign w:val="bottom"/>
          </w:tcPr>
          <w:p>
            <w:pPr>
              <w:pStyle w:val="DMETW2940BIPCASH"/>
              <w:widowControl w:val="false"/>
              <w:jc w:val="right"/>
              <w:rPr>
                <w:color w:val="auto"/>
              </w:rPr>
            </w:pPr>
            <w:r>
              <w:rPr>
                <w:color w:val="auto"/>
              </w:rPr>
              <w:t>3</w:t>
            </w:r>
            <w:r>
              <w:rPr>
                <w:color w:val="auto"/>
                <w:lang w:val="el-GR"/>
              </w:rPr>
              <w:t>.</w:t>
            </w:r>
            <w:r>
              <w:rPr>
                <w:color w:val="auto"/>
              </w:rPr>
              <w:t>107</w:t>
            </w:r>
            <w:r>
              <w:rPr>
                <w:color w:val="auto"/>
                <w:lang w:val="el-GR"/>
              </w:rPr>
              <w:t>,</w:t>
            </w:r>
            <w:r>
              <w:rPr>
                <w:color w:val="auto"/>
              </w:rPr>
              <w:t>4</w:t>
            </w:r>
          </w:p>
        </w:tc>
      </w:tr>
      <w:tr>
        <w:trPr>
          <w:trHeight w:val="278" w:hRule="exact"/>
        </w:trPr>
        <w:tc>
          <w:tcPr>
            <w:tcW w:w="5670" w:type="dxa"/>
            <w:tcBorders/>
            <w:vAlign w:val="bottom"/>
          </w:tcPr>
          <w:p>
            <w:pPr>
              <w:pStyle w:val="Normal16"/>
              <w:widowControl w:val="false"/>
              <w:rPr>
                <w:rFonts w:ascii="Effra Corp" w:hAnsi="Effra Corp" w:cs="Effra Corp"/>
                <w:color w:val="auto"/>
                <w:sz w:val="20"/>
                <w:lang w:val="el-GR"/>
              </w:rPr>
            </w:pPr>
            <w:r>
              <w:rPr>
                <w:rFonts w:ascii="Effra Corp" w:hAnsi="Effra Corp"/>
                <w:color w:val="auto"/>
                <w:spacing w:val="-2"/>
                <w:sz w:val="20"/>
                <w:lang w:val="el-GR" w:bidi="el-GR"/>
              </w:rPr>
              <w:t>Πράξεις ανταλλαγής επιτοκίων (σταθερά σε κυμαινόμενα)</w:t>
            </w:r>
          </w:p>
        </w:tc>
        <w:tc>
          <w:tcPr>
            <w:tcW w:w="2127" w:type="dxa"/>
            <w:tcBorders/>
            <w:vAlign w:val="bottom"/>
          </w:tcPr>
          <w:p>
            <w:pPr>
              <w:pStyle w:val="DMETW2940BIPCASH"/>
              <w:widowControl w:val="false"/>
              <w:jc w:val="right"/>
              <w:rPr>
                <w:b/>
                <w:color w:val="auto"/>
              </w:rPr>
            </w:pPr>
            <w:r>
              <w:rPr>
                <w:b/>
                <w:color w:val="auto"/>
              </w:rPr>
              <w:t>(16,9)</w:t>
            </w:r>
          </w:p>
        </w:tc>
        <w:tc>
          <w:tcPr>
            <w:tcW w:w="1984" w:type="dxa"/>
            <w:tcBorders/>
            <w:vAlign w:val="bottom"/>
          </w:tcPr>
          <w:p>
            <w:pPr>
              <w:pStyle w:val="DMETW2940BIPCASH"/>
              <w:widowControl w:val="false"/>
              <w:jc w:val="right"/>
              <w:rPr>
                <w:color w:val="auto"/>
              </w:rPr>
            </w:pPr>
            <w:r>
              <w:rPr>
                <w:color w:val="auto"/>
              </w:rPr>
              <w:t>(23</w:t>
            </w:r>
            <w:r>
              <w:rPr>
                <w:color w:val="auto"/>
                <w:lang w:val="el-GR"/>
              </w:rPr>
              <w:t>,</w:t>
            </w:r>
            <w:r>
              <w:rPr>
                <w:color w:val="auto"/>
              </w:rPr>
              <w:t>2)</w:t>
            </w:r>
          </w:p>
        </w:tc>
      </w:tr>
      <w:tr>
        <w:trPr>
          <w:trHeight w:val="278" w:hRule="exact"/>
        </w:trPr>
        <w:tc>
          <w:tcPr>
            <w:tcW w:w="5670" w:type="dxa"/>
            <w:tcBorders/>
            <w:vAlign w:val="bottom"/>
          </w:tcPr>
          <w:p>
            <w:pPr>
              <w:pStyle w:val="DMETW2940BIPCASH"/>
              <w:widowControl w:val="false"/>
              <w:rPr>
                <w:color w:val="auto"/>
              </w:rPr>
            </w:pPr>
            <w:r>
              <w:rPr>
                <w:color w:val="auto"/>
                <w:spacing w:val="-2"/>
                <w:lang w:val="el-GR" w:bidi="en-GB"/>
              </w:rPr>
              <w:t>Λοιπά χρηματοοικονομικά περιουσιακά στοιχεία</w:t>
            </w:r>
          </w:p>
        </w:tc>
        <w:tc>
          <w:tcPr>
            <w:tcW w:w="2127" w:type="dxa"/>
            <w:tcBorders/>
            <w:vAlign w:val="bottom"/>
          </w:tcPr>
          <w:p>
            <w:pPr>
              <w:pStyle w:val="DMETW2940BIPCASH"/>
              <w:widowControl w:val="false"/>
              <w:jc w:val="right"/>
              <w:rPr>
                <w:b/>
                <w:color w:val="auto"/>
              </w:rPr>
            </w:pPr>
            <w:r>
              <w:rPr>
                <w:b/>
                <w:color w:val="auto"/>
              </w:rPr>
              <w:t>(864,5)</w:t>
            </w:r>
          </w:p>
        </w:tc>
        <w:tc>
          <w:tcPr>
            <w:tcW w:w="1984" w:type="dxa"/>
            <w:tcBorders/>
            <w:vAlign w:val="bottom"/>
          </w:tcPr>
          <w:p>
            <w:pPr>
              <w:pStyle w:val="DMETW2940BIPCASH"/>
              <w:widowControl w:val="false"/>
              <w:jc w:val="right"/>
              <w:rPr>
                <w:color w:val="auto"/>
              </w:rPr>
            </w:pPr>
            <w:r>
              <w:rPr>
                <w:color w:val="auto"/>
              </w:rPr>
              <w:t>(115</w:t>
            </w:r>
            <w:r>
              <w:rPr>
                <w:color w:val="auto"/>
                <w:lang w:val="el-GR"/>
              </w:rPr>
              <w:t>,</w:t>
            </w:r>
            <w:r>
              <w:rPr>
                <w:color w:val="auto"/>
              </w:rPr>
              <w:t>2)</w:t>
            </w:r>
          </w:p>
        </w:tc>
      </w:tr>
      <w:tr>
        <w:trPr>
          <w:trHeight w:val="278" w:hRule="exact"/>
        </w:trPr>
        <w:tc>
          <w:tcPr>
            <w:tcW w:w="5670" w:type="dxa"/>
            <w:tcBorders/>
            <w:vAlign w:val="bottom"/>
          </w:tcPr>
          <w:p>
            <w:pPr>
              <w:pStyle w:val="DMETW2940BIPCASH"/>
              <w:widowControl w:val="false"/>
              <w:rPr>
                <w:color w:val="auto"/>
              </w:rPr>
            </w:pPr>
            <w:r>
              <w:rPr>
                <w:color w:val="auto"/>
                <w:spacing w:val="-2"/>
                <w:lang w:val="el-GR" w:bidi="en-GB"/>
              </w:rPr>
              <w:t>Χρηματικά διαθέσιμα και ισοδύναμα</w:t>
            </w:r>
          </w:p>
        </w:tc>
        <w:tc>
          <w:tcPr>
            <w:tcW w:w="2127" w:type="dxa"/>
            <w:tcBorders>
              <w:bottom w:val="single" w:sz="4" w:space="0" w:color="000000"/>
            </w:tcBorders>
            <w:vAlign w:val="bottom"/>
          </w:tcPr>
          <w:p>
            <w:pPr>
              <w:pStyle w:val="DMETW2940BIPCASH"/>
              <w:widowControl w:val="false"/>
              <w:jc w:val="right"/>
              <w:rPr>
                <w:b/>
                <w:color w:val="auto"/>
              </w:rPr>
            </w:pPr>
            <w:r>
              <w:rPr>
                <w:b/>
                <w:color w:val="auto"/>
              </w:rPr>
              <w:t>(3.873,8)</w:t>
            </w:r>
          </w:p>
        </w:tc>
        <w:tc>
          <w:tcPr>
            <w:tcW w:w="1984" w:type="dxa"/>
            <w:tcBorders>
              <w:bottom w:val="single" w:sz="4" w:space="0" w:color="000000"/>
            </w:tcBorders>
            <w:vAlign w:val="bottom"/>
          </w:tcPr>
          <w:p>
            <w:pPr>
              <w:pStyle w:val="DMETW2940BIPCASH"/>
              <w:widowControl w:val="false"/>
              <w:jc w:val="right"/>
              <w:rPr>
                <w:color w:val="auto"/>
              </w:rPr>
            </w:pPr>
            <w:r>
              <w:rPr>
                <w:color w:val="auto"/>
              </w:rPr>
              <w:t>(2</w:t>
            </w:r>
            <w:r>
              <w:rPr>
                <w:color w:val="auto"/>
                <w:lang w:val="el-GR"/>
              </w:rPr>
              <w:t>.</w:t>
            </w:r>
            <w:r>
              <w:rPr>
                <w:color w:val="auto"/>
              </w:rPr>
              <w:t>541</w:t>
            </w:r>
            <w:r>
              <w:rPr>
                <w:color w:val="auto"/>
                <w:lang w:val="el-GR"/>
              </w:rPr>
              <w:t>,</w:t>
            </w:r>
            <w:r>
              <w:rPr>
                <w:color w:val="auto"/>
              </w:rPr>
              <w:t>7)</w:t>
            </w:r>
          </w:p>
        </w:tc>
      </w:tr>
      <w:tr>
        <w:trPr>
          <w:trHeight w:val="278" w:hRule="exact"/>
        </w:trPr>
        <w:tc>
          <w:tcPr>
            <w:tcW w:w="5670" w:type="dxa"/>
            <w:tcBorders/>
            <w:vAlign w:val="bottom"/>
          </w:tcPr>
          <w:p>
            <w:pPr>
              <w:pStyle w:val="DMETW2940BIPCASH"/>
              <w:widowControl w:val="false"/>
              <w:rPr>
                <w:b/>
                <w:color w:val="auto"/>
              </w:rPr>
            </w:pPr>
            <w:r>
              <w:rPr>
                <w:b/>
                <w:color w:val="auto"/>
                <w:spacing w:val="-2"/>
                <w:lang w:val="el-GR" w:bidi="en-GB"/>
              </w:rPr>
              <w:t>Καθαρός δανεισμός</w:t>
            </w:r>
          </w:p>
        </w:tc>
        <w:tc>
          <w:tcPr>
            <w:tcW w:w="2127" w:type="dxa"/>
            <w:tcBorders>
              <w:top w:val="single" w:sz="4" w:space="0" w:color="000000"/>
              <w:bottom w:val="single" w:sz="4" w:space="0" w:color="000000"/>
            </w:tcBorders>
            <w:vAlign w:val="bottom"/>
          </w:tcPr>
          <w:p>
            <w:pPr>
              <w:pStyle w:val="DMETW2940BIPCASH"/>
              <w:widowControl w:val="false"/>
              <w:jc w:val="right"/>
              <w:rPr>
                <w:b/>
                <w:color w:val="auto"/>
              </w:rPr>
            </w:pPr>
            <w:r>
              <w:rPr>
                <w:b/>
                <w:color w:val="auto"/>
              </w:rPr>
              <w:t>1.413,6</w:t>
            </w:r>
          </w:p>
        </w:tc>
        <w:tc>
          <w:tcPr>
            <w:tcW w:w="1984" w:type="dxa"/>
            <w:tcBorders>
              <w:top w:val="single" w:sz="4" w:space="0" w:color="000000"/>
              <w:bottom w:val="single" w:sz="4" w:space="0" w:color="000000"/>
            </w:tcBorders>
            <w:vAlign w:val="bottom"/>
          </w:tcPr>
          <w:p>
            <w:pPr>
              <w:pStyle w:val="DMETW2940BIPCASH"/>
              <w:widowControl w:val="false"/>
              <w:ind w:left="224" w:hanging="0"/>
              <w:jc w:val="right"/>
              <w:rPr>
                <w:color w:val="auto"/>
              </w:rPr>
            </w:pPr>
            <w:r>
              <w:rPr>
                <w:b/>
                <w:color w:val="auto"/>
              </w:rPr>
              <w:t>1</w:t>
            </w:r>
            <w:r>
              <w:rPr>
                <w:b/>
                <w:color w:val="auto"/>
                <w:lang w:val="el-GR"/>
              </w:rPr>
              <w:t>.</w:t>
            </w:r>
            <w:r>
              <w:rPr>
                <w:b/>
                <w:color w:val="auto"/>
              </w:rPr>
              <w:t>232</w:t>
            </w:r>
            <w:r>
              <w:rPr>
                <w:b/>
                <w:color w:val="auto"/>
                <w:lang w:val="el-GR"/>
              </w:rPr>
              <w:t>,</w:t>
            </w:r>
            <w:r>
              <w:rPr>
                <w:b/>
                <w:color w:val="auto"/>
              </w:rPr>
              <w:t>9</w:t>
            </w:r>
          </w:p>
        </w:tc>
      </w:tr>
    </w:tbl>
    <w:p>
      <w:pPr>
        <w:pStyle w:val="Normal"/>
        <w:rPr>
          <w:rFonts w:ascii="Effra Corp" w:hAnsi="Effra Corp" w:cs="Arial"/>
          <w:b/>
          <w:spacing w:val="-2"/>
          <w:sz w:val="21"/>
          <w:szCs w:val="21"/>
        </w:rPr>
      </w:pPr>
      <w:r>
        <w:rPr/>
      </w:r>
    </w:p>
    <w:sectPr>
      <w:headerReference w:type="default" r:id="rId6"/>
      <w:footerReference w:type="default" r:id="rId7"/>
      <w:footnotePr>
        <w:numFmt w:val="decimal"/>
      </w:footnotePr>
      <w:type w:val="nextPage"/>
      <w:pgSz w:w="11906" w:h="16838"/>
      <w:pgMar w:left="1247" w:right="709" w:gutter="0" w:header="454" w:top="511" w:footer="34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Garamond">
    <w:charset w:val="a1"/>
    <w:family w:val="roman"/>
    <w:pitch w:val="variable"/>
  </w:font>
  <w:font w:name="Georgia">
    <w:charset w:val="a1"/>
    <w:family w:val="roman"/>
    <w:pitch w:val="variable"/>
  </w:font>
  <w:font w:name="Effra Corp">
    <w:charset w:val="a1"/>
    <w:family w:val="roman"/>
    <w:pitch w:val="variable"/>
  </w:font>
  <w:font w:name="Arial">
    <w:charset w:val="a1"/>
    <w:family w:val="roman"/>
    <w:pitch w:val="variable"/>
  </w:font>
  <w:font w:name="Effra">
    <w:charset w:val="a1"/>
    <w:family w:val="roman"/>
    <w:pitch w:val="variable"/>
  </w:font>
  <w:font w:name="Consolas">
    <w:charset w:val="a1"/>
    <w:family w:val="roman"/>
    <w:pitch w:val="variable"/>
  </w:font>
  <w:font w:name="Liberation Sans">
    <w:altName w:val="Arial"/>
    <w:charset w:val="a1"/>
    <w:family w:val="swiss"/>
    <w:pitch w:val="variable"/>
  </w:font>
  <w:font w:name="Times New Roman Bold">
    <w:charset w:val="a1"/>
    <w:family w:val="roman"/>
    <w:pitch w:val="variable"/>
  </w:font>
  <w:font w:name="Tahoma">
    <w:charset w:val="a1"/>
    <w:family w:val="roman"/>
    <w:pitch w:val="variable"/>
  </w:font>
  <w:font w:name="Dutch801 Rm BT">
    <w:charset w:val="a1"/>
    <w:family w:val="roman"/>
    <w:pitch w:val="variable"/>
  </w:font>
  <w:font w:name="Verdana">
    <w:charset w:val="a1"/>
    <w:family w:val="roman"/>
    <w:pitch w:val="variable"/>
  </w:font>
  <w:font w:name="Calibri">
    <w:charset w:val="a1"/>
    <w:family w:val="roman"/>
    <w:pitch w:val="variable"/>
  </w:font>
  <w:font w:name="Effra Medium">
    <w:charset w:val="a1"/>
    <w:family w:val="roman"/>
    <w:pitch w:val="variable"/>
  </w:font>
  <w:font w:name="Effra Light">
    <w:charset w:val="a1"/>
    <w:family w:val="roman"/>
    <w:pitch w:val="variable"/>
  </w:font>
  <w:font w:name="Segoe UI">
    <w:charset w:val="a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left="-180" w:hanging="0"/>
      <w:jc w:val="both"/>
      <w:rPr>
        <w:rFonts w:ascii="Effra Corp" w:hAnsi="Effra Corp" w:eastAsia="Effra Corp" w:cs="Effra Corp"/>
        <w:color w:val="F40009"/>
        <w:sz w:val="14"/>
        <w:szCs w:val="14"/>
        <w:lang w:val="el-GR" w:bidi="el-GR"/>
      </w:rPr>
    </w:pPr>
    <w:r>
      <w:rPr>
        <w:rFonts w:eastAsia="Effra Corp" w:cs="Effra Corp" w:ascii="Effra Corp" w:hAnsi="Effra Corp"/>
        <w:color w:val="F40009"/>
        <w:sz w:val="14"/>
        <w:szCs w:val="14"/>
        <w:lang w:val="el-GR" w:bidi="el-GR"/>
      </w:rPr>
      <w:t>Οι αγορές μας: Αίγυπτος · Αρμενία · Αυστρία · Βοσνία και Ερζεγοβίνη · Βόρεια Ιρλανδία · Βόρεια Μακεδονία · Βουλγαρία · Ελβετία · Ελλάδα · Εσθονία ·Ιρλανδία · Ιταλία · Κροατία · Κύπρος  ·Λετονία · Λευκορωσία · Λιθουανία · Μαυροβούνιο · Μολδαβία · Νιγηρία · Ουγγαρία · Ουκρανία · Πολωνία ·Ρουμανία · Ρωσία · Σερβία · Σλοβακία · Σλοβενία · Τσεχική Δημοκρατία</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1"/>
        <w:rPr>
          <w:rFonts w:ascii="Effra Corp" w:hAnsi="Effra Corp"/>
          <w:sz w:val="14"/>
          <w:szCs w:val="14"/>
          <w:lang w:val="el-GR"/>
        </w:rPr>
      </w:pPr>
      <w:r>
        <w:rPr>
          <w:rStyle w:val="Style7"/>
        </w:rPr>
        <w:footnoteRef/>
      </w:r>
      <w:r>
        <w:rPr>
          <w:rFonts w:ascii="Effra Corp" w:hAnsi="Effra Corp"/>
          <w:sz w:val="14"/>
          <w:szCs w:val="14"/>
          <w:lang w:val="el-GR"/>
        </w:rPr>
        <w:t xml:space="preserve"> </w:t>
      </w:r>
      <w:r>
        <w:rPr>
          <w:rFonts w:eastAsia="Effra Corp" w:cs="Arial" w:ascii="Effra Corp" w:hAnsi="Effra Corp"/>
          <w:i/>
          <w:color w:val="000000"/>
          <w:sz w:val="14"/>
          <w:szCs w:val="14"/>
          <w:lang w:val="el-GR" w:bidi="el-GR"/>
        </w:rPr>
        <w:t>Για λεπτομέρειες επί των Εναλλακτικών Δεικτών Μέτρησης Απόδοσης (ΕΔΜΑ), ανατρέξτε στις ενότητες «Εναλλακτικοί Δείκτες Μέτρησης Απόδοσης» και «Ορισμοί και συμφωνίες Εναλλακτικών Δεικτών Μέτρησης Απόδοσης</w:t>
      </w:r>
      <w:r>
        <w:rPr>
          <w:rFonts w:eastAsia="Effra Corp" w:cs="Arial" w:ascii="Effra Corp" w:hAnsi="Effra Corp"/>
          <w:i/>
          <w:color w:val="000000"/>
          <w:sz w:val="14"/>
          <w:szCs w:val="14"/>
          <w:lang w:bidi="el-GR"/>
        </w:rPr>
        <w:t> </w:t>
      </w:r>
      <w:r>
        <w:rPr>
          <w:rFonts w:eastAsia="Effra Corp" w:cs="Arial" w:ascii="Effra Corp" w:hAnsi="Effra Corp"/>
          <w:i/>
          <w:color w:val="000000"/>
          <w:sz w:val="14"/>
          <w:szCs w:val="14"/>
          <w:lang w:val="el-GR" w:bidi="el-GR"/>
        </w:rPr>
        <w:t>(ΕΔΜΑ)».</w:t>
      </w:r>
    </w:p>
  </w:footnote>
  <w:footnote w:id="3">
    <w:p>
      <w:pPr>
        <w:pStyle w:val="Style21"/>
        <w:rPr>
          <w:lang w:val="el-GR"/>
        </w:rPr>
      </w:pPr>
      <w:r>
        <w:rPr>
          <w:rStyle w:val="Style7"/>
        </w:rPr>
        <w:footnoteRef/>
      </w:r>
      <w:r>
        <w:rPr>
          <w:rFonts w:ascii="Effra Corp" w:hAnsi="Effra Corp"/>
          <w:sz w:val="14"/>
          <w:szCs w:val="14"/>
          <w:lang w:val="el-GR"/>
        </w:rPr>
        <w:t xml:space="preserve"> </w:t>
      </w:r>
      <w:r>
        <w:rPr>
          <w:rFonts w:eastAsia="Effra Corp" w:cs="Arial" w:ascii="Effra Corp" w:hAnsi="Effra Corp"/>
          <w:i/>
          <w:color w:val="000000"/>
          <w:sz w:val="14"/>
          <w:szCs w:val="14"/>
          <w:lang w:val="el-GR" w:bidi="el-GR"/>
        </w:rPr>
        <w:t xml:space="preserve">Η περίοδος καλύπτει τους μήνες από Ιανουάριο μέχρι και Μάϊο του 2026, σύμφωνα με τη μεθοδολογία των </w:t>
      </w:r>
      <w:r>
        <w:rPr>
          <w:rFonts w:eastAsia="Effra Corp" w:cs="Arial" w:ascii="Effra Corp" w:hAnsi="Effra Corp"/>
          <w:i/>
          <w:color w:val="000000"/>
          <w:sz w:val="14"/>
          <w:szCs w:val="14"/>
          <w:lang w:bidi="el-GR"/>
        </w:rPr>
        <w:t>Nielsen</w:t>
      </w:r>
      <w:r>
        <w:rPr>
          <w:rFonts w:eastAsia="Effra Corp" w:cs="Arial" w:ascii="Effra Corp" w:hAnsi="Effra Corp"/>
          <w:i/>
          <w:color w:val="000000"/>
          <w:sz w:val="14"/>
          <w:szCs w:val="14"/>
          <w:lang w:val="el-GR" w:bidi="el-GR"/>
        </w:rPr>
        <w:t xml:space="preserve"> και </w:t>
      </w:r>
      <w:r>
        <w:rPr>
          <w:rFonts w:eastAsia="Effra Corp" w:cs="Arial" w:ascii="Effra Corp" w:hAnsi="Effra Corp"/>
          <w:i/>
          <w:color w:val="000000"/>
          <w:sz w:val="14"/>
          <w:szCs w:val="14"/>
          <w:lang w:bidi="el-GR"/>
        </w:rPr>
        <w:t>HIST</w:t>
      </w:r>
      <w:r>
        <w:rPr>
          <w:rFonts w:eastAsia="Effra Corp" w:cs="Arial" w:ascii="Effra Corp" w:hAnsi="Effra Corp"/>
          <w:i/>
          <w:color w:val="000000"/>
          <w:sz w:val="14"/>
          <w:szCs w:val="14"/>
          <w:lang w:val="el-GR" w:bidi="el-GR"/>
        </w:rPr>
        <w:t>, εξαιρουμένης της Ρωσίας.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9360" w:leader="none"/>
      </w:tabs>
      <w:ind w:right="53" w:hanging="0"/>
      <w:jc w:val="right"/>
      <w:rPr>
        <w:rFonts w:ascii="Effra Corp" w:hAnsi="Effra Corp"/>
        <w:b/>
        <w:sz w:val="16"/>
        <w:lang w:val="el-GR"/>
      </w:rPr>
    </w:pPr>
    <w:r>
      <w:drawing>
        <wp:anchor behindDoc="1" distT="0" distB="0" distL="114300" distR="114300" simplePos="0" locked="0" layoutInCell="0" allowOverlap="1" relativeHeight="17">
          <wp:simplePos x="0" y="0"/>
          <wp:positionH relativeFrom="column">
            <wp:posOffset>263525</wp:posOffset>
          </wp:positionH>
          <wp:positionV relativeFrom="paragraph">
            <wp:posOffset>69215</wp:posOffset>
          </wp:positionV>
          <wp:extent cx="826135" cy="309880"/>
          <wp:effectExtent l="0" t="0" r="0" b="0"/>
          <wp:wrapSquare wrapText="bothSides"/>
          <wp:docPr id="1" name="Picture 2" descr="A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and red text&#10;&#10;Description automatically generated"/>
                  <pic:cNvPicPr>
                    <a:picLocks noChangeAspect="1" noChangeArrowheads="1"/>
                  </pic:cNvPicPr>
                </pic:nvPicPr>
                <pic:blipFill>
                  <a:blip r:embed="rId1"/>
                  <a:stretch>
                    <a:fillRect/>
                  </a:stretch>
                </pic:blipFill>
                <pic:spPr bwMode="auto">
                  <a:xfrm>
                    <a:off x="0" y="0"/>
                    <a:ext cx="826135" cy="309880"/>
                  </a:xfrm>
                  <a:prstGeom prst="rect">
                    <a:avLst/>
                  </a:prstGeom>
                </pic:spPr>
              </pic:pic>
            </a:graphicData>
          </a:graphic>
        </wp:anchor>
      </w:drawing>
    </w:r>
    <w:r>
      <w:rPr>
        <w:rFonts w:ascii="Effra Corp" w:hAnsi="Effra Corp"/>
        <w:b/>
        <w:sz w:val="16"/>
        <w:lang w:val="el-GR"/>
      </w:rPr>
      <w:t>Αποτελέσματα Α’ Εξαμήνου που έληξε στις 3 Ιουλίου 2026</w:t>
    </w:r>
  </w:p>
  <w:p>
    <w:pPr>
      <w:pStyle w:val="Normal"/>
      <w:tabs>
        <w:tab w:val="clear" w:pos="720"/>
        <w:tab w:val="right" w:pos="9360" w:leader="none"/>
      </w:tabs>
      <w:ind w:right="51" w:hanging="0"/>
      <w:jc w:val="right"/>
      <w:rPr>
        <w:rFonts w:ascii="Effra Corp" w:hAnsi="Effra Corp" w:cs="Arial"/>
        <w:sz w:val="16"/>
        <w:szCs w:val="16"/>
      </w:rPr>
    </w:pPr>
    <w:r>
      <w:rPr>
        <w:rFonts w:ascii="Effra Corp" w:hAnsi="Effra Corp"/>
        <w:sz w:val="16"/>
        <w:lang w:val="el-GR"/>
      </w:rPr>
      <w:t>5</w:t>
    </w:r>
    <w:r>
      <w:rPr>
        <w:rFonts w:ascii="Effra Corp" w:hAnsi="Effra Corp"/>
        <w:sz w:val="16"/>
      </w:rPr>
      <w:t xml:space="preserve"> </w:t>
    </w:r>
    <w:r>
      <w:rPr>
        <w:rFonts w:ascii="Effra Corp" w:hAnsi="Effra Corp"/>
        <w:sz w:val="16"/>
        <w:lang w:val="el-GR"/>
      </w:rPr>
      <w:t>Αυγούστου</w:t>
    </w:r>
    <w:r>
      <w:rPr>
        <w:rFonts w:ascii="Effra Corp" w:hAnsi="Effra Corp"/>
        <w:sz w:val="16"/>
      </w:rPr>
      <w:t xml:space="preserve"> 2026</w:t>
    </w:r>
  </w:p>
  <w:p>
    <w:pPr>
      <w:pStyle w:val="Normal"/>
      <w:tabs>
        <w:tab w:val="clear" w:pos="720"/>
        <w:tab w:val="right" w:pos="9360" w:leader="none"/>
      </w:tabs>
      <w:spacing w:lineRule="atLeast" w:line="220"/>
      <w:ind w:right="53" w:hanging="0"/>
      <w:jc w:val="right"/>
      <w:rPr>
        <w:rFonts w:ascii="Effra Corp" w:hAnsi="Effra Corp"/>
        <w:sz w:val="12"/>
        <w:szCs w:val="12"/>
      </w:rPr>
    </w:pPr>
    <w:r>
      <w:rPr>
        <w:rFonts w:ascii="Effra Corp" w:hAnsi="Effra Corp"/>
        <w:sz w:val="16"/>
      </w:rPr>
      <w:t xml:space="preserve">Σελίδα </w:t>
    </w:r>
    <w:r>
      <w:rPr>
        <w:rStyle w:val="Pagenumber"/>
        <w:rFonts w:ascii="Effra Corp" w:hAnsi="Effra Corp"/>
        <w:sz w:val="16"/>
      </w:rPr>
      <w:fldChar w:fldCharType="begin"/>
    </w:r>
    <w:r>
      <w:rPr>
        <w:rStyle w:val="Pagenumber"/>
        <w:sz w:val="16"/>
        <w:rFonts w:ascii="Effra Corp" w:hAnsi="Effra Corp"/>
      </w:rPr>
      <w:instrText xml:space="preserve"> PAGE </w:instrText>
    </w:r>
    <w:r>
      <w:rPr>
        <w:rStyle w:val="Pagenumber"/>
        <w:sz w:val="16"/>
        <w:rFonts w:ascii="Effra Corp" w:hAnsi="Effra Corp"/>
      </w:rPr>
      <w:fldChar w:fldCharType="separate"/>
    </w:r>
    <w:r>
      <w:rPr>
        <w:rStyle w:val="Pagenumber"/>
        <w:sz w:val="16"/>
        <w:rFonts w:ascii="Effra Corp" w:hAnsi="Effra Corp"/>
      </w:rPr>
      <w:t>1</w:t>
    </w:r>
    <w:r>
      <w:rPr>
        <w:rStyle w:val="Pagenumber"/>
        <w:sz w:val="16"/>
        <w:rFonts w:ascii="Effra Corp" w:hAnsi="Effra Corp"/>
      </w:rPr>
      <w:fldChar w:fldCharType="end"/>
    </w:r>
    <w:r>
      <w:rPr>
        <w:rStyle w:val="Pagenumber"/>
        <w:rFonts w:ascii="Effra Corp" w:hAnsi="Effra Corp"/>
        <w:sz w:val="16"/>
      </w:rPr>
      <w:t xml:space="preserve"> από </w:t>
    </w:r>
    <w:r>
      <w:rPr>
        <w:rStyle w:val="Pagenumber"/>
        <w:rFonts w:ascii="Effra Corp" w:hAnsi="Effra Corp"/>
        <w:sz w:val="16"/>
      </w:rPr>
      <w:fldChar w:fldCharType="begin"/>
    </w:r>
    <w:r>
      <w:rPr>
        <w:rStyle w:val="Pagenumber"/>
        <w:sz w:val="16"/>
        <w:rFonts w:ascii="Effra Corp" w:hAnsi="Effra Corp"/>
      </w:rPr>
      <w:instrText xml:space="preserve"> NUMPAGES </w:instrText>
    </w:r>
    <w:r>
      <w:rPr>
        <w:rStyle w:val="Pagenumber"/>
        <w:sz w:val="16"/>
        <w:rFonts w:ascii="Effra Corp" w:hAnsi="Effra Corp"/>
      </w:rPr>
      <w:fldChar w:fldCharType="separate"/>
    </w:r>
    <w:r>
      <w:rPr>
        <w:rStyle w:val="Pagenumber"/>
        <w:sz w:val="16"/>
        <w:rFonts w:ascii="Effra Corp" w:hAnsi="Effra Corp"/>
      </w:rPr>
      <w:t>16</w:t>
    </w:r>
    <w:r>
      <w:rPr>
        <w:rStyle w:val="Pagenumber"/>
        <w:sz w:val="16"/>
        <w:rFonts w:ascii="Effra Corp" w:hAnsi="Effra Corp"/>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low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lowerLetter"/>
      <w:lvlText w:val="(%1)"/>
      <w:lvlJc w:val="left"/>
      <w:pPr>
        <w:tabs>
          <w:tab w:val="num" w:pos="0"/>
        </w:tabs>
        <w:ind w:left="720" w:hanging="360"/>
      </w:pPr>
      <w:rPr>
        <w:i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3"/>
      <w:numFmt w:val="decimal"/>
      <w:lvlText w:val="%1."/>
      <w:lvlJc w:val="left"/>
      <w:pPr>
        <w:tabs>
          <w:tab w:val="num" w:pos="0"/>
        </w:tabs>
        <w:ind w:left="720" w:hanging="360"/>
      </w:pPr>
      <w:rPr>
        <w:b/>
        <w:lang w:val="en-G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low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ar-SA"/>
  <w:docVars>
    <w:docVar w:name="BIP_INFOS_DOC_TBL00001" w:val="BIP_FirstPage"/>
    <w:docVar w:name="BIP_INFOS_DOC_TBL00002" w:val="BIP_ESTABLISHED"/>
    <w:docVar w:name="BIP_INFOS_DOC_TBL00003" w:val="BIP_CF"/>
    <w:docVar w:name="BIP_INFOS_DOC_TBL00004" w:val="BIP_EBIT"/>
    <w:docVar w:name="BIP_INFOS_DOC_TBL00005" w:val="BIP_DEVELOPING"/>
    <w:docVar w:name="BIP_INFOS_DOC_TBL00006" w:val="BIP_EMERGING"/>
    <w:docVar w:name="BIP_INFOS_DOC_TBL00007" w:val="BIP_VOLUMECOUNTRY"/>
    <w:docVar w:name="BIP_INFOS_DOC_TBL00008" w:val="BIP_BALANCESHEET"/>
    <w:docVar w:name="BIP_INFOS_DOC_TBL00009" w:val="BIP_OrganicVolume"/>
    <w:docVar w:name="BIP_INFOS_DOC_TBL00011" w:val="BIP_IS"/>
    <w:docVar w:name="BIP_INFOS_DOC_TBL00013" w:val="BIP_BS"/>
    <w:docVar w:name="BIP_INFOS_DOC_TBL00014" w:val="BIP_Equity"/>
    <w:docVar w:name="BIP_INFOS_DOC_TBL00015" w:val="BIP_Equity_PY"/>
    <w:docVar w:name="BIP_INFOS_DOC_TBL00016" w:val="BIP_FCF"/>
    <w:docVar w:name="BIP_INFOS_DOC_TBL00017" w:val="BIP_CASH"/>
    <w:docVar w:name="BIP_INFOS_DOC_TBL00018" w:val="BIP_Cash_Flow_statement"/>
    <w:docVar w:name="BIP_INFOS_DOC_TBL00019" w:val="BIP_FCT"/>
    <w:docVar w:name="BIP_INFOS_DOC_TBL00020" w:val="BIP_Volume"/>
    <w:docVar w:name="BIP_INFOS_DOC_TBL00021" w:val="BIP_NSR"/>
    <w:docVar w:name="BIP_INFOS_DOC_TBL00022" w:val="BIP_COMPARABLE"/>
    <w:docVar w:name="BIP_INFOS_DOC_TBL00023" w:val="BIP_NARTD_Backhalf"/>
    <w:docVar w:name="BIP_INFOS_DOC_TBL00024" w:val="BIP_Other_income_statement_items"/>
    <w:docVar w:name="BIP_INFOS_DOC_TBL00026" w:val="BIP_OrganicNSRperUC"/>
    <w:docVar w:name="BIP_INFOS_DOC_TBL00027" w:val="BIP_OCI"/>
    <w:docVar w:name="BIP_INFOS_DOC_TBL00029" w:val="BIP_OrganicCompEBIT"/>
    <w:docVar w:name="BIP_INFOS_DOC_TBL00034" w:val="BIP_OrganicCompEBITMargin"/>
    <w:docVar w:name="BIP_INFOS_DOC_TBL00038" w:val="BIP_RESTRUCTURING"/>
    <w:docVar w:name="BIP_INFOS_DOC_TBL00039" w:val="BIP_Finance_cost"/>
    <w:docVar w:name="BIP_INFOS_DOC_TBL00040" w:val="BIP_tax"/>
    <w:docVar w:name="BIP_INFOS_DOC_TBL00041" w:val="BIP_Assets"/>
    <w:docVar w:name="BIP_INFOS_DOC_TBL00042" w:val="BIP_Netdebt"/>
    <w:docVar w:name="BIP_INFOS_DOC_TBL00044" w:val="BIP_INCOME_STATEMENT"/>
    <w:docVar w:name="BIP_INFOS_DOC_TBL00048" w:val="BIP_Lease_closing"/>
    <w:docVar w:name="BIP_INFOS_DOC_TBL00050" w:val="BIP_OrganicNSR"/>
    <w:docVar w:name="BIP_INFOS_DOC_TBL00052" w:val="BIP_IS_HY"/>
    <w:docVar w:name="BIP_INFOS_DOC_TBL00053" w:val="BIP_OCI_HY"/>
    <w:docVar w:name="BIP_META_DOC_TBL00001" w:val="&lt;OBJECT&gt;&lt;META&gt;&lt;ID&gt;&lt;/ID&gt;&lt;NAME&gt;DOC_TBL00001&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4:14:25&lt;/DYNAMIZEDON&gt;&lt;LASTUPDATEDBY&gt;E0096765&lt;/LASTUPDATEDBY&gt;&lt;LASTUPDATEDON&gt;11/24/2025 2:21:27 PM&lt;/LASTUPDATEDON&gt;&lt;UTC&gt;1&lt;/UTC&gt;&lt;/UPDATE&gt;&lt;QUERIES bbk=&quot;2940&quot; bbkdesc=&quot;Q4 2025 Press Release/Q4 2025 Press Release_excel file/Q4 2023 Press Release_excel file&quot; datapro=&quot;BIP_FirstPage&quot; tdatapro=&quot;BIP_FirstPage&quot; author=&quot;&quot; modtime=&quot;11/24/2025 2:20:53 PM&quot; moduser=&quot;E0096765&quot; rolluptime=&quot;&quot; syuser=&quot;E0096765&quot; syuzeit=&quot;11/24/2025 2:20:53 PM&quot; root=&quot;/BBOOK/DATAPROVIDER[./META/PROPS/ID='BIP_FirstPage']/DATA&quot; colcount=&quot;5&quot; rowcount=&quot;1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irstPage&quot; infos=&quot;&quot; iscomment=&quot;0&quot;&gt;&lt;SELECT&gt;/BBOOK/DATAPROVIDER[./META/PROPS/ID='BIP_FirstPage']/DATA/ROW&lt;/SELECT&gt;&lt;FILTERS&gt;&lt;FILTER&gt;&lt;/FILTER&gt;&lt;/FILTERS&gt;&lt;/QUERY&gt;&lt;/QUERIES&gt;&lt;/OBJECT&gt;"/>
    <w:docVar w:name="BIP_META_DOC_TBL00002" w:val="&lt;OBJECT&gt;&lt;META&gt;&lt;ID&gt;&lt;/ID&gt;&lt;NAME&gt;DOC_TBL00002&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35:42&lt;/DYNAMIZEDON&gt;&lt;LASTUPDATEDBY&gt;E0096765&lt;/LASTUPDATEDBY&gt;&lt;LASTUPDATEDON&gt;24/11/2025 14:35:42&lt;/LASTUPDATEDON&gt;&lt;UTC&gt;1&lt;/UTC&gt;&lt;/UPDATE&gt;&lt;QUERIES bbk=&quot;2940&quot; bbkdesc=&quot;Q4 2025 Press Release/Q4 2025 Press Release_excel file/Q4 2023 Press Release_excel file&quot; datapro=&quot;BIP_ESTABLISHED&quot; tdatapro=&quot;BIP_ESTABLISHED&quot; author=&quot;&quot; modtime=&quot;11/24/2025 2:20:53 PM&quot; moduser=&quot;E0096765&quot; rolluptime=&quot;&quot; syuser=&quot;&quot; syuzeit=&quot;&quot; root=&quot;/BBOOK/DATAPROVIDER[./META/PROPS/ID='BIP_ESTABLISHED']/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STABLISHED&quot; infos=&quot;&quot; iscomment=&quot;0&quot;&gt;&lt;SELECT&gt;/BBOOK/DATAPROVIDER[./META/PROPS/ID='BIP_ESTABLISHED']/DATA/ROW&lt;/SELECT&gt;&lt;FILTERS&gt;&lt;FILTER&gt;&lt;/FILTER&gt;&lt;/FILTERS&gt;&lt;/QUERY&gt;&lt;/QUERIES&gt;&lt;/OBJECT&gt;"/>
    <w:docVar w:name="BIP_META_DOC_TBL00003" w:val="&lt;OBJECT&gt;&lt;META&gt;&lt;ID&gt;&lt;/ID&gt;&lt;NAME&gt;DOC_TBL00003&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13:04&lt;/DYNAMIZEDON&gt;&lt;LASTUPDATEDBY&gt;E0096765&lt;/LASTUPDATEDBY&gt;&lt;LASTUPDATEDON&gt;24/11/2025 15:13:04&lt;/LASTUPDATEDON&gt;&lt;UTC&gt;1&lt;/UTC&gt;&lt;/UPDATE&gt;&lt;QUERIES bbk=&quot;2940&quot; bbkdesc=&quot;Q4 2025 Press Release/Q4 2025 Press Release_excel file/Q4 2023 Press Release_excel file&quot; datapro=&quot;BIP_CF&quot; tdatapro=&quot;BIP_CF&quot; author=&quot;&quot; modtime=&quot;11/24/2025 3:00:06 PM&quot; moduser=&quot;E0096765&quot; rolluptime=&quot;&quot; syuser=&quot;&quot; syuzeit=&quot;&quot; root=&quot;/BBOOK/DATAPROVIDER[./META/PROPS/ID='BIP_CF']/DATA&quot; colcount=&quot;4&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F&quot; infos=&quot;&quot; iscomment=&quot;0&quot;&gt;&lt;SELECT&gt;/BBOOK/DATAPROVIDER[./META/PROPS/ID='BIP_CF']/DATA/ROW&lt;/SELECT&gt;&lt;FILTERS&gt;&lt;FILTER&gt;&lt;/FILTER&gt;&lt;/FILTERS&gt;&lt;/QUERY&gt;&lt;/QUERIES&gt;&lt;/OBJECT&gt;"/>
    <w:docVar w:name="BIP_META_DOC_TBL00004" w:val="&lt;OBJECT&gt;&lt;META&gt;&lt;ID&gt;&lt;/ID&gt;&lt;NAME&gt;DOC_TBL0000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21:32&lt;/DYNAMIZEDON&gt;&lt;LASTUPDATEDBY&gt;E0096765&lt;/LASTUPDATEDBY&gt;&lt;LASTUPDATEDON&gt;24/11/2025 15:21:32&lt;/LASTUPDATEDON&gt;&lt;UTC&gt;1&lt;/UTC&gt;&lt;/UPDATE&gt;&lt;QUERIES bbk=&quot;2940&quot; bbkdesc=&quot;Q4 2025 Press Release/Q4 2025 Press Release_excel file/Q4 2023 Press Release_excel file&quot; datapro=&quot;BIP_EBIT&quot; tdatapro=&quot;BIP_EBIT&quot; author=&quot;&quot; modtime=&quot;11/24/2025 3:00:06 PM&quot; moduser=&quot;E0096765&quot; rolluptime=&quot;&quot; syuser=&quot;&quot; syuzeit=&quot;&quot; root=&quot;/BBOOK/DATAPROVIDER[./META/PROPS/ID='BIP_EBIT']/DATA&quot; colcount=&quot;5&quot; rowcount=&quot;1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BIT&quot; infos=&quot;&quot; iscomment=&quot;0&quot;&gt;&lt;SELECT&gt;/BBOOK/DATAPROVIDER[./META/PROPS/ID='BIP_EBIT']/DATA/ROW&lt;/SELECT&gt;&lt;FILTERS&gt;&lt;FILTER&gt;&lt;/FILTER&gt;&lt;/FILTERS&gt;&lt;/QUERY&gt;&lt;/QUERIES&gt;&lt;/OBJECT&gt;"/>
    <w:docVar w:name="BIP_META_DOC_TBL00005" w:val="&lt;OBJECT&gt;&lt;META&gt;&lt;ID&gt;&lt;/ID&gt;&lt;NAME&gt;DOC_TBL00005&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37:59&lt;/DYNAMIZEDON&gt;&lt;LASTUPDATEDBY&gt;E0096765&lt;/LASTUPDATEDBY&gt;&lt;LASTUPDATEDON&gt;24/11/2025 14:37:59&lt;/LASTUPDATEDON&gt;&lt;UTC&gt;1&lt;/UTC&gt;&lt;/UPDATE&gt;&lt;QUERIES bbk=&quot;2940&quot; bbkdesc=&quot;Q4 2025 Press Release/Q4 2025 Press Release_excel file/Q4 2023 Press Release_excel file&quot; datapro=&quot;BIP_DEVELOPING&quot; tdatapro=&quot;BIP_DEVELOPING&quot; author=&quot;&quot; modtime=&quot;11/24/2025 2:20:53 PM&quot; moduser=&quot;E0096765&quot; rolluptime=&quot;&quot; syuser=&quot;&quot; syuzeit=&quot;&quot; root=&quot;/BBOOK/DATAPROVIDER[./META/PROPS/ID='BIP_DEVELOPING']/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DEVELOPING&quot; infos=&quot;&quot; iscomment=&quot;0&quot;&gt;&lt;SELECT&gt;/BBOOK/DATAPROVIDER[./META/PROPS/ID='BIP_DEVELOPING']/DATA/ROW&lt;/SELECT&gt;&lt;FILTERS&gt;&lt;FILTER&gt;&lt;/FILTER&gt;&lt;/FILTERS&gt;&lt;/QUERY&gt;&lt;/QUERIES&gt;&lt;/OBJECT&gt;"/>
    <w:docVar w:name="BIP_META_DOC_TBL00006" w:val="&lt;OBJECT&gt;&lt;META&gt;&lt;ID&gt;&lt;/ID&gt;&lt;NAME&gt;DOC_TBL0000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40:53&lt;/DYNAMIZEDON&gt;&lt;LASTUPDATEDBY&gt;E0096765&lt;/LASTUPDATEDBY&gt;&lt;LASTUPDATEDON&gt;24/11/2025 14:40:53&lt;/LASTUPDATEDON&gt;&lt;UTC&gt;1&lt;/UTC&gt;&lt;/UPDATE&gt;&lt;QUERIES bbk=&quot;2940&quot; bbkdesc=&quot;Q4 2025 Press Release/Q4 2025 Press Release_excel file/Q4 2023 Press Release_excel file&quot; datapro=&quot;BIP_EMERGING&quot; tdatapro=&quot;BIP_EMERGING&quot; author=&quot;&quot; modtime=&quot;11/24/2025 2:20:53 PM&quot; moduser=&quot;E0096765&quot; rolluptime=&quot;&quot; syuser=&quot;&quot; syuzeit=&quot;&quot; root=&quot;/BBOOK/DATAPROVIDER[./META/PROPS/ID='BIP_EMERGING']/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MERGING&quot; infos=&quot;&quot; iscomment=&quot;0&quot;&gt;&lt;SELECT&gt;/BBOOK/DATAPROVIDER[./META/PROPS/ID='BIP_EMERGING']/DATA/ROW&lt;/SELECT&gt;&lt;FILTERS&gt;&lt;FILTER&gt;&lt;/FILTER&gt;&lt;/FILTERS&gt;&lt;/QUERY&gt;&lt;/QUERIES&gt;&lt;/OBJECT&gt;"/>
    <w:docVar w:name="BIP_META_DOC_TBL00007" w:val="&lt;OBJECT&gt;&lt;META&gt;&lt;ID&gt;&lt;/ID&gt;&lt;NAME&gt;DOC_TBL00007&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08" w:val="&lt;OBJECT&gt;&lt;META&gt;&lt;ID&gt;&lt;/ID&gt;&lt;NAME&gt;DOC_TBL0000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07:12&lt;/DYNAMIZEDON&gt;&lt;LASTUPDATEDBY&gt;E0096765&lt;/LASTUPDATEDBY&gt;&lt;LASTUPDATEDON&gt;24/11/2025 15:07:12&lt;/LASTUPDATEDON&gt;&lt;UTC&gt;1&lt;/UTC&gt;&lt;/UPDATE&gt;&lt;QUERIES bbk=&quot;2940&quot; bbkdesc=&quot;Q4 2025 Press Release/Q4 2025 Press Release_excel file/Q4 2023 Press Release_excel file&quot; datapro=&quot;BIP_BALANCESHEET&quot; tdatapro=&quot;BIP_BALANCESHEET&quot; author=&quot;&quot; modtime=&quot;11/24/2025 3:00:06 PM&quot; moduser=&quot;E0096765&quot; rolluptime=&quot;&quot; syuser=&quot;&quot; syuzeit=&quot;&quot; root=&quot;/BBOOK/DATAPROVIDER[./META/PROPS/ID='BIP_BALANCESHEET']/DATA&quot; colcount=&quot;4&quot; rowcount=&quot;1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BALANCESHEET&quot; infos=&quot;&quot; iscomment=&quot;0&quot;&gt;&lt;SELECT&gt;/BBOOK/DATAPROVIDER[./META/PROPS/ID='BIP_BALANCESHEET']/DATA/ROW&lt;/SELECT&gt;&lt;FILTERS&gt;&lt;FILTER&gt;&lt;/FILTER&gt;&lt;/FILTERS&gt;&lt;/QUERY&gt;&lt;/QUERIES&gt;&lt;/OBJECT&gt;"/>
    <w:docVar w:name="BIP_META_DOC_TBL00009" w:val="&lt;OBJECT&gt;&lt;META&gt;&lt;ID&gt;&lt;/ID&gt;&lt;NAME&gt;DOC_TBL0000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26:45&lt;/DYNAMIZEDON&gt;&lt;LASTUPDATEDBY&gt;E0096765&lt;/LASTUPDATEDBY&gt;&lt;LASTUPDATEDON&gt;24/11/2025 15:26:45&lt;/LASTUPDATEDON&gt;&lt;UTC&gt;1&lt;/UTC&gt;&lt;/UPDATE&gt;&lt;QUERIES bbk=&quot;2940&quot; bbkdesc=&quot;Q4 2025 Press Release/Q4 2025 Press Release_excel file/Q4 2023 Press Release_excel file&quot; datapro=&quot;BIP_OrganicVolume&quot; tdatapro=&quot;BIP_OrganicVolume&quot; author=&quot;&quot; modtime=&quot;11/24/2025 3:00:06 PM&quot; moduser=&quot;E0096765&quot; rolluptime=&quot;&quot; syuser=&quot;&quot; syuzeit=&quot;&quot; root=&quot;/BBOOK/DATAPROVIDER[./META/PROPS/ID='BIP_OrganicVolume']/DATA&quot; colcount=&quot;5&quot; rowcount=&quot;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Volume&quot; infos=&quot;&quot; iscomment=&quot;0&quot;&gt;&lt;SELECT&gt;/BBOOK/DATAPROVIDER[./META/PROPS/ID='BIP_OrganicVolume']/DATA/ROW&lt;/SELECT&gt;&lt;FILTERS&gt;&lt;FILTER&gt;&lt;/FILTER&gt;&lt;/FILTERS&gt;&lt;/QUERY&gt;&lt;/QUERIES&gt;&lt;/OBJECT&gt;"/>
    <w:docVar w:name="BIP_META_DOC_TBL00010" w:val="&lt;OBJECT&gt;&lt;META&gt;&lt;ID&gt;&lt;/ID&gt;&lt;NAME&gt;DOC_TBL00010&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11" w:val="&lt;OBJECT&gt;&lt;META&gt;&lt;ID&gt;&lt;/ID&gt;&lt;NAME&gt;DOC_TBL0001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36:06&lt;/DYNAMIZEDON&gt;&lt;LASTUPDATEDBY&gt;E0096765&lt;/LASTUPDATEDBY&gt;&lt;LASTUPDATEDON&gt;25/11/2025 08:36:06&lt;/LASTUPDATEDON&gt;&lt;UTC&gt;1&lt;/UTC&gt;&lt;/UPDATE&gt;&lt;QUERIES bbk=&quot;2940&quot; bbkdesc=&quot;Q4 2025 Press Release/Q4 2025 Press Release_excel file/Q4 2023 Press Release_excel file&quot; datapro=&quot;BIP_IS&quot; tdatapro=&quot;BIP_IS&quot; author=&quot;&quot; modtime=&quot;11/25/2025 8:30:37 AM&quot; moduser=&quot;E0096765&quot; rolluptime=&quot;&quot; syuser=&quot;&quot; syuzeit=&quot;&quot; root=&quot;/BBOOK/DATAPROVIDER[./META/PROPS/ID='BIP_IS']/DATA&quot; colcount=&quot;5&quot; rowcount=&quot;2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S&quot; infos=&quot;&quot; iscomment=&quot;0&quot;&gt;&lt;SELECT&gt;/BBOOK/DATAPROVIDER[./META/PROPS/ID='BIP_IS']/DATA/ROW&lt;/SELECT&gt;&lt;FILTERS&gt;&lt;FILTER&gt;&lt;/FILTER&gt;&lt;/FILTERS&gt;&lt;/QUERY&gt;&lt;/QUERIES&gt;&lt;/OBJECT&gt;"/>
    <w:docVar w:name="BIP_META_DOC_TBL00012" w:val="&lt;OBJECT&gt;&lt;META&gt;&lt;ID&gt;&lt;/ID&gt;&lt;NAME&gt;DOC_TBL00012&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13" w:val="&lt;OBJECT&gt;&lt;META&gt;&lt;ID&gt;&lt;/ID&gt;&lt;NAME&gt;DOC_TBL00013&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45:34&lt;/DYNAMIZEDON&gt;&lt;LASTUPDATEDBY&gt;E0096765&lt;/LASTUPDATEDBY&gt;&lt;LASTUPDATEDON&gt;25/11/2025 08:45:34&lt;/LASTUPDATEDON&gt;&lt;UTC&gt;1&lt;/UTC&gt;&lt;/UPDATE&gt;&lt;QUERIES bbk=&quot;2940&quot; bbkdesc=&quot;Q4 2025 Press Release/Q4 2025 Press Release_excel file/Q4 2023 Press Release_excel file&quot; datapro=&quot;BIP_BS&quot; tdatapro=&quot;BIP_BS&quot; author=&quot;&quot; modtime=&quot;11/25/2025 8:41:54 AM&quot; moduser=&quot;E0096765&quot; rolluptime=&quot;&quot; syuser=&quot;&quot; syuzeit=&quot;&quot; root=&quot;/BBOOK/DATAPROVIDER[./META/PROPS/ID='BIP_BS']/DATA&quot; colcount=&quot;4&quot; rowcount=&quot;3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BS&quot; infos=&quot;&quot; iscomment=&quot;0&quot;&gt;&lt;SELECT&gt;/BBOOK/DATAPROVIDER[./META/PROPS/ID='BIP_BS']/DATA/ROW&lt;/SELECT&gt;&lt;FILTERS&gt;&lt;FILTER&gt;&lt;/FILTER&gt;&lt;/FILTERS&gt;&lt;/QUERY&gt;&lt;/QUERIES&gt;&lt;/OBJECT&gt;"/>
    <w:docVar w:name="BIP_META_DOC_TBL00014" w:val="&lt;OBJECT&gt;&lt;META&gt;&lt;ID&gt;&lt;/ID&gt;&lt;NAME&gt;DOC_TBL0001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17:35&lt;/DYNAMIZEDON&gt;&lt;LASTUPDATEDBY&gt;E0096765&lt;/LASTUPDATEDBY&gt;&lt;LASTUPDATEDON&gt;25/11/2025 09:17:35&lt;/LASTUPDATEDON&gt;&lt;UTC&gt;1&lt;/UTC&gt;&lt;/UPDATE&gt;&lt;QUERIES bbk=&quot;2940&quot; bbkdesc=&quot;Q4 2025 Press Release/Q4 2025 Press Release_excel file/Q4 2023 Press Release_excel file&quot; datapro=&quot;BIP_Equity&quot; tdatapro=&quot;BIP_Equity&quot; author=&quot;&quot; modtime=&quot;11/25/2025 9:10:07 AM&quot; moduser=&quot;E0096765&quot; rolluptime=&quot;&quot; syuser=&quot;&quot; syuzeit=&quot;&quot; root=&quot;/BBOOK/DATAPROVIDER[./META/PROPS/ID='BIP_Equity']/DATA&quot; colcount=&quot;11&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quity&quot; infos=&quot;&quot; iscomment=&quot;0&quot;&gt;&lt;SELECT&gt;/BBOOK/DATAPROVIDER[./META/PROPS/ID='BIP_Equity']/DATA/ROW&lt;/SELECT&gt;&lt;FILTERS&gt;&lt;FILTER&gt;&lt;/FILTER&gt;&lt;/FILTERS&gt;&lt;/QUERY&gt;&lt;/QUERIES&gt;&lt;/OBJECT&gt;"/>
    <w:docVar w:name="BIP_META_DOC_TBL00015" w:val="&lt;OBJECT&gt;&lt;META&gt;&lt;ID&gt;&lt;/ID&gt;&lt;NAME&gt;DOC_TBL00015&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49:25&lt;/DYNAMIZEDON&gt;&lt;LASTUPDATEDBY&gt;E0096765&lt;/LASTUPDATEDBY&gt;&lt;LASTUPDATEDON&gt;11/25/2025 9:11:21 AM&lt;/LASTUPDATEDON&gt;&lt;UTC&gt;1&lt;/UTC&gt;&lt;/UPDATE&gt;&lt;QUERIES bbk=&quot;2940&quot; bbkdesc=&quot;Q4 2025 Press Release/Q4 2025 Press Release_excel file/Q4 2023 Press Release_excel file&quot; datapro=&quot;BIP_Equity_PY&quot; tdatapro=&quot;BIP_Equity_PY&quot; author=&quot;&quot; modtime=&quot;11/25/2025 9:10:07 AM&quot; moduser=&quot;E0096765&quot; rolluptime=&quot;&quot; syuser=&quot;E0096765&quot; syuzeit=&quot;11/25/2025 9:10:07 AM&quot; root=&quot;/BBOOK/DATAPROVIDER[./META/PROPS/ID='BIP_Equity_PY']/DATA&quot; colcount=&quot;11&quot; rowcount=&quot;2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quity_PY&quot; infos=&quot;&quot; iscomment=&quot;0&quot;&gt;&lt;SELECT&gt;/BBOOK/DATAPROVIDER[./META/PROPS/ID='BIP_Equity_PY']/DATA/ROW&lt;/SELECT&gt;&lt;FILTERS&gt;&lt;FILTER&gt;&lt;/FILTER&gt;&lt;/FILTERS&gt;&lt;/QUERY&gt;&lt;/QUERIES&gt;&lt;/OBJECT&gt;"/>
    <w:docVar w:name="BIP_META_DOC_TBL00016" w:val="&lt;OBJECT&gt;&lt;META&gt;&lt;ID&gt;&lt;/ID&gt;&lt;NAME&gt;DOC_TBL0001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7:14&lt;/DYNAMIZEDON&gt;&lt;LASTUPDATEDBY&gt;E0096765&lt;/LASTUPDATEDBY&gt;&lt;LASTUPDATEDON&gt;11/24/2025 3:51:39 PM&lt;/LASTUPDATEDON&gt;&lt;UTC&gt;1&lt;/UTC&gt;&lt;/UPDATE&gt;&lt;QUERIES bbk=&quot;2940&quot; bbkdesc=&quot;Q4 2025 Press Release/Q4 2025 Press Release_excel file/Q4 2023 Press Release_excel file&quot; datapro=&quot;BIP_FCF&quot; tdatapro=&quot;BIP_FCF&quot; author=&quot;&quot; modtime=&quot;11/24/2025 3:50:47 PM&quot; moduser=&quot;E0096765&quot; rolluptime=&quot;&quot; syuser=&quot;E0096765&quot; syuzeit=&quot;11/24/2025 3:50:47 PM&quot; root=&quot;/BBOOK/DATAPROVIDER[./META/PROPS/ID='BIP_FCF']/DATA&quot; colcount=&quot;3&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CF&quot; infos=&quot;&quot; iscomment=&quot;0&quot;&gt;&lt;SELECT&gt;/BBOOK/DATAPROVIDER[./META/PROPS/ID='BIP_FCF']/DATA/ROW&lt;/SELECT&gt;&lt;FILTERS&gt;&lt;FILTER&gt;&lt;/FILTER&gt;&lt;/FILTERS&gt;&lt;/QUERY&gt;&lt;/QUERIES&gt;&lt;/OBJECT&gt;"/>
    <w:docVar w:name="BIP_META_DOC_TBL00017" w:val="&lt;OBJECT&gt;&lt;META&gt;&lt;ID&gt;&lt;/ID&gt;&lt;NAME&gt;DOC_TBL00017&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55:59&lt;/DYNAMIZEDON&gt;&lt;LASTUPDATEDBY&gt;E0096765&lt;/LASTUPDATEDBY&gt;&lt;LASTUPDATEDON&gt;24/11/2025 15:55:59&lt;/LASTUPDATEDON&gt;&lt;UTC&gt;1&lt;/UTC&gt;&lt;/UPDATE&gt;&lt;QUERIES bbk=&quot;2940&quot; bbkdesc=&quot;Q4 2025 Press Release/Q4 2025 Press Release_excel file/Q4 2023 Press Release_excel file&quot; datapro=&quot;BIP_CASH&quot; tdatapro=&quot;BIP_CASH&quot; author=&quot;&quot; modtime=&quot;11/24/2025 3:00:06 PM&quot; moduser=&quot;E0096765&quot; rolluptime=&quot;&quot; syuser=&quot;&quot; syuzeit=&quot;&quot; root=&quot;/BBOOK/DATAPROVIDER[./META/PROPS/ID='BIP_CASH']/DATA&quot; colcount=&quot;3&quot; rowcount=&quot;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ASH&quot; infos=&quot;&quot; iscomment=&quot;0&quot;&gt;&lt;SELECT&gt;/BBOOK/DATAPROVIDER[./META/PROPS/ID='BIP_CASH']/DATA/ROW&lt;/SELECT&gt;&lt;FILTERS&gt;&lt;FILTER&gt;&lt;/FILTER&gt;&lt;/FILTERS&gt;&lt;/QUERY&gt;&lt;/QUERIES&gt;&lt;/OBJECT&gt;"/>
    <w:docVar w:name="BIP_META_DOC_TBL00018" w:val="&lt;OBJECT&gt;&lt;META&gt;&lt;ID&gt;&lt;/ID&gt;&lt;NAME&gt;DOC_TBL0001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20:10&lt;/DYNAMIZEDON&gt;&lt;LASTUPDATEDBY&gt;E0096765&lt;/LASTUPDATEDBY&gt;&lt;LASTUPDATEDON&gt;11/25/2025 9:24:53 AM&lt;/LASTUPDATEDON&gt;&lt;UTC&gt;1&lt;/UTC&gt;&lt;/UPDATE&gt;&lt;QUERIES bbk=&quot;2940&quot; bbkdesc=&quot;Q4 2025 Press Release/Q4 2025 Press Release_excel file/Q4 2023 Press Release_excel file&quot; datapro=&quot;BIP_Cash_Flow_statement&quot; tdatapro=&quot;BIP_Cash_Flow_statement&quot; author=&quot;&quot; modtime=&quot;11/25/2025 9:23:57 AM&quot; moduser=&quot;E0096765&quot; rolluptime=&quot;&quot; syuser=&quot;E0096765&quot; syuzeit=&quot;11/25/2025 9:23:57 AM&quot; root=&quot;/BBOOK/DATAPROVIDER[./META/PROPS/ID='BIP_Cash_Flow_statement']/DATA&quot; colcount=&quot;5&quot; rowcount=&quot;5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ash_Flow_statement&quot; infos=&quot;&quot; iscomment=&quot;0&quot;&gt;&lt;SELECT&gt;/BBOOK/DATAPROVIDER[./META/PROPS/ID='BIP_Cash_Flow_statement']/DATA/ROW&lt;/SELECT&gt;&lt;FILTERS&gt;&lt;FILTER&gt;&lt;/FILTER&gt;&lt;/FILTERS&gt;&lt;/QUERY&gt;&lt;/QUERIES&gt;&lt;/OBJECT&gt;"/>
    <w:docVar w:name="BIP_META_DOC_TBL00019" w:val="&lt;OBJECT&gt;&lt;META&gt;&lt;ID&gt;&lt;/ID&gt;&lt;NAME&gt;DOC_TBL0001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45:03&lt;/DYNAMIZEDON&gt;&lt;LASTUPDATEDBY&gt;E0096765&lt;/LASTUPDATEDBY&gt;&lt;LASTUPDATEDON&gt;11/25/2025 9:49:12 AM&lt;/LASTUPDATEDON&gt;&lt;UTC&gt;1&lt;/UTC&gt;&lt;/UPDATE&gt;&lt;QUERIES bbk=&quot;2940&quot; bbkdesc=&quot;Q4 2025 Press Release/Q4 2025 Press Release_excel file/Q4 2023 Press Release_excel file&quot; datapro=&quot;BIP_FCT&quot; tdatapro=&quot;BIP_FCT&quot; author=&quot;&quot; modtime=&quot;11/25/2025 9:48:11 AM&quot; moduser=&quot;E0096765&quot; rolluptime=&quot;&quot; syuser=&quot;E0096765&quot; syuzeit=&quot;11/25/2025 9:48:11 AM&quot; root=&quot;/BBOOK/DATAPROVIDER[./META/PROPS/ID='BIP_FCT']/DATA&quot; colcount=&quot;5&quot; rowcount=&quot;1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CT&quot; infos=&quot;&quot; iscomment=&quot;0&quot;&gt;&lt;SELECT&gt;/BBOOK/DATAPROVIDER[./META/PROPS/ID='BIP_FCT']/DATA/ROW&lt;/SELECT&gt;&lt;FILTERS&gt;&lt;FILTER&gt;&lt;/FILTER&gt;&lt;/FILTERS&gt;&lt;/QUERY&gt;&lt;/QUERIES&gt;&lt;/OBJECT&gt;"/>
    <w:docVar w:name="BIP_META_DOC_TBL00020" w:val="&lt;OBJECT&gt;&lt;META&gt;&lt;ID&gt;&lt;/ID&gt;&lt;NAME&gt;DOC_TBL00020&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56:48&lt;/DYNAMIZEDON&gt;&lt;LASTUPDATEDBY&gt;E0096765&lt;/LASTUPDATEDBY&gt;&lt;LASTUPDATEDON&gt;11/25/2025 9:58:09 AM&lt;/LASTUPDATEDON&gt;&lt;UTC&gt;1&lt;/UTC&gt;&lt;/UPDATE&gt;&lt;QUERIES bbk=&quot;2940&quot; bbkdesc=&quot;Q4 2025 Press Release/Q4 2025 Press Release_excel file/Q4 2023 Press Release_excel file&quot; datapro=&quot;BIP_Volume&quot; tdatapro=&quot;BIP_Volume&quot; author=&quot;&quot; modtime=&quot;11/25/2025 9:57:29 AM&quot; moduser=&quot;E0096765&quot; rolluptime=&quot;&quot; syuser=&quot;E0096765&quot; syuzeit=&quot;11/25/2025 9:57:29 AM&quot; root=&quot;/BBOOK/DATAPROVIDER[./META/PROPS/ID='BIP_Volume']/DATA&quot; colcount=&quot;5&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Volume&quot; infos=&quot;&quot; iscomment=&quot;0&quot;&gt;&lt;SELECT&gt;/BBOOK/DATAPROVIDER[./META/PROPS/ID='BIP_Volume']/DATA/ROW&lt;/SELECT&gt;&lt;FILTERS&gt;&lt;FILTER&gt;&lt;/FILTER&gt;&lt;/FILTERS&gt;&lt;/QUERY&gt;&lt;/QUERIES&gt;&lt;/OBJECT&gt;"/>
    <w:docVar w:name="BIP_META_DOC_TBL00021" w:val="&lt;OBJECT&gt;&lt;META&gt;&lt;ID&gt;&lt;/ID&gt;&lt;NAME&gt;DOC_TBL0002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59:20&lt;/DYNAMIZEDON&gt;&lt;LASTUPDATEDBY&gt;E0096765&lt;/LASTUPDATEDBY&gt;&lt;LASTUPDATEDON&gt;25/11/2025 09:59:20&lt;/LASTUPDATEDON&gt;&lt;UTC&gt;1&lt;/UTC&gt;&lt;/UPDATE&gt;&lt;QUERIES bbk=&quot;2940&quot; bbkdesc=&quot;Q4 2025 Press Release/Q4 2025 Press Release_excel file/Q4 2023 Press Release_excel file&quot; datapro=&quot;BIP_NSR&quot; tdatapro=&quot;BIP_NSR&quot; author=&quot;&quot; modtime=&quot;11/25/2025 9:10:07 AM&quot; moduser=&quot;E0096765&quot; rolluptime=&quot;&quot; syuser=&quot;&quot; syuzeit=&quot;&quot; root=&quot;/BBOOK/DATAPROVIDER[./META/PROPS/ID='BIP_NSR']/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SR&quot; infos=&quot;&quot; iscomment=&quot;0&quot;&gt;&lt;SELECT&gt;/BBOOK/DATAPROVIDER[./META/PROPS/ID='BIP_NSR']/DATA/ROW&lt;/SELECT&gt;&lt;FILTERS&gt;&lt;FILTER&gt;&lt;/FILTER&gt;&lt;/FILTERS&gt;&lt;/QUERY&gt;&lt;/QUERIES&gt;&lt;/OBJECT&gt;"/>
    <w:docVar w:name="BIP_META_DOC_TBL00022" w:val="&lt;OBJECT&gt;&lt;META&gt;&lt;ID&gt;&lt;/ID&gt;&lt;NAME&gt;DOC_TBL00022&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18:27&lt;/DYNAMIZEDON&gt;&lt;LASTUPDATEDBY&gt;E0096765&lt;/LASTUPDATEDBY&gt;&lt;LASTUPDATEDON&gt;24/11/2025 15:18:27&lt;/LASTUPDATEDON&gt;&lt;UTC&gt;1&lt;/UTC&gt;&lt;/UPDATE&gt;&lt;QUERIES bbk=&quot;2940&quot; bbkdesc=&quot;Q4 2025 Press Release/Q4 2025 Press Release_excel file/Q4 2023 Press Release_excel file&quot; datapro=&quot;BIP_COMPARABLE&quot; tdatapro=&quot;BIP_COMPARABLE&quot; author=&quot;&quot; modtime=&quot;11/24/2025 3:00:06 PM&quot; moduser=&quot;E0096765&quot; rolluptime=&quot;&quot; syuser=&quot;&quot; syuzeit=&quot;&quot; root=&quot;/BBOOK/DATAPROVIDER[./META/PROPS/ID='BIP_COMPARABLE']/DATA&quot; colcount=&quot;9&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OMPARABLE&quot; infos=&quot;&quot; iscomment=&quot;0&quot;&gt;&lt;SELECT&gt;/BBOOK/DATAPROVIDER[./META/PROPS/ID='BIP_COMPARABLE']/DATA/ROW&lt;/SELECT&gt;&lt;FILTERS&gt;&lt;FILTER&gt;&lt;/FILTER&gt;&lt;/FILTERS&gt;&lt;/QUERY&gt;&lt;/QUERIES&gt;&lt;/OBJECT&gt;"/>
    <w:docVar w:name="BIP_META_DOC_TBL00023" w:val="&lt;OBJECT&gt;&lt;META&gt;&lt;ID&gt;&lt;/ID&gt;&lt;NAME&gt;DOC_TBL00023&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0:56&lt;/DYNAMIZEDON&gt;&lt;LASTUPDATEDBY&gt;E0096765&lt;/LASTUPDATEDBY&gt;&lt;LASTUPDATEDON&gt;25/11/2025 10:00:56&lt;/LASTUPDATEDON&gt;&lt;UTC&gt;1&lt;/UTC&gt;&lt;/UPDATE&gt;&lt;QUERIES bbk=&quot;2940&quot; bbkdesc=&quot;Q4 2025 Press Release/Q4 2025 Press Release_excel file/Q4 2023 Press Release_excel file&quot; datapro=&quot;BIP_NARTD_Backhalf&quot; tdatapro=&quot;BIP_NARTD_Backhalf&quot; author=&quot;&quot; modtime=&quot;11/25/2025 9:10:07 AM&quot; moduser=&quot;E0096765&quot; rolluptime=&quot;&quot; syuser=&quot;&quot; syuzeit=&quot;&quot; root=&quot;/BBOOK/DATAPROVIDER[./META/PROPS/ID='BIP_NARTD_Backhalf']/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ARTD_Backhalf&quot; infos=&quot;&quot; iscomment=&quot;0&quot;&gt;&lt;SELECT&gt;/BBOOK/DATAPROVIDER[./META/PROPS/ID='BIP_NARTD_Backhalf']/DATA/ROW&lt;/SELECT&gt;&lt;FILTERS&gt;&lt;FILTER&gt;&lt;/FILTER&gt;&lt;/FILTERS&gt;&lt;/QUERY&gt;&lt;/QUERIES&gt;&lt;/OBJECT&gt;"/>
    <w:docVar w:name="BIP_META_DOC_TBL00024" w:val="&lt;OBJECT&gt;&lt;META&gt;&lt;ID&gt;&lt;/ID&gt;&lt;NAME&gt;DOC_TBL0002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3:53&lt;/DYNAMIZEDON&gt;&lt;LASTUPDATEDBY&gt;E0096765&lt;/LASTUPDATEDBY&gt;&lt;LASTUPDATEDON&gt;25/11/2025 10:03:53&lt;/LASTUPDATEDON&gt;&lt;UTC&gt;1&lt;/UTC&gt;&lt;/UPDATE&gt;&lt;QUERIES bbk=&quot;2940&quot; bbkdesc=&quot;Q4 2025 Press Release/Q4 2025 Press Release_excel file/Q4 2023 Press Release_excel file&quot; datapro=&quot;BIP_Other_income_statement_items&quot; tdatapro=&quot;BIP_Other_income_statement_items&quot; author=&quot;&quot; modtime=&quot;11/25/2025 9:10:07 AM&quot; moduser=&quot;E0096765&quot; rolluptime=&quot;&quot; syuser=&quot;&quot; syuzeit=&quot;&quot; root=&quot;/BBOOK/DATAPROVIDER[./META/PROPS/ID='BIP_Other_income_statement_items']/DATA&quot; colcount=&quot;5&quot; rowcount=&quot;15&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ther_income_statement_items&quot; infos=&quot;&quot; iscomment=&quot;0&quot;&gt;&lt;SELECT&gt;/BBOOK/DATAPROVIDER[./META/PROPS/ID='BIP_Other_income_statement_items']/DATA/ROW&lt;/SELECT&gt;&lt;FILTERS&gt;&lt;FILTER&gt;&lt;/FILTER&gt;&lt;/FILTERS&gt;&lt;/QUERY&gt;&lt;/QUERIES&gt;&lt;/OBJECT&gt;"/>
    <w:docVar w:name="BIP_META_DOC_TBL00025" w:val="&lt;OBJECT&gt;&lt;META&gt;&lt;ID&gt;&lt;/ID&gt;&lt;NAME&gt;DOC_TBL00025&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26" w:val="&lt;OBJECT&gt;&lt;META&gt;&lt;ID&gt;&lt;/ID&gt;&lt;NAME&gt;DOC_TBL0002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38:48&lt;/DYNAMIZEDON&gt;&lt;LASTUPDATEDBY&gt;E0096765&lt;/LASTUPDATEDBY&gt;&lt;LASTUPDATEDON&gt;24/11/2025 15:38:48&lt;/LASTUPDATEDON&gt;&lt;UTC&gt;1&lt;/UTC&gt;&lt;/UPDATE&gt;&lt;QUERIES bbk=&quot;2940&quot; bbkdesc=&quot;Q4 2025 Press Release/Q4 2025 Press Release_excel file/Q4 2023 Press Release_excel file&quot; datapro=&quot;BIP_OrganicNSRperUC&quot; tdatapro=&quot;BIP_OrganicNSRperUC&quot; author=&quot;&quot; modtime=&quot;11/24/2025 3:00:06 PM&quot; moduser=&quot;E0096765&quot; rolluptime=&quot;&quot; syuser=&quot;&quot; syuzeit=&quot;&quot; root=&quot;/BBOOK/DATAPROVIDER[./META/PROPS/ID='BIP_OrganicNSRperUC']/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NSRperUC&quot; infos=&quot;&quot; iscomment=&quot;0&quot;&gt;&lt;SELECT&gt;/BBOOK/DATAPROVIDER[./META/PROPS/ID='BIP_OrganicNSRperUC']/DATA/ROW&lt;/SELECT&gt;&lt;FILTERS&gt;&lt;FILTER&gt;&lt;/FILTER&gt;&lt;/FILTERS&gt;&lt;/QUERY&gt;&lt;/QUERIES&gt;&lt;/OBJECT&gt;"/>
    <w:docVar w:name="BIP_META_DOC_TBL00027" w:val="&lt;OBJECT&gt;&lt;META&gt;&lt;ID&gt;&lt;/ID&gt;&lt;NAME&gt;DOC_TBL00027&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39:23&lt;/DYNAMIZEDON&gt;&lt;LASTUPDATEDBY&gt;E0096765&lt;/LASTUPDATEDBY&gt;&lt;LASTUPDATEDON&gt;11/25/2025 8:43:10 AM&lt;/LASTUPDATEDON&gt;&lt;UTC&gt;1&lt;/UTC&gt;&lt;/UPDATE&gt;&lt;QUERIES bbk=&quot;2940&quot; bbkdesc=&quot;Q4 2025 Press Release/Q4 2025 Press Release_excel file/Q4 2023 Press Release_excel file&quot; datapro=&quot;BIP_OCI&quot; tdatapro=&quot;BIP_OCI&quot; author=&quot;&quot; modtime=&quot;11/25/2025 8:41:54 AM&quot; moduser=&quot;E0096765&quot; rolluptime=&quot;&quot; syuser=&quot;E0096765&quot; syuzeit=&quot;11/25/2025 8:41:54 AM&quot; root=&quot;/BBOOK/DATAPROVIDER[./META/PROPS/ID='BIP_OCI']/DATA&quot; colcount=&quot;3&quot; rowcount=&quot;2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CI&quot; infos=&quot;&quot; iscomment=&quot;0&quot;&gt;&lt;SELECT&gt;/BBOOK/DATAPROVIDER[./META/PROPS/ID='BIP_OCI']/DATA/ROW&lt;/SELECT&gt;&lt;FILTERS&gt;&lt;FILTER&gt;&lt;/FILTER&gt;&lt;/FILTERS&gt;&lt;/QUERY&gt;&lt;/QUERIES&gt;&lt;/OBJECT&gt;"/>
    <w:docVar w:name="BIP_META_DOC_TBL00028" w:val="&lt;OBJECT&gt;&lt;META&gt;&lt;ID&gt;&lt;/ID&gt;&lt;NAME&gt;DOC_TBL00028&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29" w:val="&lt;OBJECT&gt;&lt;META&gt;&lt;ID&gt;&lt;/ID&gt;&lt;NAME&gt;DOC_TBL0002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0:38&lt;/DYNAMIZEDON&gt;&lt;LASTUPDATEDBY&gt;E0096765&lt;/LASTUPDATEDBY&gt;&lt;LASTUPDATEDON&gt;24/11/2025 15:40:38&lt;/LASTUPDATEDON&gt;&lt;UTC&gt;1&lt;/UTC&gt;&lt;/UPDATE&gt;&lt;QUERIES bbk=&quot;2940&quot; bbkdesc=&quot;Q4 2025 Press Release/Q4 2025 Press Release_excel file/Q4 2023 Press Release_excel file&quot; datapro=&quot;BIP_OrganicCompEBIT&quot; tdatapro=&quot;BIP_OrganicCompEBIT&quot; author=&quot;&quot; modtime=&quot;11/24/2025 3:00:06 PM&quot; moduser=&quot;E0096765&quot; rolluptime=&quot;&quot; syuser=&quot;&quot; syuzeit=&quot;&quot; root=&quot;/BBOOK/DATAPROVIDER[./META/PROPS/ID='BIP_OrganicCompEBIT']/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CompEBIT&quot; infos=&quot;&quot; iscomment=&quot;0&quot;&gt;&lt;SELECT&gt;/BBOOK/DATAPROVIDER[./META/PROPS/ID='BIP_OrganicCompEBIT']/DATA/ROW&lt;/SELECT&gt;&lt;FILTERS&gt;&lt;FILTER&gt;&lt;/FILTER&gt;&lt;/FILTERS&gt;&lt;/QUERY&gt;&lt;/QUERIES&gt;&lt;/OBJECT&gt;"/>
    <w:docVar w:name="BIP_META_DOC_TBL00034" w:val="&lt;OBJECT&gt;&lt;META&gt;&lt;ID&gt;&lt;/ID&gt;&lt;NAME&gt;DOC_TBL0003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3:35&lt;/DYNAMIZEDON&gt;&lt;LASTUPDATEDBY&gt;E0096765&lt;/LASTUPDATEDBY&gt;&lt;LASTUPDATEDON&gt;24/11/2025 15:43:35&lt;/LASTUPDATEDON&gt;&lt;UTC&gt;1&lt;/UTC&gt;&lt;/UPDATE&gt;&lt;QUERIES bbk=&quot;2940&quot; bbkdesc=&quot;Q4 2025 Press Release/Q4 2025 Press Release_excel file/Q4 2023 Press Release_excel file&quot; datapro=&quot;BIP_OrganicCompEBITMargin&quot; tdatapro=&quot;BIP_OrganicCompEBITMargin&quot; author=&quot;&quot; modtime=&quot;11/24/2025 3:00:06 PM&quot; moduser=&quot;E0096765&quot; rolluptime=&quot;&quot; syuser=&quot;&quot; syuzeit=&quot;&quot; root=&quot;/BBOOK/DATAPROVIDER[./META/PROPS/ID='BIP_OrganicCompEBITMargin']/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CompEBITMargin&quot; infos=&quot;&quot; iscomment=&quot;0&quot;&gt;&lt;SELECT&gt;/BBOOK/DATAPROVIDER[./META/PROPS/ID='BIP_OrganicCompEBITMargin']/DATA/ROW&lt;/SELECT&gt;&lt;FILTERS&gt;&lt;FILTER&gt;&lt;/FILTER&gt;&lt;/FILTERS&gt;&lt;/QUERY&gt;&lt;/QUERIES&gt;&lt;/OBJECT&gt;"/>
    <w:docVar w:name="BIP_META_DOC_TBL00038" w:val="&lt;OBJECT&gt;&lt;META&gt;&lt;ID&gt;&lt;/ID&gt;&lt;NAME&gt;DOC_TBL0003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5:58&lt;/DYNAMIZEDON&gt;&lt;LASTUPDATEDBY&gt;E0096765&lt;/LASTUPDATEDBY&gt;&lt;LASTUPDATEDON&gt;25/11/2025 10:05:58&lt;/LASTUPDATEDON&gt;&lt;UTC&gt;1&lt;/UTC&gt;&lt;/UPDATE&gt;&lt;QUERIES bbk=&quot;2940&quot; bbkdesc=&quot;Q4 2025 Press Release/Q4 2025 Press Release_excel file/Q4 2023 Press Release_excel file&quot; datapro=&quot;BIP_RESTRUCTURING&quot; tdatapro=&quot;BIP_RESTRUCTURING&quot; author=&quot;&quot; modtime=&quot;11/25/2025 9:10:07 AM&quot; moduser=&quot;E0096765&quot; rolluptime=&quot;&quot; syuser=&quot;&quot; syuzeit=&quot;&quot; root=&quot;/BBOOK/DATAPROVIDER[./META/PROPS/ID='BIP_RESTRUCTURING']/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RESTRUCTURING&quot; infos=&quot;&quot; iscomment=&quot;0&quot;&gt;&lt;SELECT&gt;/BBOOK/DATAPROVIDER[./META/PROPS/ID='BIP_RESTRUCTURING']/DATA/ROW&lt;/SELECT&gt;&lt;FILTERS&gt;&lt;FILTER&gt;&lt;/FILTER&gt;&lt;/FILTERS&gt;&lt;/QUERY&gt;&lt;/QUERIES&gt;&lt;/OBJECT&gt;"/>
    <w:docVar w:name="BIP_META_DOC_TBL00039" w:val="&lt;OBJECT&gt;&lt;META&gt;&lt;ID&gt;&lt;/ID&gt;&lt;NAME&gt;DOC_TBL0003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7:25&lt;/DYNAMIZEDON&gt;&lt;LASTUPDATEDBY&gt;E0096765&lt;/LASTUPDATEDBY&gt;&lt;LASTUPDATEDON&gt;25/11/2025 10:07:25&lt;/LASTUPDATEDON&gt;&lt;UTC&gt;1&lt;/UTC&gt;&lt;/UPDATE&gt;&lt;QUERIES bbk=&quot;2940&quot; bbkdesc=&quot;Q4 2025 Press Release/Q4 2025 Press Release_excel file/Q4 2023 Press Release_excel file&quot; datapro=&quot;BIP_Finance_cost&quot; tdatapro=&quot;BIP_Finance_cost&quot; author=&quot;&quot; modtime=&quot;11/25/2025 9:10:07 AM&quot; moduser=&quot;E0096765&quot; rolluptime=&quot;&quot; syuser=&quot;&quot; syuzeit=&quot;&quot; root=&quot;/BBOOK/DATAPROVIDER[./META/PROPS/ID='BIP_Finance_cost']/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inance_cost&quot; infos=&quot;&quot; iscomment=&quot;0&quot;&gt;&lt;SELECT&gt;/BBOOK/DATAPROVIDER[./META/PROPS/ID='BIP_Finance_cost']/DATA/ROW&lt;/SELECT&gt;&lt;FILTERS&gt;&lt;FILTER&gt;&lt;/FILTER&gt;&lt;/FILTERS&gt;&lt;/QUERY&gt;&lt;/QUERIES&gt;&lt;/OBJECT&gt;"/>
    <w:docVar w:name="BIP_META_DOC_TBL00040" w:val="&lt;OBJECT&gt;&lt;META&gt;&lt;ID&gt;&lt;/ID&gt;&lt;NAME&gt;DOC_TBL00040&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8:37&lt;/DYNAMIZEDON&gt;&lt;LASTUPDATEDBY&gt;E0096765&lt;/LASTUPDATEDBY&gt;&lt;LASTUPDATEDON&gt;25/11/2025 10:08:37&lt;/LASTUPDATEDON&gt;&lt;UTC&gt;1&lt;/UTC&gt;&lt;/UPDATE&gt;&lt;QUERIES bbk=&quot;2940&quot; bbkdesc=&quot;Q4 2025 Press Release/Q4 2025 Press Release_excel file/Q4 2023 Press Release_excel file&quot; datapro=&quot;BIP_tax&quot; tdatapro=&quot;BIP_tax&quot; author=&quot;&quot; modtime=&quot;11/25/2025 9:10:07 AM&quot; moduser=&quot;E0096765&quot; rolluptime=&quot;&quot; syuser=&quot;&quot; syuzeit=&quot;&quot; root=&quot;/BBOOK/DATAPROVIDER[./META/PROPS/ID='BIP_tax']/DATA&quot; colcount=&quot;5&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tax&quot; infos=&quot;&quot; iscomment=&quot;0&quot;&gt;&lt;SELECT&gt;/BBOOK/DATAPROVIDER[./META/PROPS/ID='BIP_tax']/DATA/ROW&lt;/SELECT&gt;&lt;FILTERS&gt;&lt;FILTER&gt;&lt;/FILTER&gt;&lt;/FILTERS&gt;&lt;/QUERY&gt;&lt;/QUERIES&gt;&lt;/OBJECT&gt;"/>
    <w:docVar w:name="BIP_META_DOC_TBL00041" w:val="&lt;OBJECT&gt;&lt;META&gt;&lt;ID&gt;&lt;/ID&gt;&lt;NAME&gt;DOC_TBL0004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12:18&lt;/DYNAMIZEDON&gt;&lt;LASTUPDATEDBY&gt;E0096765&lt;/LASTUPDATEDBY&gt;&lt;LASTUPDATEDON&gt;25/11/2025 10:12:18&lt;/LASTUPDATEDON&gt;&lt;UTC&gt;1&lt;/UTC&gt;&lt;/UPDATE&gt;&lt;QUERIES bbk=&quot;2940&quot; bbkdesc=&quot;Q4 2025 Press Release/Q4 2025 Press Release_excel file/Q4 2023 Press Release_excel file&quot; datapro=&quot;BIP_Assets&quot; tdatapro=&quot;BIP_Assets&quot; author=&quot;&quot; modtime=&quot;11/25/2025 9:10:07 AM&quot; moduser=&quot;E0096765&quot; rolluptime=&quot;&quot; syuser=&quot;&quot; syuzeit=&quot;&quot; root=&quot;/BBOOK/DATAPROVIDER[./META/PROPS/ID='BIP_Assets']/DATA&quot; colcount=&quot;3&quot; rowcount=&quot;1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Assets&quot; infos=&quot;&quot; iscomment=&quot;0&quot;&gt;&lt;SELECT&gt;/BBOOK/DATAPROVIDER[./META/PROPS/ID='BIP_Assets']/DATA/ROW&lt;/SELECT&gt;&lt;FILTERS&gt;&lt;FILTER&gt;&lt;/FILTER&gt;&lt;/FILTERS&gt;&lt;/QUERY&gt;&lt;/QUERIES&gt;&lt;/OBJECT&gt;"/>
    <w:docVar w:name="BIP_META_DOC_TBL00042" w:val="&lt;OBJECT&gt;&lt;META&gt;&lt;ID&gt;&lt;/ID&gt;&lt;NAME&gt;DOC_TBL00042&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20:05&lt;/DYNAMIZEDON&gt;&lt;LASTUPDATEDBY&gt;E0096765&lt;/LASTUPDATEDBY&gt;&lt;LASTUPDATEDON&gt;11/25/2025 10:21:34 AM&lt;/LASTUPDATEDON&gt;&lt;UTC&gt;1&lt;/UTC&gt;&lt;/UPDATE&gt;&lt;QUERIES bbk=&quot;2940&quot; bbkdesc=&quot;Q4 2025 Press Release/Q4 2025 Press Release_excel file/Q4 2023 Press Release_excel file&quot; datapro=&quot;BIP_Netdebt&quot; tdatapro=&quot;BIP_Netdebt&quot; author=&quot;&quot; modtime=&quot;11/25/2025 10:20:37 AM&quot; moduser=&quot;E0096765&quot; rolluptime=&quot;&quot; syuser=&quot;E0096765&quot; syuzeit=&quot;11/25/2025 10:20:37 AM&quot; root=&quot;/BBOOK/DATAPROVIDER[./META/PROPS/ID='BIP_Netdebt']/DATA&quot; colcount=&quot;3&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etdebt&quot; infos=&quot;&quot; iscomment=&quot;0&quot;&gt;&lt;SELECT&gt;/BBOOK/DATAPROVIDER[./META/PROPS/ID='BIP_Netdebt']/DATA/ROW&lt;/SELECT&gt;&lt;FILTERS&gt;&lt;FILTER&gt;&lt;/FILTER&gt;&lt;/FILTERS&gt;&lt;/QUERY&gt;&lt;/QUERIES&gt;&lt;/OBJECT&gt;"/>
    <w:docVar w:name="BIP_META_DOC_TBL00044" w:val="&lt;OBJECT&gt;&lt;META&gt;&lt;ID&gt;&lt;/ID&gt;&lt;NAME&gt;DOC_TBL0004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01:37&lt;/DYNAMIZEDON&gt;&lt;LASTUPDATEDBY&gt;E0096765&lt;/LASTUPDATEDBY&gt;&lt;LASTUPDATEDON&gt;24/11/2025 15:01:37&lt;/LASTUPDATEDON&gt;&lt;UTC&gt;1&lt;/UTC&gt;&lt;/UPDATE&gt;&lt;QUERIES bbk=&quot;2940&quot; bbkdesc=&quot;Q4 2025 Press Release/Q4 2025 Press Release_excel file/Q4 2023 Press Release_excel file&quot; datapro=&quot;BIP_INCOME_STATEMENT&quot; tdatapro=&quot;BIP_INCOME_STATEMENT&quot; author=&quot;&quot; modtime=&quot;11/24/2025 3:00:06 PM&quot; moduser=&quot;E0096765&quot; rolluptime=&quot;&quot; syuser=&quot;&quot; syuzeit=&quot;&quot; root=&quot;/BBOOK/DATAPROVIDER[./META/PROPS/ID='BIP_INCOME_STATEMENT']/DATA&quot; colcount=&quot;5&quot; rowcount=&quot;2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NCOME_STATEMENT&quot; infos=&quot;&quot; iscomment=&quot;0&quot;&gt;&lt;SELECT&gt;/BBOOK/DATAPROVIDER[./META/PROPS/ID='BIP_INCOME_STATEMENT']/DATA/ROW&lt;/SELECT&gt;&lt;FILTERS&gt;&lt;FILTER&gt;&lt;/FILTER&gt;&lt;/FILTERS&gt;&lt;/QUERY&gt;&lt;/QUERIES&gt;&lt;/OBJECT&gt;"/>
    <w:docVar w:name="BIP_META_DOC_TBL00048" w:val="&lt;OBJECT&gt;&lt;META&gt;&lt;ID&gt;&lt;/ID&gt;&lt;NAME&gt;DOC_TBL0004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33:40&lt;/DYNAMIZEDON&gt;&lt;LASTUPDATEDBY&gt;E0096765&lt;/LASTUPDATEDBY&gt;&lt;LASTUPDATEDON&gt;25/11/2025 10:33:40&lt;/LASTUPDATEDON&gt;&lt;UTC&gt;1&lt;/UTC&gt;&lt;/UPDATE&gt;&lt;QUERIES bbk=&quot;2940&quot; bbkdesc=&quot;Q4 2025 Press Release/Q4 2025 Press Release_excel file/Q4 2023 Press Release_excel file&quot; datapro=&quot;BIP_Lease_closing&quot; tdatapro=&quot;BIP_Lease_closing&quot; author=&quot;&quot; modtime=&quot;11/25/2025 9:10:07 AM&quot; moduser=&quot;E0096765&quot; rolluptime=&quot;&quot; syuser=&quot;&quot; syuzeit=&quot;&quot; root=&quot;/BBOOK/DATAPROVIDER[./META/PROPS/ID='BIP_Lease_closing']/DATA&quot; colcount=&quot;3&quot; rowcount=&quot;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Lease_closing&quot; infos=&quot;&quot; iscomment=&quot;0&quot;&gt;&lt;SELECT&gt;/BBOOK/DATAPROVIDER[./META/PROPS/ID='BIP_Lease_closing']/DATA/ROW&lt;/SELECT&gt;&lt;FILTERS&gt;&lt;FILTER&gt;&lt;/FILTER&gt;&lt;/FILTERS&gt;&lt;/QUERY&gt;&lt;/QUERIES&gt;&lt;/OBJECT&gt;"/>
    <w:docVar w:name="BIP_META_DOC_TBL00050" w:val="&lt;OBJECT&gt;&lt;META&gt;&lt;ID&gt;&lt;/ID&gt;&lt;NAME&gt;DOC_TBL00050&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28:06&lt;/DYNAMIZEDON&gt;&lt;LASTUPDATEDBY&gt;E0096765&lt;/LASTUPDATEDBY&gt;&lt;LASTUPDATEDON&gt;24/11/2025 15:28:06&lt;/LASTUPDATEDON&gt;&lt;UTC&gt;1&lt;/UTC&gt;&lt;/UPDATE&gt;&lt;QUERIES bbk=&quot;2940&quot; bbkdesc=&quot;Q4 2025 Press Release/Q4 2025 Press Release_excel file/Q4 2023 Press Release_excel file&quot; datapro=&quot;BIP_OrganicNSR&quot; tdatapro=&quot;BIP_OrganicNSR&quot; author=&quot;&quot; modtime=&quot;11/24/2025 3:00:06 PM&quot; moduser=&quot;E0096765&quot; rolluptime=&quot;&quot; syuser=&quot;&quot; syuzeit=&quot;&quot; root=&quot;/BBOOK/DATAPROVIDER[./META/PROPS/ID='BIP_OrganicNSR']/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NSR&quot; infos=&quot;&quot; iscomment=&quot;0&quot;&gt;&lt;SELECT&gt;/BBOOK/DATAPROVIDER[./META/PROPS/ID='BIP_OrganicNSR']/DATA/ROW&lt;/SELECT&gt;&lt;FILTERS&gt;&lt;FILTER&gt;&lt;/FILTER&gt;&lt;/FILTERS&gt;&lt;/QUERY&gt;&lt;/QUERIES&gt;&lt;/OBJECT&gt;"/>
    <w:docVar w:name="BIP_META_DOC_TBL00052" w:val="&lt;OBJECT&gt;&lt;META&gt;&lt;ID&gt;&lt;/ID&gt;&lt;NAME&gt;DOC_TBL00052&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6:05:25&lt;/DYNAMIZEDON&gt;&lt;LASTUPDATEDBY&gt;E0096765&lt;/LASTUPDATEDBY&gt;&lt;LASTUPDATEDON&gt;11/24/2025 4:09:56 PM&lt;/LASTUPDATEDON&gt;&lt;UTC&gt;1&lt;/UTC&gt;&lt;/UPDATE&gt;&lt;QUERIES bbk=&quot;2940&quot; bbkdesc=&quot;Q4 2025 Press Release/Q4 2025 Press Release_excel file/Q4 2023 Press Release_excel file&quot; datapro=&quot;BIP_IS_HY&quot; tdatapro=&quot;BIP_IS_HY&quot; author=&quot;&quot; modtime=&quot;11/24/2025 4:09:14 PM&quot; moduser=&quot;E0096765&quot; rolluptime=&quot;&quot; syuser=&quot;E0096765&quot; syuzeit=&quot;11/24/2025 4:09:14 PM&quot; root=&quot;/BBOOK/DATAPROVIDER[./META/PROPS/ID='BIP_IS_HY']/DATA&quot; colcount=&quot;5&quot; rowcount=&quot;2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S_HY&quot; infos=&quot;&quot; iscomment=&quot;0&quot;&gt;&lt;SELECT&gt;/BBOOK/DATAPROVIDER[./META/PROPS/ID='BIP_IS_HY']/DATA/ROW&lt;/SELECT&gt;&lt;FILTERS&gt;&lt;FILTER&gt;&lt;/FILTER&gt;&lt;/FILTERS&gt;&lt;/QUERY&gt;&lt;/QUERIES&gt;&lt;/OBJECT&gt;"/>
    <w:docVar w:name="BIP_META_DOC_TBL00053" w:val="&lt;OBJECT&gt;&lt;META&gt;&lt;ID&gt;&lt;/ID&gt;&lt;NAME&gt;DOC_TBL00053&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6:11:20&lt;/DYNAMIZEDON&gt;&lt;LASTUPDATEDBY&gt;E0096765&lt;/LASTUPDATEDBY&gt;&lt;LASTUPDATEDON&gt;24/11/2025 16:11:20&lt;/LASTUPDATEDON&gt;&lt;UTC&gt;1&lt;/UTC&gt;&lt;/UPDATE&gt;&lt;QUERIES bbk=&quot;2940&quot; bbkdesc=&quot;Q4 2025 Press Release/Q4 2025 Press Release_excel file/Q4 2023 Press Release_excel file&quot; datapro=&quot;BIP_OCI_HY&quot; tdatapro=&quot;BIP_OCI_HY&quot; author=&quot;&quot; modtime=&quot;11/24/2025 3:00:06 PM&quot; moduser=&quot;E0096765&quot; rolluptime=&quot;&quot; syuser=&quot;&quot; syuzeit=&quot;&quot; root=&quot;/BBOOK/DATAPROVIDER[./META/PROPS/ID='BIP_OCI_HY']/DATA&quot; colcount=&quot;3&quot; rowcount=&quot;33&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CI_HY&quot; infos=&quot;&quot; iscomment=&quot;0&quot;&gt;&lt;SELECT&gt;/BBOOK/DATAPROVIDER[./META/PROPS/ID='BIP_OCI_HY']/DATA/ROW&lt;/SELECT&gt;&lt;FILTERS&gt;&lt;FILTER&gt;&lt;/FILTER&gt;&lt;/FILTERS&gt;&lt;/QUERY&gt;&lt;/QUERIES&gt;&lt;/OBJECT&gt;"/>
    <w:docVar w:name="BIP_NAME_DOC_TBL00001" w:val="DOC_TBL00001"/>
    <w:docVar w:name="BIP_NAME_DOC_TBL00002" w:val="DOC_TBL00002"/>
    <w:docVar w:name="BIP_NAME_DOC_TBL00003" w:val="DOC_TBL00003"/>
    <w:docVar w:name="BIP_NAME_DOC_TBL00004" w:val="DOC_TBL00004"/>
    <w:docVar w:name="BIP_NAME_DOC_TBL00005" w:val="DOC_TBL00005"/>
    <w:docVar w:name="BIP_NAME_DOC_TBL00006" w:val="DOC_TBL00006"/>
    <w:docVar w:name="BIP_NAME_DOC_TBL00007" w:val="DOC_TBL00007"/>
    <w:docVar w:name="BIP_NAME_DOC_TBL00008" w:val="DOC_TBL00008"/>
    <w:docVar w:name="BIP_NAME_DOC_TBL00009" w:val="DOC_TBL00009"/>
    <w:docVar w:name="BIP_NAME_DOC_TBL00010" w:val="DOC_TBL00010"/>
    <w:docVar w:name="BIP_NAME_DOC_TBL00011" w:val="DOC_TBL00011"/>
    <w:docVar w:name="BIP_NAME_DOC_TBL00012" w:val="DOC_TBL00012"/>
    <w:docVar w:name="BIP_NAME_DOC_TBL00013" w:val="DOC_TBL00013"/>
    <w:docVar w:name="BIP_NAME_DOC_TBL00014" w:val="DOC_TBL00014"/>
    <w:docVar w:name="BIP_NAME_DOC_TBL00015" w:val="DOC_TBL00015"/>
    <w:docVar w:name="BIP_NAME_DOC_TBL00016" w:val="DOC_TBL00016"/>
    <w:docVar w:name="BIP_NAME_DOC_TBL00017" w:val="DOC_TBL00017"/>
    <w:docVar w:name="BIP_NAME_DOC_TBL00018" w:val="DOC_TBL00018"/>
    <w:docVar w:name="BIP_NAME_DOC_TBL00019" w:val="DOC_TBL00019"/>
    <w:docVar w:name="BIP_NAME_DOC_TBL00020" w:val="DOC_TBL00020"/>
    <w:docVar w:name="BIP_NAME_DOC_TBL00021" w:val="DOC_TBL00021"/>
    <w:docVar w:name="BIP_NAME_DOC_TBL00022" w:val="DOC_TBL00022"/>
    <w:docVar w:name="BIP_NAME_DOC_TBL00023" w:val="DOC_TBL00023"/>
    <w:docVar w:name="BIP_NAME_DOC_TBL00024" w:val="DOC_TBL00024"/>
    <w:docVar w:name="BIP_NAME_DOC_TBL00025" w:val="DOC_TBL00025"/>
    <w:docVar w:name="BIP_NAME_DOC_TBL00026" w:val="DOC_TBL00026"/>
    <w:docVar w:name="BIP_NAME_DOC_TBL00027" w:val="DOC_TBL00027"/>
    <w:docVar w:name="BIP_NAME_DOC_TBL00028" w:val="DOC_TBL00028"/>
    <w:docVar w:name="BIP_NAME_DOC_TBL00029" w:val="DOC_TBL00029"/>
    <w:docVar w:name="BIP_NAME_DOC_TBL00034" w:val="DOC_TBL00034"/>
    <w:docVar w:name="BIP_NAME_DOC_TBL00038" w:val="DOC_TBL00038"/>
    <w:docVar w:name="BIP_NAME_DOC_TBL00039" w:val="DOC_TBL00039"/>
    <w:docVar w:name="BIP_NAME_DOC_TBL00040" w:val="DOC_TBL00040"/>
    <w:docVar w:name="BIP_NAME_DOC_TBL00041" w:val="DOC_TBL00041"/>
    <w:docVar w:name="BIP_NAME_DOC_TBL00042" w:val="DOC_TBL00042"/>
    <w:docVar w:name="BIP_NAME_DOC_TBL00044" w:val="DOC_TBL00044"/>
    <w:docVar w:name="BIP_NAME_DOC_TBL00048" w:val="DOC_TBL00048"/>
    <w:docVar w:name="BIP_NAME_DOC_TBL00050" w:val="DOC_TBL00050"/>
    <w:docVar w:name="BIP_NAME_DOC_TBL00052" w:val="DOC_TBL00052"/>
    <w:docVar w:name="BIP_NAME_DOC_TBL00053" w:val="DOC_TBL00053"/>
    <w:docVar w:name="BIP_OBJECTTYPE_DOC_TBL00001" w:val="ChangedType"/>
    <w:docVar w:name="BIP_OBJECTTYPE_DOC_TBL00002" w:val="ChangedType"/>
    <w:docVar w:name="BIP_OBJECTTYPE_DOC_TBL00003" w:val="ChangedType"/>
    <w:docVar w:name="BIP_OBJECTTYPE_DOC_TBL00004" w:val="ChangedType"/>
    <w:docVar w:name="BIP_OBJECTTYPE_DOC_TBL00005" w:val="ChangedType"/>
    <w:docVar w:name="BIP_OBJECTTYPE_DOC_TBL00006" w:val="ChangedType"/>
    <w:docVar w:name="BIP_OBJECTTYPE_DOC_TBL00007" w:val="ChangedType"/>
    <w:docVar w:name="BIP_OBJECTTYPE_DOC_TBL00008" w:val="ChangedType"/>
    <w:docVar w:name="BIP_OBJECTTYPE_DOC_TBL00009" w:val="ChangedType"/>
    <w:docVar w:name="BIP_OBJECTTYPE_DOC_TBL00011" w:val="ChangedType"/>
    <w:docVar w:name="BIP_OBJECTTYPE_DOC_TBL00013" w:val="ChangedType"/>
    <w:docVar w:name="BIP_OBJECTTYPE_DOC_TBL00014" w:val="ChangedType"/>
    <w:docVar w:name="BIP_OBJECTTYPE_DOC_TBL00015" w:val="ChangedType"/>
    <w:docVar w:name="BIP_OBJECTTYPE_DOC_TBL00016" w:val="ChangedType"/>
    <w:docVar w:name="BIP_OBJECTTYPE_DOC_TBL00017" w:val="ChangedType"/>
    <w:docVar w:name="BIP_OBJECTTYPE_DOC_TBL00018" w:val="ChangedType"/>
    <w:docVar w:name="BIP_OBJECTTYPE_DOC_TBL00019" w:val="ChangedType"/>
    <w:docVar w:name="BIP_OBJECTTYPE_DOC_TBL00020" w:val="ChangedType"/>
    <w:docVar w:name="BIP_OBJECTTYPE_DOC_TBL00021" w:val="ChangedType"/>
    <w:docVar w:name="BIP_OBJECTTYPE_DOC_TBL00022" w:val="ChangedType"/>
    <w:docVar w:name="BIP_OBJECTTYPE_DOC_TBL00023" w:val="ChangedType"/>
    <w:docVar w:name="BIP_OBJECTTYPE_DOC_TBL00024" w:val="ChangedType"/>
    <w:docVar w:name="BIP_OBJECTTYPE_DOC_TBL00026" w:val="ChangedType"/>
    <w:docVar w:name="BIP_OBJECTTYPE_DOC_TBL00027" w:val="ChangedType"/>
    <w:docVar w:name="BIP_OBJECTTYPE_DOC_TBL00029" w:val="ChangedType"/>
    <w:docVar w:name="BIP_OBJECTTYPE_DOC_TBL00034" w:val="ChangedType"/>
    <w:docVar w:name="BIP_OBJECTTYPE_DOC_TBL00038" w:val="ChangedType"/>
    <w:docVar w:name="BIP_OBJECTTYPE_DOC_TBL00039" w:val="ChangedType"/>
    <w:docVar w:name="BIP_OBJECTTYPE_DOC_TBL00040" w:val="ChangedType"/>
    <w:docVar w:name="BIP_OBJECTTYPE_DOC_TBL00041" w:val="ChangedType"/>
    <w:docVar w:name="BIP_OBJECTTYPE_DOC_TBL00042" w:val="ChangedType"/>
    <w:docVar w:name="BIP_OBJECTTYPE_DOC_TBL00044" w:val="ChangedType"/>
    <w:docVar w:name="BIP_OBJECTTYPE_DOC_TBL00048" w:val="ChangedType"/>
    <w:docVar w:name="BIP_OBJECTTYPE_DOC_TBL00050" w:val="ChangedType"/>
    <w:docVar w:name="BIP_OBJECTTYPE_DOC_TBL00052" w:val="ChangedType"/>
    <w:docVar w:name="BIP_OBJECTTYPE_DOC_TBL00053" w:val="ChangedType"/>
    <w:docVar w:name="BIP_VARIABLES" w:val="&lt;BBOOKS&gt;&lt;BBOOK bbname=&quot;DefaultVariables&quot;&gt;&lt;VARIABLES /&gt;&lt;/BBOOK&gt;&lt;BBOOK bbname=&quot;475&quot; bbdesc=&quot;Half-year Press Release 2018/HY_PR 2018_Data/Q3 2018 Trading Update&quot; dsname=&quot;Disclosure Management CCH&quot;&gt;&lt;VARIABLES&gt;&lt;/VARIABLES&gt;&lt;/BBOOK&gt;&lt;BBOOK bbname=&quot;476&quot; bbdesc=&quot;Half-year Press Release 2018/HY_PR 2018_Data/Q3 2018 Trading Update_Greek&quot; dsname=&quot;Disclosure Management CCH&quot;&gt;&lt;VARIABLES&gt;&lt;/VARIABLES&gt;&lt;/BBOOK&gt;&lt;BBOOK bbname=&quot;827&quot; bbdesc=&quot;Q4 Press Release 2019/Q4 2019 Press Release_excel file/Q4 2019 Press Release_excel file&quot; dsname=&quot;Disclosure Management CCH&quot;&gt;&lt;VARIABLES&gt;&lt;/VARIABLES&gt;&lt;/BBOOK&gt;&lt;BBOOK bbname=&quot;79&quot; bbdesc=&quot;Dec 2017/CCH_DATA_CACHE/BPC_Report&quot; dsname=&quot;Disclosure Management CCH&quot;&gt;&lt;VARIABLES&gt;&lt;/VARIABLES&gt;&lt;/BBOOK&gt;&lt;BBOOK bbname=&quot;938&quot; bbdesc=&quot;Q4 2020 Press Release/Q4 2020 Press Release_excel file/Q4 2020 Press Release_excel file&quot; dsname=&quot;SAP DM 10.1&quot;&gt;&lt;VARIABLES&gt;&lt;/VARIABLES&gt;&lt;/BBOOK&gt;&lt;BBOOK bbname=&quot;644&quot; bbdesc=&quot;Dec_2019/Data cache Annual Report/1. Description of Business&quot; dsname=&quot;Disclosure Management CCH&quot;&gt;&lt;VARIABLES&gt;&lt;/VARIABLES&gt;&lt;/BBOOK&gt;&lt;BBOOK bbname=&quot;1137&quot; bbdesc=&quot;Q4 2021 Press Release/Q4 2021 Press Release_excel file/Q4 2021 Press Release_excel file&quot; dsname=&quot;SAP DM 10.1&quot;&gt;&lt;VARIABLES&gt;&lt;/VARIABLES&gt;&lt;/BBOOK&gt;&lt;BBOOK bbname=&quot;1145&quot; bbdesc=&quot;H1 2022 Press Release/H1 2022 Press Release_data/H1 2022 Press Release&quot; dsname=&quot;SAP DM 10.1&quot;&gt;&lt;VARIABLES&gt;&lt;/VARIABLES&gt;&lt;/BBOOK&gt;&lt;BBOOK bbname=&quot;1239&quot; bbdesc=&quot;Q4 2022 Press Release/Q4 2022 Press Release_excel file/Q4 2022 Press Release_excel file&quot; dsname=&quot;Disclosure management&quot;&gt;&lt;VARIABLES&gt;&lt;/VARIABLES&gt;&lt;/BBOOK&gt;&lt;BBOOK bbname=&quot;1943&quot; bbdesc=&quot;Q4 2023 Press Release/Q4 2023 Press Release_excel file/Q4 2023 Press Release_excel file&quot; dsname=&quot;Disclosure Management CCH&quot;&gt;&lt;VARIABLES&gt;&lt;/VARIABLES&gt;&lt;/BBOOK&gt;&lt;BBOOK bbname=&quot;2052&quot; bbdesc=&quot;Q4 2024 Press Release/Q4 2024 Press Release_excel file/Q4 2023 Press Release_excel file&quot; dsname=&quot;Disclosure Management CCH&quot;&gt;&lt;VARIABLES&gt;&lt;/VARIABLES&gt;&lt;/BBOOK&gt;&lt;BBOOK bbname=&quot;2940&quot; bbdesc=&quot;Q4 2025 Press Release/Q4 2025 Press Release_excel file/Q4 2023 Press Release_excel file&quot; dsname=&quot;Disclosure Management CCH&quot;&gt;&lt;VARIABLES&gt;&lt;/VARIABLES&gt;&lt;/BBOOK&gt;&lt;/BBOOKS&gt;"/>
    <w:docVar w:name="BIP_VERSION_DOC_TBL00001" w:val="4.0.42000"/>
    <w:docVar w:name="BIP_VERSION_DOC_TBL00002" w:val="4.0.42000"/>
    <w:docVar w:name="BIP_VERSION_DOC_TBL00003" w:val="4.0.42000"/>
    <w:docVar w:name="BIP_VERSION_DOC_TBL00004" w:val="4.0.42000"/>
    <w:docVar w:name="BIP_VERSION_DOC_TBL00005" w:val="4.0.42000"/>
    <w:docVar w:name="BIP_VERSION_DOC_TBL00006" w:val="4.0.42000"/>
    <w:docVar w:name="BIP_VERSION_DOC_TBL00007" w:val="4.0.42000"/>
    <w:docVar w:name="BIP_VERSION_DOC_TBL00008" w:val="4.0.42000"/>
    <w:docVar w:name="BIP_VERSION_DOC_TBL00009" w:val="4.0.42000"/>
    <w:docVar w:name="BIP_VERSION_DOC_TBL00011" w:val="4.0.42000"/>
    <w:docVar w:name="BIP_VERSION_DOC_TBL00013" w:val="4.0.42000"/>
    <w:docVar w:name="BIP_VERSION_DOC_TBL00014" w:val="4.0.42000"/>
    <w:docVar w:name="BIP_VERSION_DOC_TBL00015" w:val="4.0.42000"/>
    <w:docVar w:name="BIP_VERSION_DOC_TBL00016" w:val="4.0.42000"/>
    <w:docVar w:name="BIP_VERSION_DOC_TBL00017" w:val="4.0.42000"/>
    <w:docVar w:name="BIP_VERSION_DOC_TBL00018" w:val="4.0.42000"/>
    <w:docVar w:name="BIP_VERSION_DOC_TBL00019" w:val="4.0.42000"/>
    <w:docVar w:name="BIP_VERSION_DOC_TBL00020" w:val="4.0.42000"/>
    <w:docVar w:name="BIP_VERSION_DOC_TBL00021" w:val="4.0.42000"/>
    <w:docVar w:name="BIP_VERSION_DOC_TBL00022" w:val="4.0.42000"/>
    <w:docVar w:name="BIP_VERSION_DOC_TBL00023" w:val="4.0.42000"/>
    <w:docVar w:name="BIP_VERSION_DOC_TBL00024" w:val="4.0.42000"/>
    <w:docVar w:name="BIP_VERSION_DOC_TBL00026" w:val="4.0.42000"/>
    <w:docVar w:name="BIP_VERSION_DOC_TBL00027" w:val="4.0.42000"/>
    <w:docVar w:name="BIP_VERSION_DOC_TBL00029" w:val="4.0.42000"/>
    <w:docVar w:name="BIP_VERSION_DOC_TBL00034" w:val="4.0.42000"/>
    <w:docVar w:name="BIP_VERSION_DOC_TBL00038" w:val="4.0.42000"/>
    <w:docVar w:name="BIP_VERSION_DOC_TBL00039" w:val="4.0.42000"/>
    <w:docVar w:name="BIP_VERSION_DOC_TBL00040" w:val="4.0.42000"/>
    <w:docVar w:name="BIP_VERSION_DOC_TBL00041" w:val="4.0.42000"/>
    <w:docVar w:name="BIP_VERSION_DOC_TBL00042" w:val="4.0.42000"/>
    <w:docVar w:name="BIP_VERSION_DOC_TBL00044" w:val="4.0.42000"/>
    <w:docVar w:name="BIP_VERSION_DOC_TBL00048" w:val="4.0.42000"/>
    <w:docVar w:name="BIP_VERSION_DOC_TBL00050" w:val="4.0.42000"/>
    <w:docVar w:name="BIP_VERSION_DOC_TBL00052" w:val="4.0.42000"/>
    <w:docVar w:name="BIP_VERSION_DOC_TBL00053" w:val="4.0.42000"/>
    <w:docVar w:name="DOC_TBL00023_1_1" w:val="|@|1|1033"/>
    <w:docVar w:name="DOC_TBL00023_1_2" w:val="Six months ended |@|1|1033"/>
    <w:docVar w:name="DOC_TBL00023_1_3" w:val="|@|1|1033"/>
    <w:docVar w:name="DOC_TBL00023_10_1" w:val="Premium spirits|@|1|1033"/>
    <w:docVar w:name="DOC_TBL00023_10_2" w:val="76.4|#,##0.0_);\(#,##0.0\);&quot;—&quot;_)|1|1033"/>
    <w:docVar w:name="DOC_TBL00023_10_3" w:val="78.4|#,##0.0_);\(#,##0.0\);&quot;—&quot;_)|1|1033"/>
    <w:docVar w:name="DOC_TBL00023_11_1" w:val="Total net sales revenue|@|1|1033"/>
    <w:docVar w:name="DOC_TBL00023_11_2" w:val="3352.4|#,##0.0_);\(#,##0.0\);&quot;—&quot;_)|1|1033"/>
    <w:docVar w:name="DOC_TBL00023_11_3" w:val="3228.3|#,##0.0_);\(#,##0.0\);&quot;—&quot;_)|1|1033"/>
    <w:docVar w:name="DOC_TBL00023_2_1" w:val="|@|1|1033"/>
    <w:docVar w:name="DOC_TBL00023_2_2" w:val="28 June 2019|@|1|1033"/>
    <w:docVar w:name="DOC_TBL00023_2_3" w:val="29 June 2018|@|1|1033"/>
    <w:docVar w:name="DOC_TBL00023_3_1" w:val="|@|1|1033"/>
    <w:docVar w:name="DOC_TBL00023_3_2" w:val="€ million|@|1|1033"/>
    <w:docVar w:name="DOC_TBL00023_3_3" w:val="€ million|@|1|1033"/>
    <w:docVar w:name="DOC_TBL00023_4_1" w:val="Volume in million unit cases|@|1|1033"/>
    <w:docVar w:name="DOC_TBL00023_4_2" w:val="|@|1|1033"/>
    <w:docVar w:name="DOC_TBL00023_4_3" w:val="|@|1|1033"/>
    <w:docVar w:name="DOC_TBL00023_5_1" w:val="NARTD|@|1|1033"/>
    <w:docVar w:name="DOC_TBL00023_5_2" w:val="1089.2|#,##0.0_);\(#,##0.0\);&quot;—&quot;_)|1|1033"/>
    <w:docVar w:name="DOC_TBL00023_5_3" w:val="1066.3|#,##0.0_);\(#,##0.0\);&quot;—&quot;_)|1|1033"/>
    <w:docVar w:name="DOC_TBL00023_6_1" w:val="Premium spirits|@|1|1033"/>
    <w:docVar w:name="DOC_TBL00023_6_2" w:val="1.2|#,##0.0_);\(#,##0.0\);&quot;—&quot;_)|1|1033"/>
    <w:docVar w:name="DOC_TBL00023_6_3" w:val="1.078|#,##0.0_);\(#,##0.0\);&quot;—&quot;_)|1|1033"/>
    <w:docVar w:name="DOC_TBL00023_7_1" w:val="Total volume|@|1|1033"/>
    <w:docVar w:name="DOC_TBL00023_7_2" w:val="1090.4|#,##0.0_);\(#,##0.0\);&quot;—&quot;_)|1|1033"/>
    <w:docVar w:name="DOC_TBL00023_7_3" w:val="1067.378|#,##0.0_);\(#,##0.0\);&quot;—&quot;_)|1|1033"/>
    <w:docVar w:name="DOC_TBL00023_8_1" w:val="Net sales revenue (€ million)|@|1|1033"/>
    <w:docVar w:name="DOC_TBL00023_8_2" w:val="|#,##0.0_);\(#,##0.0\);&quot;—&quot;_)|1|1033"/>
    <w:docVar w:name="DOC_TBL00023_8_3" w:val="|#,##0.0_);\(#,##0.0\);&quot;—&quot;_)|1|1033"/>
    <w:docVar w:name="DOC_TBL00023_9_1" w:val="NARTD|@|1|1033"/>
    <w:docVar w:name="DOC_TBL00023_9_2" w:val="3276|#,##0.0_);\(#,##0.0\);&quot;—&quot;_)|1|1033"/>
    <w:docVar w:name="DOC_TBL00023_9_3" w:val="3149.9|#,##0.0_);\(#,##0.0\);&quot;—&quot;_)|1|1033"/>
    <w:docVar w:name="DOC_TBL00040_1_1" w:val="|@|1|1033"/>
    <w:docVar w:name="DOC_TBL00040_1_2" w:val="Six months ended |@|1|1033"/>
    <w:docVar w:name="DOC_TBL00040_1_3" w:val="|@|1|1033"/>
    <w:docVar w:name="DOC_TBL00040_2_1" w:val="|@|1|1033"/>
    <w:docVar w:name="DOC_TBL00040_2_2" w:val="28 June 2019|@|1|1033"/>
    <w:docVar w:name="DOC_TBL00040_2_3" w:val="29 June 2018|@|1|1033"/>
    <w:docVar w:name="DOC_TBL00040_3_1" w:val="|@|1|1033"/>
    <w:docVar w:name="DOC_TBL00040_3_2" w:val="€ million|@|1|1033"/>
    <w:docVar w:name="DOC_TBL00040_3_3" w:val="€ million|@|1|1033"/>
    <w:docVar w:name="DOC_TBL00040_4_1" w:val="Profit before tax|@|1|1033"/>
    <w:docVar w:name="DOC_TBL00040_4_2" w:val="260.8|#,##0.0_);\(#,##0.0\);&quot;—&quot;_)|1|1033"/>
    <w:docVar w:name="DOC_TBL00040_4_3" w:val="290.1|#,##0.0_);\(#,##0.0\);&quot;—&quot;_)|1|1033"/>
    <w:docVar w:name="DOC_TBL00040_5_1" w:val="Tax|@|1|1033"/>
    <w:docVar w:name="DOC_TBL00040_5_2" w:val="-63.9|#,##0.0_);\(#,##0.0\);&quot;—&quot;_)|1|1033"/>
    <w:docVar w:name="DOC_TBL00040_5_3" w:val="-73|#,##0.0_);\(#,##0.0\);&quot;—&quot;_)|1|1033"/>
    <w:docVar w:name="DOC_TBL00040_6_1" w:val="Effective tax rate|@|1|1033"/>
    <w:docVar w:name="DOC_TBL00040_6_2" w:val="0.245015337423313|0.0%|1|1033"/>
    <w:docVar w:name="DOC_TBL00040_6_3" w:val="0.25163736642537|0.0%|1|1033"/>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13" w:semiHidden="1" w:unhideWhenUsed="1"/>
    <w:lsdException w:name="List Bullet 5" w:uiPriority="13" w:semiHidden="1" w:unhideWhenUsed="1"/>
    <w:lsdException w:name="List Number 2" w:uiPriority="13" w:semiHidden="1" w:unhideWhenUsed="1" w:qFormat="1"/>
    <w:lsdException w:name="List Number 3" w:uiPriority="1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uiPriority="0" w:semiHidden="1" w:unhideWhenUsed="1"/>
    <w:lsdException w:name="Default Paragraph Font" w:uiPriority="1" w:semiHidden="1" w:unhideWhenUsed="1"/>
    <w:lsdException w:name="Body Text"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606d"/>
    <w:pPr>
      <w:widowControl/>
      <w:bidi w:val="0"/>
      <w:spacing w:before="0" w:after="0"/>
      <w:jc w:val="left"/>
    </w:pPr>
    <w:rPr>
      <w:rFonts w:ascii="Times New Roman" w:hAnsi="Times New Roman" w:eastAsia="Times New Roman" w:cs="Times New Roman"/>
      <w:color w:val="auto"/>
      <w:kern w:val="0"/>
      <w:sz w:val="24"/>
      <w:szCs w:val="24"/>
      <w:lang w:eastAsia="de-DE" w:val="en-US" w:bidi="ar-SA"/>
    </w:rPr>
  </w:style>
  <w:style w:type="paragraph" w:styleId="1">
    <w:name w:val="Heading 1"/>
    <w:basedOn w:val="Normal"/>
    <w:next w:val="Normal"/>
    <w:qFormat/>
    <w:rsid w:val="000a50e6"/>
    <w:pPr>
      <w:keepNext w:val="true"/>
      <w:jc w:val="right"/>
      <w:outlineLvl w:val="0"/>
    </w:pPr>
    <w:rPr>
      <w:rFonts w:ascii="Garamond" w:hAnsi="Garamond"/>
      <w:i/>
      <w:iCs/>
    </w:rPr>
  </w:style>
  <w:style w:type="paragraph" w:styleId="2">
    <w:name w:val="Heading 2"/>
    <w:basedOn w:val="Normal"/>
    <w:next w:val="Normal"/>
    <w:qFormat/>
    <w:rsid w:val="000a50e6"/>
    <w:pPr>
      <w:keepNext w:val="true"/>
      <w:jc w:val="center"/>
      <w:outlineLvl w:val="1"/>
    </w:pPr>
    <w:rPr>
      <w:b/>
      <w:bCs/>
    </w:rPr>
  </w:style>
  <w:style w:type="paragraph" w:styleId="3">
    <w:name w:val="Heading 3"/>
    <w:basedOn w:val="Normal"/>
    <w:next w:val="Normal"/>
    <w:qFormat/>
    <w:rsid w:val="000a50e6"/>
    <w:pPr>
      <w:keepNext w:val="true"/>
      <w:jc w:val="right"/>
      <w:outlineLvl w:val="2"/>
    </w:pPr>
    <w:rPr>
      <w:rFonts w:ascii="Garamond" w:hAnsi="Garamond"/>
      <w:b/>
      <w:bCs/>
    </w:rPr>
  </w:style>
  <w:style w:type="paragraph" w:styleId="4">
    <w:name w:val="Heading 4"/>
    <w:basedOn w:val="Normal"/>
    <w:next w:val="Normal"/>
    <w:link w:val="Heading4Char"/>
    <w:qFormat/>
    <w:rsid w:val="000a50e6"/>
    <w:pPr>
      <w:keepNext w:val="true"/>
      <w:tabs>
        <w:tab w:val="clear" w:pos="720"/>
        <w:tab w:val="decimal" w:pos="1418" w:leader="none"/>
      </w:tabs>
      <w:outlineLvl w:val="3"/>
    </w:pPr>
    <w:rPr>
      <w:b/>
      <w:bCs/>
      <w:color w:val="000000"/>
      <w:sz w:val="22"/>
      <w:szCs w:val="22"/>
    </w:rPr>
  </w:style>
  <w:style w:type="paragraph" w:styleId="5">
    <w:name w:val="Heading 5"/>
    <w:basedOn w:val="Normal"/>
    <w:next w:val="Normal"/>
    <w:qFormat/>
    <w:rsid w:val="000a50e6"/>
    <w:pPr>
      <w:keepNext w:val="true"/>
      <w:jc w:val="center"/>
      <w:outlineLvl w:val="4"/>
    </w:pPr>
    <w:rPr>
      <w:b/>
      <w:bCs/>
      <w:sz w:val="16"/>
      <w:szCs w:val="16"/>
    </w:rPr>
  </w:style>
  <w:style w:type="paragraph" w:styleId="6">
    <w:name w:val="Heading 6"/>
    <w:basedOn w:val="Normal"/>
    <w:next w:val="Normal"/>
    <w:qFormat/>
    <w:rsid w:val="000a50e6"/>
    <w:pPr>
      <w:keepNext w:val="true"/>
      <w:jc w:val="both"/>
      <w:outlineLvl w:val="5"/>
    </w:pPr>
    <w:rPr>
      <w:b/>
      <w:bCs/>
    </w:rPr>
  </w:style>
  <w:style w:type="paragraph" w:styleId="7">
    <w:name w:val="Heading 7"/>
    <w:basedOn w:val="Normal"/>
    <w:next w:val="Normal"/>
    <w:qFormat/>
    <w:rsid w:val="000a50e6"/>
    <w:pPr>
      <w:keepNext w:val="true"/>
      <w:outlineLvl w:val="6"/>
    </w:pPr>
    <w:rPr>
      <w:b/>
      <w:bCs/>
      <w:i/>
      <w:iCs/>
    </w:rPr>
  </w:style>
  <w:style w:type="paragraph" w:styleId="8">
    <w:name w:val="Heading 8"/>
    <w:basedOn w:val="Normal"/>
    <w:next w:val="Normal"/>
    <w:qFormat/>
    <w:rsid w:val="000a50e6"/>
    <w:pPr>
      <w:keepNext w:val="true"/>
      <w:outlineLvl w:val="7"/>
    </w:pPr>
    <w:rPr>
      <w:b/>
      <w:bCs/>
    </w:rPr>
  </w:style>
  <w:style w:type="paragraph" w:styleId="9">
    <w:name w:val="Heading 9"/>
    <w:basedOn w:val="Normal"/>
    <w:next w:val="Normal"/>
    <w:qFormat/>
    <w:rsid w:val="000a50e6"/>
    <w:pPr>
      <w:keepNext w:val="true"/>
      <w:ind w:firstLine="360"/>
      <w:jc w:val="both"/>
      <w:outlineLvl w:val="8"/>
    </w:pPr>
    <w:rPr>
      <w:b/>
      <w:bCs/>
      <w:i/>
      <w:iCs/>
      <w:u w:val="single"/>
    </w:rPr>
  </w:style>
  <w:style w:type="character" w:styleId="DefaultParagraphFont" w:default="1">
    <w:name w:val="Default Paragraph Font"/>
    <w:uiPriority w:val="1"/>
    <w:semiHidden/>
    <w:unhideWhenUsed/>
    <w:qFormat/>
    <w:rPr/>
  </w:style>
  <w:style w:type="character" w:styleId="Style5">
    <w:name w:val="Hyperlink"/>
    <w:basedOn w:val="DefaultParagraphFont"/>
    <w:uiPriority w:val="99"/>
    <w:rsid w:val="000a50e6"/>
    <w:rPr>
      <w:color w:val="0000FF"/>
      <w:u w:val="single"/>
    </w:rPr>
  </w:style>
  <w:style w:type="character" w:styleId="Colapress" w:customStyle="1">
    <w:name w:val="colapress"/>
    <w:basedOn w:val="DefaultParagraphFont"/>
    <w:qFormat/>
    <w:rsid w:val="000a50e6"/>
    <w:rPr/>
  </w:style>
  <w:style w:type="character" w:styleId="Style6">
    <w:name w:val="FollowedHyperlink"/>
    <w:basedOn w:val="DefaultParagraphFont"/>
    <w:rsid w:val="000a50e6"/>
    <w:rPr>
      <w:color w:val="800080"/>
      <w:u w:val="single"/>
    </w:rPr>
  </w:style>
  <w:style w:type="character" w:styleId="Pagenumber">
    <w:name w:val="page number"/>
    <w:basedOn w:val="DefaultParagraphFont"/>
    <w:qFormat/>
    <w:rsid w:val="000a50e6"/>
    <w:rPr/>
  </w:style>
  <w:style w:type="character" w:styleId="Text" w:customStyle="1">
    <w:name w:val="text"/>
    <w:basedOn w:val="DefaultParagraphFont"/>
    <w:qFormat/>
    <w:rsid w:val="000a50e6"/>
    <w:rPr/>
  </w:style>
  <w:style w:type="character" w:styleId="Strong">
    <w:name w:val="Strong"/>
    <w:basedOn w:val="DefaultParagraphFont"/>
    <w:uiPriority w:val="22"/>
    <w:qFormat/>
    <w:rsid w:val="000a50e6"/>
    <w:rPr>
      <w:b/>
      <w:bCs/>
    </w:rPr>
  </w:style>
  <w:style w:type="character" w:styleId="Annotationreference">
    <w:name w:val="annotation reference"/>
    <w:basedOn w:val="DefaultParagraphFont"/>
    <w:uiPriority w:val="99"/>
    <w:semiHidden/>
    <w:qFormat/>
    <w:rsid w:val="000a50e6"/>
    <w:rPr>
      <w:sz w:val="16"/>
      <w:szCs w:val="16"/>
    </w:rPr>
  </w:style>
  <w:style w:type="character" w:styleId="DeltaViewInsertion" w:customStyle="1">
    <w:name w:val="DeltaView Insertion"/>
    <w:qFormat/>
    <w:rsid w:val="000a50e6"/>
    <w:rPr>
      <w:color w:val="0000FF"/>
      <w:spacing w:val="0"/>
      <w:u w:val="double"/>
    </w:rPr>
  </w:style>
  <w:style w:type="character" w:styleId="Style7">
    <w:name w:val="Χαρακτήρες υποσημείωσης"/>
    <w:basedOn w:val="DefaultParagraphFont"/>
    <w:semiHidden/>
    <w:qFormat/>
    <w:rsid w:val="000a50e6"/>
    <w:rPr>
      <w:vertAlign w:val="superscript"/>
    </w:rPr>
  </w:style>
  <w:style w:type="character" w:styleId="Style8">
    <w:name w:val="Footnote Reference"/>
    <w:rPr>
      <w:vertAlign w:val="superscript"/>
    </w:rPr>
  </w:style>
  <w:style w:type="character" w:styleId="FooterChar" w:customStyle="1">
    <w:name w:val="Footer Char"/>
    <w:basedOn w:val="DefaultParagraphFont"/>
    <w:uiPriority w:val="99"/>
    <w:qFormat/>
    <w:rsid w:val="000a50e6"/>
    <w:rPr>
      <w:sz w:val="22"/>
      <w:szCs w:val="22"/>
      <w:lang w:val="en-US" w:eastAsia="en-US" w:bidi="ar-SA"/>
    </w:rPr>
  </w:style>
  <w:style w:type="character" w:styleId="Apple-style-span" w:customStyle="1">
    <w:name w:val="apple-style-span"/>
    <w:basedOn w:val="DefaultParagraphFont"/>
    <w:qFormat/>
    <w:rsid w:val="000a50e6"/>
    <w:rPr/>
  </w:style>
  <w:style w:type="character" w:styleId="BodyText3Char" w:customStyle="1">
    <w:name w:val="Body Text 3 Char"/>
    <w:basedOn w:val="DefaultParagraphFont"/>
    <w:link w:val="BodyText3"/>
    <w:qFormat/>
    <w:rsid w:val="002520af"/>
    <w:rPr>
      <w:sz w:val="24"/>
      <w:szCs w:val="24"/>
    </w:rPr>
  </w:style>
  <w:style w:type="character" w:styleId="EndnoteTextChar" w:customStyle="1">
    <w:name w:val="Endnote Text Char"/>
    <w:basedOn w:val="DefaultParagraphFont"/>
    <w:uiPriority w:val="99"/>
    <w:semiHidden/>
    <w:qFormat/>
    <w:rsid w:val="00b005ce"/>
    <w:rPr>
      <w:lang w:val="en-GB"/>
    </w:rPr>
  </w:style>
  <w:style w:type="character" w:styleId="Style9">
    <w:name w:val="Χαρακτήρες σημείωσης τέλους"/>
    <w:basedOn w:val="DefaultParagraphFont"/>
    <w:uiPriority w:val="99"/>
    <w:semiHidden/>
    <w:unhideWhenUsed/>
    <w:qFormat/>
    <w:rsid w:val="00b005ce"/>
    <w:rPr>
      <w:vertAlign w:val="superscript"/>
    </w:rPr>
  </w:style>
  <w:style w:type="character" w:styleId="Style10">
    <w:name w:val="Endnote Reference"/>
    <w:rPr>
      <w:vertAlign w:val="superscript"/>
    </w:rPr>
  </w:style>
  <w:style w:type="character" w:styleId="FootnoteTextChar" w:customStyle="1">
    <w:name w:val="Footnote Text Char"/>
    <w:basedOn w:val="DefaultParagraphFont"/>
    <w:semiHidden/>
    <w:qFormat/>
    <w:rsid w:val="00da7037"/>
    <w:rPr>
      <w:lang w:val="en-GB"/>
    </w:rPr>
  </w:style>
  <w:style w:type="character" w:styleId="HeaderChar" w:customStyle="1">
    <w:name w:val="Header Char"/>
    <w:basedOn w:val="DefaultParagraphFont"/>
    <w:uiPriority w:val="99"/>
    <w:qFormat/>
    <w:rsid w:val="00cc2dca"/>
    <w:rPr>
      <w:sz w:val="24"/>
      <w:szCs w:val="24"/>
      <w:lang w:val="en-GB"/>
    </w:rPr>
  </w:style>
  <w:style w:type="character" w:styleId="Heading4Char" w:customStyle="1">
    <w:name w:val="Heading 4 Char"/>
    <w:basedOn w:val="DefaultParagraphFont"/>
    <w:qFormat/>
    <w:rsid w:val="003f3825"/>
    <w:rPr>
      <w:b/>
      <w:bCs/>
      <w:color w:val="000000"/>
      <w:sz w:val="22"/>
      <w:szCs w:val="22"/>
      <w:lang w:val="en-GB"/>
    </w:rPr>
  </w:style>
  <w:style w:type="character" w:styleId="BodyTextChar" w:customStyle="1">
    <w:name w:val="Body Text Char"/>
    <w:basedOn w:val="DefaultParagraphFont"/>
    <w:uiPriority w:val="99"/>
    <w:qFormat/>
    <w:rsid w:val="003f3825"/>
    <w:rPr>
      <w:i/>
      <w:iCs/>
      <w:sz w:val="22"/>
      <w:szCs w:val="22"/>
    </w:rPr>
  </w:style>
  <w:style w:type="character" w:styleId="BodySingleChar" w:customStyle="1">
    <w:name w:val="Body Single Char"/>
    <w:link w:val="BodySingle"/>
    <w:uiPriority w:val="1"/>
    <w:qFormat/>
    <w:locked/>
    <w:rsid w:val="003f3825"/>
    <w:rPr>
      <w:rFonts w:ascii="Georgia" w:hAnsi="Georgia"/>
      <w:sz w:val="18"/>
      <w:szCs w:val="18"/>
      <w:lang w:val="en-GB" w:eastAsia="en-GB"/>
    </w:rPr>
  </w:style>
  <w:style w:type="character" w:styleId="CommentTextChar" w:customStyle="1">
    <w:name w:val="Comment Text Char"/>
    <w:basedOn w:val="DefaultParagraphFont"/>
    <w:link w:val="Annotationtext"/>
    <w:uiPriority w:val="99"/>
    <w:qFormat/>
    <w:rsid w:val="008e7575"/>
    <w:rPr>
      <w:lang w:val="en-GB"/>
    </w:rPr>
  </w:style>
  <w:style w:type="character" w:styleId="NumberingChar" w:customStyle="1">
    <w:name w:val="Numbering Char"/>
    <w:basedOn w:val="DefaultParagraphFont"/>
    <w:link w:val="Numbering"/>
    <w:qFormat/>
    <w:rsid w:val="00053c52"/>
    <w:rPr>
      <w:rFonts w:ascii="Effra Corp" w:hAnsi="Effra Corp" w:cs="Arial"/>
      <w:b/>
      <w:bCs/>
      <w:color w:val="000000"/>
      <w:sz w:val="21"/>
      <w:szCs w:val="21"/>
      <w:lang w:eastAsia="de-DE"/>
    </w:rPr>
  </w:style>
  <w:style w:type="character" w:styleId="Mention">
    <w:name w:val="Mention"/>
    <w:basedOn w:val="DefaultParagraphFont"/>
    <w:uiPriority w:val="99"/>
    <w:unhideWhenUsed/>
    <w:qFormat/>
    <w:rsid w:val="0022297d"/>
    <w:rPr>
      <w:color w:val="2B579A"/>
      <w:shd w:fill="E6E6E6" w:val="clear"/>
    </w:rPr>
  </w:style>
  <w:style w:type="character" w:styleId="UnresolvedMention">
    <w:name w:val="Unresolved Mention"/>
    <w:basedOn w:val="DefaultParagraphFont"/>
    <w:uiPriority w:val="99"/>
    <w:unhideWhenUsed/>
    <w:qFormat/>
    <w:rsid w:val="00046c92"/>
    <w:rPr>
      <w:color w:val="808080"/>
      <w:shd w:fill="E6E6E6" w:val="clear"/>
    </w:rPr>
  </w:style>
  <w:style w:type="character" w:styleId="SignatureChar" w:customStyle="1">
    <w:name w:val="Signature Char"/>
    <w:basedOn w:val="DefaultParagraphFont"/>
    <w:qFormat/>
    <w:rsid w:val="00434fba"/>
    <w:rPr>
      <w:sz w:val="24"/>
    </w:rPr>
  </w:style>
  <w:style w:type="character" w:styleId="IDNocharacterstyle" w:customStyle="1">
    <w:name w:val="ID No character style"/>
    <w:qFormat/>
    <w:rsid w:val="00e17ba9"/>
    <w:rPr>
      <w:rFonts w:ascii="Times New Roman" w:hAnsi="Times New Roman" w:eastAsia="Times New Roman" w:cs="Times New Roman"/>
      <w:sz w:val="24"/>
      <w:szCs w:val="24"/>
      <w:lang w:val="de-DE" w:eastAsia="de-DE"/>
    </w:rPr>
  </w:style>
  <w:style w:type="character" w:styleId="LightItalic" w:customStyle="1">
    <w:name w:val="Light Italic"/>
    <w:basedOn w:val="DefaultParagraphFont"/>
    <w:qFormat/>
    <w:rsid w:val="00e17ba9"/>
    <w:rPr>
      <w:rFonts w:ascii="Times New Roman" w:hAnsi="Times New Roman" w:eastAsia="Times New Roman" w:cs="Times New Roman"/>
      <w:i/>
      <w:sz w:val="24"/>
      <w:szCs w:val="24"/>
    </w:rPr>
  </w:style>
  <w:style w:type="character" w:styleId="BodyTextIndentChar" w:customStyle="1">
    <w:name w:val="Body Text Indent Char"/>
    <w:basedOn w:val="DefaultParagraphFont"/>
    <w:qFormat/>
    <w:rsid w:val="006a5c95"/>
    <w:rPr>
      <w:rFonts w:ascii="Arial" w:hAnsi="Arial" w:cs="Arial"/>
      <w:sz w:val="22"/>
      <w:szCs w:val="22"/>
      <w:u w:val="single"/>
      <w:lang w:val="en-GB" w:eastAsia="de-DE"/>
    </w:rPr>
  </w:style>
  <w:style w:type="character" w:styleId="IDNocharacterstyle2" w:customStyle="1">
    <w:name w:val="ID No character style_2"/>
    <w:qFormat/>
    <w:rsid w:val="00286701"/>
    <w:rPr/>
  </w:style>
  <w:style w:type="character" w:styleId="Normaltextrun1" w:customStyle="1">
    <w:name w:val="normaltextrun1"/>
    <w:basedOn w:val="DefaultParagraphFont"/>
    <w:qFormat/>
    <w:rsid w:val="002c095b"/>
    <w:rPr/>
  </w:style>
  <w:style w:type="character" w:styleId="Normaltextrun" w:customStyle="1">
    <w:name w:val="normaltextrun"/>
    <w:basedOn w:val="DefaultParagraphFont"/>
    <w:qFormat/>
    <w:rsid w:val="00384f18"/>
    <w:rPr/>
  </w:style>
  <w:style w:type="character" w:styleId="As" w:customStyle="1">
    <w:name w:val="as"/>
    <w:basedOn w:val="DefaultParagraphFont"/>
    <w:qFormat/>
    <w:rsid w:val="003631b9"/>
    <w:rPr/>
  </w:style>
  <w:style w:type="character" w:styleId="Cs" w:customStyle="1">
    <w:name w:val="cs"/>
    <w:basedOn w:val="DefaultParagraphFont"/>
    <w:qFormat/>
    <w:rsid w:val="003b4bcd"/>
    <w:rPr>
      <w:rFonts w:ascii="Effra" w:hAnsi="Effra"/>
      <w:color w:val="16202C"/>
      <w:sz w:val="22"/>
      <w:szCs w:val="22"/>
    </w:rPr>
  </w:style>
  <w:style w:type="character" w:styleId="Cu" w:customStyle="1">
    <w:name w:val="cu"/>
    <w:basedOn w:val="DefaultParagraphFont"/>
    <w:qFormat/>
    <w:rsid w:val="003b4bcd"/>
    <w:rPr>
      <w:color w:val="16202C"/>
    </w:rPr>
  </w:style>
  <w:style w:type="character" w:styleId="Ui-provider" w:customStyle="1">
    <w:name w:val="ui-provider"/>
    <w:basedOn w:val="DefaultParagraphFont"/>
    <w:qFormat/>
    <w:rsid w:val="00a6200e"/>
    <w:rPr/>
  </w:style>
  <w:style w:type="character" w:styleId="Gmaildefault" w:customStyle="1">
    <w:name w:val="gmail_default"/>
    <w:basedOn w:val="DefaultParagraphFont"/>
    <w:qFormat/>
    <w:rsid w:val="00ed1c7d"/>
    <w:rPr/>
  </w:style>
  <w:style w:type="character" w:styleId="HTMLPreformattedChar" w:customStyle="1">
    <w:name w:val="HTML Preformatted Char"/>
    <w:basedOn w:val="DefaultParagraphFont"/>
    <w:link w:val="HTMLPreformatted"/>
    <w:uiPriority w:val="99"/>
    <w:semiHidden/>
    <w:qFormat/>
    <w:rsid w:val="00ff7a4b"/>
    <w:rPr>
      <w:rFonts w:ascii="Consolas" w:hAnsi="Consolas"/>
      <w:lang w:eastAsia="de-DE"/>
    </w:rPr>
  </w:style>
  <w:style w:type="paragraph" w:styleId="Style11">
    <w:name w:val="Επικεφαλίδα"/>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link w:val="BodyTextChar"/>
    <w:uiPriority w:val="99"/>
    <w:qFormat/>
    <w:rsid w:val="000a50e6"/>
    <w:pPr/>
    <w:rPr>
      <w:i/>
      <w:iCs/>
      <w:sz w:val="22"/>
      <w:szCs w:val="22"/>
    </w:rPr>
  </w:style>
  <w:style w:type="paragraph" w:styleId="Style13">
    <w:name w:val="List"/>
    <w:basedOn w:val="Style12"/>
    <w:pPr/>
    <w:rPr>
      <w:rFonts w:cs="Arial"/>
    </w:rPr>
  </w:style>
  <w:style w:type="paragraph" w:styleId="Style14">
    <w:name w:val="Caption"/>
    <w:basedOn w:val="Normal"/>
    <w:qFormat/>
    <w:pPr>
      <w:suppressLineNumbers/>
      <w:spacing w:before="120" w:after="120"/>
    </w:pPr>
    <w:rPr>
      <w:rFonts w:cs="Arial"/>
      <w:i/>
      <w:iCs/>
      <w:sz w:val="24"/>
      <w:szCs w:val="24"/>
    </w:rPr>
  </w:style>
  <w:style w:type="paragraph" w:styleId="Style15">
    <w:name w:val="Ευρετήριο"/>
    <w:basedOn w:val="Normal"/>
    <w:qFormat/>
    <w:pPr>
      <w:suppressLineNumbers/>
    </w:pPr>
    <w:rPr>
      <w:rFonts w:cs="Arial"/>
    </w:rPr>
  </w:style>
  <w:style w:type="paragraph" w:styleId="BodyText3">
    <w:name w:val="Body Text 3"/>
    <w:basedOn w:val="Normal"/>
    <w:link w:val="BodyText3Char"/>
    <w:qFormat/>
    <w:rsid w:val="000a50e6"/>
    <w:pPr>
      <w:jc w:val="both"/>
    </w:pPr>
    <w:rPr/>
  </w:style>
  <w:style w:type="paragraph" w:styleId="Style16">
    <w:name w:val="Κεφαλίδα και υποσέλιδο"/>
    <w:basedOn w:val="Normal"/>
    <w:qFormat/>
    <w:pPr/>
    <w:rPr/>
  </w:style>
  <w:style w:type="paragraph" w:styleId="Style17">
    <w:name w:val="Footer"/>
    <w:basedOn w:val="Normal"/>
    <w:link w:val="FooterChar"/>
    <w:uiPriority w:val="99"/>
    <w:rsid w:val="000a50e6"/>
    <w:pPr>
      <w:tabs>
        <w:tab w:val="clear" w:pos="720"/>
        <w:tab w:val="center" w:pos="4320" w:leader="none"/>
        <w:tab w:val="right" w:pos="8640" w:leader="none"/>
      </w:tabs>
    </w:pPr>
    <w:rPr>
      <w:sz w:val="22"/>
      <w:szCs w:val="22"/>
    </w:rPr>
  </w:style>
  <w:style w:type="paragraph" w:styleId="Style18">
    <w:name w:val="Header"/>
    <w:basedOn w:val="Normal"/>
    <w:link w:val="HeaderChar"/>
    <w:uiPriority w:val="99"/>
    <w:rsid w:val="000a50e6"/>
    <w:pPr>
      <w:tabs>
        <w:tab w:val="clear" w:pos="720"/>
        <w:tab w:val="center" w:pos="4153" w:leader="none"/>
        <w:tab w:val="right" w:pos="8306" w:leader="none"/>
      </w:tabs>
    </w:pPr>
    <w:rPr/>
  </w:style>
  <w:style w:type="paragraph" w:styleId="Style19">
    <w:name w:val="Body Text Indent"/>
    <w:basedOn w:val="Normal"/>
    <w:link w:val="BodyTextIndentChar"/>
    <w:rsid w:val="000a50e6"/>
    <w:pPr>
      <w:jc w:val="both"/>
    </w:pPr>
    <w:rPr>
      <w:rFonts w:ascii="Arial" w:hAnsi="Arial" w:cs="Arial"/>
      <w:sz w:val="22"/>
      <w:szCs w:val="22"/>
      <w:u w:val="single"/>
    </w:rPr>
  </w:style>
  <w:style w:type="paragraph" w:styleId="BodyTextIndent2">
    <w:name w:val="Body Text Indent 2"/>
    <w:basedOn w:val="Normal"/>
    <w:qFormat/>
    <w:rsid w:val="000a50e6"/>
    <w:pPr>
      <w:ind w:left="360" w:hanging="0"/>
      <w:jc w:val="both"/>
    </w:pPr>
    <w:rPr/>
  </w:style>
  <w:style w:type="paragraph" w:styleId="Font5" w:customStyle="1">
    <w:name w:val="font5"/>
    <w:basedOn w:val="Normal"/>
    <w:qFormat/>
    <w:rsid w:val="000a50e6"/>
    <w:pPr>
      <w:spacing w:beforeAutospacing="1" w:afterAutospacing="1"/>
    </w:pPr>
    <w:rPr>
      <w:b/>
      <w:bCs/>
      <w:sz w:val="22"/>
      <w:szCs w:val="22"/>
    </w:rPr>
  </w:style>
  <w:style w:type="paragraph" w:styleId="Font6" w:customStyle="1">
    <w:name w:val="font6"/>
    <w:basedOn w:val="Normal"/>
    <w:qFormat/>
    <w:rsid w:val="000a50e6"/>
    <w:pPr>
      <w:spacing w:beforeAutospacing="1" w:afterAutospacing="1"/>
    </w:pPr>
    <w:rPr>
      <w:b/>
      <w:bCs/>
      <w:sz w:val="22"/>
      <w:szCs w:val="22"/>
    </w:rPr>
  </w:style>
  <w:style w:type="paragraph" w:styleId="Xl24" w:customStyle="1">
    <w:name w:val="xl24"/>
    <w:basedOn w:val="Normal"/>
    <w:qFormat/>
    <w:rsid w:val="000a50e6"/>
    <w:pPr>
      <w:spacing w:beforeAutospacing="1" w:afterAutospacing="1"/>
    </w:pPr>
    <w:rPr>
      <w:sz w:val="22"/>
      <w:szCs w:val="22"/>
    </w:rPr>
  </w:style>
  <w:style w:type="paragraph" w:styleId="Xl25" w:customStyle="1">
    <w:name w:val="xl25"/>
    <w:basedOn w:val="Normal"/>
    <w:qFormat/>
    <w:rsid w:val="000a50e6"/>
    <w:pPr>
      <w:pBdr>
        <w:bottom w:val="single" w:sz="4" w:space="0" w:color="000000"/>
      </w:pBdr>
      <w:spacing w:beforeAutospacing="1" w:afterAutospacing="1"/>
    </w:pPr>
    <w:rPr>
      <w:sz w:val="22"/>
      <w:szCs w:val="22"/>
    </w:rPr>
  </w:style>
  <w:style w:type="paragraph" w:styleId="Xl26" w:customStyle="1">
    <w:name w:val="xl26"/>
    <w:basedOn w:val="Normal"/>
    <w:qFormat/>
    <w:rsid w:val="000a50e6"/>
    <w:pPr>
      <w:pBdr>
        <w:bottom w:val="single" w:sz="4" w:space="0" w:color="000000"/>
      </w:pBdr>
      <w:spacing w:beforeAutospacing="1" w:afterAutospacing="1"/>
    </w:pPr>
    <w:rPr>
      <w:sz w:val="22"/>
      <w:szCs w:val="22"/>
    </w:rPr>
  </w:style>
  <w:style w:type="paragraph" w:styleId="Xl27" w:customStyle="1">
    <w:name w:val="xl27"/>
    <w:basedOn w:val="Normal"/>
    <w:qFormat/>
    <w:rsid w:val="000a50e6"/>
    <w:pPr>
      <w:pBdr>
        <w:bottom w:val="single" w:sz="4" w:space="0" w:color="000000"/>
      </w:pBdr>
      <w:spacing w:beforeAutospacing="1" w:afterAutospacing="1"/>
      <w:jc w:val="center"/>
    </w:pPr>
    <w:rPr>
      <w:sz w:val="22"/>
      <w:szCs w:val="22"/>
    </w:rPr>
  </w:style>
  <w:style w:type="paragraph" w:styleId="Xl28" w:customStyle="1">
    <w:name w:val="xl28"/>
    <w:basedOn w:val="Normal"/>
    <w:qFormat/>
    <w:rsid w:val="000a50e6"/>
    <w:pPr>
      <w:spacing w:beforeAutospacing="1" w:afterAutospacing="1"/>
      <w:textAlignment w:val="top"/>
    </w:pPr>
    <w:rPr>
      <w:sz w:val="22"/>
      <w:szCs w:val="22"/>
    </w:rPr>
  </w:style>
  <w:style w:type="paragraph" w:styleId="Xl29" w:customStyle="1">
    <w:name w:val="xl29"/>
    <w:basedOn w:val="Normal"/>
    <w:qFormat/>
    <w:rsid w:val="000a50e6"/>
    <w:pPr>
      <w:spacing w:beforeAutospacing="1" w:afterAutospacing="1"/>
      <w:textAlignment w:val="top"/>
    </w:pPr>
    <w:rPr>
      <w:sz w:val="22"/>
      <w:szCs w:val="22"/>
    </w:rPr>
  </w:style>
  <w:style w:type="paragraph" w:styleId="Xl30" w:customStyle="1">
    <w:name w:val="xl30"/>
    <w:basedOn w:val="Normal"/>
    <w:qFormat/>
    <w:rsid w:val="000a50e6"/>
    <w:pPr>
      <w:spacing w:beforeAutospacing="1" w:afterAutospacing="1"/>
      <w:textAlignment w:val="top"/>
    </w:pPr>
    <w:rPr>
      <w:sz w:val="22"/>
      <w:szCs w:val="22"/>
    </w:rPr>
  </w:style>
  <w:style w:type="paragraph" w:styleId="Xl31" w:customStyle="1">
    <w:name w:val="xl31"/>
    <w:basedOn w:val="Normal"/>
    <w:qFormat/>
    <w:rsid w:val="000a50e6"/>
    <w:pPr>
      <w:spacing w:beforeAutospacing="1" w:afterAutospacing="1"/>
      <w:textAlignment w:val="top"/>
    </w:pPr>
    <w:rPr>
      <w:sz w:val="22"/>
      <w:szCs w:val="22"/>
    </w:rPr>
  </w:style>
  <w:style w:type="paragraph" w:styleId="Xl32" w:customStyle="1">
    <w:name w:val="xl32"/>
    <w:basedOn w:val="Normal"/>
    <w:qFormat/>
    <w:rsid w:val="000a50e6"/>
    <w:pPr>
      <w:spacing w:beforeAutospacing="1" w:afterAutospacing="1"/>
      <w:textAlignment w:val="top"/>
    </w:pPr>
    <w:rPr>
      <w:sz w:val="22"/>
      <w:szCs w:val="22"/>
    </w:rPr>
  </w:style>
  <w:style w:type="paragraph" w:styleId="Xl33" w:customStyle="1">
    <w:name w:val="xl33"/>
    <w:basedOn w:val="Normal"/>
    <w:qFormat/>
    <w:rsid w:val="000a50e6"/>
    <w:pPr>
      <w:spacing w:beforeAutospacing="1" w:afterAutospacing="1"/>
      <w:textAlignment w:val="top"/>
    </w:pPr>
    <w:rPr>
      <w:sz w:val="22"/>
      <w:szCs w:val="22"/>
    </w:rPr>
  </w:style>
  <w:style w:type="paragraph" w:styleId="Xl34" w:customStyle="1">
    <w:name w:val="xl34"/>
    <w:basedOn w:val="Normal"/>
    <w:qFormat/>
    <w:rsid w:val="000a50e6"/>
    <w:pPr>
      <w:spacing w:beforeAutospacing="1" w:afterAutospacing="1"/>
    </w:pPr>
    <w:rPr>
      <w:sz w:val="22"/>
      <w:szCs w:val="22"/>
    </w:rPr>
  </w:style>
  <w:style w:type="paragraph" w:styleId="Xl35" w:customStyle="1">
    <w:name w:val="xl35"/>
    <w:basedOn w:val="Normal"/>
    <w:qFormat/>
    <w:rsid w:val="000a50e6"/>
    <w:pPr>
      <w:spacing w:beforeAutospacing="1" w:afterAutospacing="1"/>
      <w:textAlignment w:val="top"/>
    </w:pPr>
    <w:rPr>
      <w:b/>
      <w:bCs/>
      <w:sz w:val="22"/>
      <w:szCs w:val="22"/>
    </w:rPr>
  </w:style>
  <w:style w:type="paragraph" w:styleId="Xl36" w:customStyle="1">
    <w:name w:val="xl36"/>
    <w:basedOn w:val="Normal"/>
    <w:qFormat/>
    <w:rsid w:val="000a50e6"/>
    <w:pPr>
      <w:spacing w:beforeAutospacing="1" w:afterAutospacing="1"/>
      <w:jc w:val="center"/>
      <w:textAlignment w:val="top"/>
    </w:pPr>
    <w:rPr>
      <w:sz w:val="22"/>
      <w:szCs w:val="22"/>
    </w:rPr>
  </w:style>
  <w:style w:type="paragraph" w:styleId="Xl37" w:customStyle="1">
    <w:name w:val="xl37"/>
    <w:basedOn w:val="Normal"/>
    <w:qFormat/>
    <w:rsid w:val="000a50e6"/>
    <w:pPr>
      <w:spacing w:beforeAutospacing="1" w:afterAutospacing="1"/>
      <w:jc w:val="center"/>
      <w:textAlignment w:val="top"/>
    </w:pPr>
    <w:rPr>
      <w:sz w:val="22"/>
      <w:szCs w:val="22"/>
    </w:rPr>
  </w:style>
  <w:style w:type="paragraph" w:styleId="Xl38" w:customStyle="1">
    <w:name w:val="xl38"/>
    <w:basedOn w:val="Normal"/>
    <w:qFormat/>
    <w:rsid w:val="000a50e6"/>
    <w:pPr>
      <w:spacing w:beforeAutospacing="1" w:afterAutospacing="1"/>
      <w:jc w:val="center"/>
      <w:textAlignment w:val="top"/>
    </w:pPr>
    <w:rPr>
      <w:sz w:val="22"/>
      <w:szCs w:val="22"/>
    </w:rPr>
  </w:style>
  <w:style w:type="paragraph" w:styleId="Xl39" w:customStyle="1">
    <w:name w:val="xl39"/>
    <w:basedOn w:val="Normal"/>
    <w:qFormat/>
    <w:rsid w:val="000a50e6"/>
    <w:pPr>
      <w:pBdr>
        <w:right w:val="single" w:sz="4" w:space="0" w:color="000000"/>
      </w:pBdr>
      <w:spacing w:beforeAutospacing="1" w:afterAutospacing="1"/>
      <w:jc w:val="center"/>
      <w:textAlignment w:val="top"/>
    </w:pPr>
    <w:rPr>
      <w:sz w:val="22"/>
      <w:szCs w:val="22"/>
    </w:rPr>
  </w:style>
  <w:style w:type="paragraph" w:styleId="Xl40" w:customStyle="1">
    <w:name w:val="xl40"/>
    <w:basedOn w:val="Normal"/>
    <w:qFormat/>
    <w:rsid w:val="000a50e6"/>
    <w:pPr>
      <w:spacing w:beforeAutospacing="1" w:afterAutospacing="1"/>
      <w:jc w:val="center"/>
      <w:textAlignment w:val="top"/>
    </w:pPr>
    <w:rPr>
      <w:color w:val="000000"/>
      <w:sz w:val="22"/>
      <w:szCs w:val="22"/>
    </w:rPr>
  </w:style>
  <w:style w:type="paragraph" w:styleId="Xl41" w:customStyle="1">
    <w:name w:val="xl41"/>
    <w:basedOn w:val="Normal"/>
    <w:qFormat/>
    <w:rsid w:val="000a50e6"/>
    <w:pPr>
      <w:spacing w:beforeAutospacing="1" w:afterAutospacing="1"/>
      <w:textAlignment w:val="top"/>
    </w:pPr>
    <w:rPr>
      <w:sz w:val="22"/>
      <w:szCs w:val="22"/>
    </w:rPr>
  </w:style>
  <w:style w:type="paragraph" w:styleId="Xl42" w:customStyle="1">
    <w:name w:val="xl42"/>
    <w:basedOn w:val="Normal"/>
    <w:qFormat/>
    <w:rsid w:val="000a50e6"/>
    <w:pPr>
      <w:spacing w:beforeAutospacing="1" w:afterAutospacing="1"/>
    </w:pPr>
    <w:rPr>
      <w:sz w:val="22"/>
      <w:szCs w:val="22"/>
    </w:rPr>
  </w:style>
  <w:style w:type="paragraph" w:styleId="Xl43" w:customStyle="1">
    <w:name w:val="xl43"/>
    <w:basedOn w:val="Normal"/>
    <w:qFormat/>
    <w:rsid w:val="000a50e6"/>
    <w:pPr>
      <w:pBdr>
        <w:top w:val="single" w:sz="4" w:space="0" w:color="000000"/>
        <w:bottom w:val="single" w:sz="4" w:space="0" w:color="000000"/>
      </w:pBdr>
      <w:spacing w:beforeAutospacing="1" w:afterAutospacing="1"/>
    </w:pPr>
    <w:rPr>
      <w:sz w:val="22"/>
      <w:szCs w:val="22"/>
    </w:rPr>
  </w:style>
  <w:style w:type="paragraph" w:styleId="Xl44" w:customStyle="1">
    <w:name w:val="xl44"/>
    <w:basedOn w:val="Normal"/>
    <w:qFormat/>
    <w:rsid w:val="000a50e6"/>
    <w:pPr>
      <w:pBdr>
        <w:top w:val="single" w:sz="4" w:space="0" w:color="000000"/>
        <w:bottom w:val="single" w:sz="4" w:space="0" w:color="000000"/>
      </w:pBdr>
      <w:spacing w:beforeAutospacing="1" w:afterAutospacing="1"/>
    </w:pPr>
    <w:rPr>
      <w:sz w:val="22"/>
      <w:szCs w:val="22"/>
    </w:rPr>
  </w:style>
  <w:style w:type="paragraph" w:styleId="Xl45" w:customStyle="1">
    <w:name w:val="xl45"/>
    <w:basedOn w:val="Normal"/>
    <w:qFormat/>
    <w:rsid w:val="000a50e6"/>
    <w:pPr>
      <w:pBdr>
        <w:right w:val="single" w:sz="4" w:space="0" w:color="000000"/>
      </w:pBdr>
      <w:spacing w:beforeAutospacing="1" w:afterAutospacing="1"/>
    </w:pPr>
    <w:rPr>
      <w:sz w:val="22"/>
      <w:szCs w:val="22"/>
    </w:rPr>
  </w:style>
  <w:style w:type="paragraph" w:styleId="Xl46" w:customStyle="1">
    <w:name w:val="xl46"/>
    <w:basedOn w:val="Normal"/>
    <w:qFormat/>
    <w:rsid w:val="000a50e6"/>
    <w:pPr>
      <w:spacing w:beforeAutospacing="1" w:afterAutospacing="1"/>
      <w:jc w:val="center"/>
    </w:pPr>
    <w:rPr>
      <w:sz w:val="22"/>
      <w:szCs w:val="22"/>
    </w:rPr>
  </w:style>
  <w:style w:type="paragraph" w:styleId="Xl47" w:customStyle="1">
    <w:name w:val="xl47"/>
    <w:basedOn w:val="Normal"/>
    <w:qFormat/>
    <w:rsid w:val="000a50e6"/>
    <w:pPr>
      <w:pBdr>
        <w:left w:val="single" w:sz="4" w:space="0" w:color="000000"/>
      </w:pBdr>
      <w:spacing w:beforeAutospacing="1" w:afterAutospacing="1"/>
      <w:textAlignment w:val="top"/>
    </w:pPr>
    <w:rPr>
      <w:b/>
      <w:bCs/>
      <w:sz w:val="22"/>
      <w:szCs w:val="22"/>
    </w:rPr>
  </w:style>
  <w:style w:type="paragraph" w:styleId="Xl48" w:customStyle="1">
    <w:name w:val="xl48"/>
    <w:basedOn w:val="Normal"/>
    <w:qFormat/>
    <w:rsid w:val="000a50e6"/>
    <w:pPr>
      <w:pBdr>
        <w:left w:val="single" w:sz="4" w:space="0" w:color="000000"/>
      </w:pBdr>
      <w:spacing w:beforeAutospacing="1" w:afterAutospacing="1"/>
      <w:textAlignment w:val="top"/>
    </w:pPr>
    <w:rPr>
      <w:sz w:val="22"/>
      <w:szCs w:val="22"/>
    </w:rPr>
  </w:style>
  <w:style w:type="paragraph" w:styleId="Xl49" w:customStyle="1">
    <w:name w:val="xl49"/>
    <w:basedOn w:val="Normal"/>
    <w:qFormat/>
    <w:rsid w:val="000a50e6"/>
    <w:pPr>
      <w:pBdr>
        <w:top w:val="single" w:sz="4" w:space="0" w:color="000000"/>
        <w:left w:val="single" w:sz="4" w:space="0" w:color="000000"/>
        <w:bottom w:val="single" w:sz="4" w:space="0" w:color="000000"/>
      </w:pBdr>
      <w:spacing w:beforeAutospacing="1" w:afterAutospacing="1"/>
    </w:pPr>
    <w:rPr>
      <w:b/>
      <w:bCs/>
      <w:sz w:val="22"/>
      <w:szCs w:val="22"/>
    </w:rPr>
  </w:style>
  <w:style w:type="paragraph" w:styleId="Xl50" w:customStyle="1">
    <w:name w:val="xl50"/>
    <w:basedOn w:val="Normal"/>
    <w:qFormat/>
    <w:rsid w:val="000a50e6"/>
    <w:pPr>
      <w:pBdr>
        <w:top w:val="single" w:sz="4" w:space="0" w:color="000000"/>
        <w:left w:val="single" w:sz="4" w:space="0" w:color="000000"/>
        <w:bottom w:val="single" w:sz="4" w:space="0" w:color="000000"/>
      </w:pBdr>
      <w:spacing w:beforeAutospacing="1" w:afterAutospacing="1"/>
      <w:textAlignment w:val="center"/>
    </w:pPr>
    <w:rPr>
      <w:b/>
      <w:bCs/>
      <w:sz w:val="22"/>
      <w:szCs w:val="22"/>
    </w:rPr>
  </w:style>
  <w:style w:type="paragraph" w:styleId="Xl51" w:customStyle="1">
    <w:name w:val="xl51"/>
    <w:basedOn w:val="Normal"/>
    <w:qFormat/>
    <w:rsid w:val="000a50e6"/>
    <w:pPr>
      <w:pBdr>
        <w:top w:val="single" w:sz="4" w:space="0" w:color="000000"/>
        <w:bottom w:val="single" w:sz="4" w:space="0" w:color="000000"/>
      </w:pBdr>
      <w:spacing w:beforeAutospacing="1" w:afterAutospacing="1"/>
      <w:jc w:val="center"/>
      <w:textAlignment w:val="center"/>
    </w:pPr>
    <w:rPr>
      <w:color w:val="000000"/>
      <w:sz w:val="22"/>
      <w:szCs w:val="22"/>
    </w:rPr>
  </w:style>
  <w:style w:type="paragraph" w:styleId="Xl52" w:customStyle="1">
    <w:name w:val="xl52"/>
    <w:basedOn w:val="Normal"/>
    <w:qFormat/>
    <w:rsid w:val="000a50e6"/>
    <w:pPr>
      <w:pBdr>
        <w:top w:val="single" w:sz="4" w:space="0" w:color="000000"/>
        <w:bottom w:val="single" w:sz="4" w:space="0" w:color="000000"/>
      </w:pBdr>
      <w:spacing w:beforeAutospacing="1" w:afterAutospacing="1"/>
      <w:jc w:val="center"/>
      <w:textAlignment w:val="center"/>
    </w:pPr>
    <w:rPr>
      <w:sz w:val="22"/>
      <w:szCs w:val="22"/>
    </w:rPr>
  </w:style>
  <w:style w:type="paragraph" w:styleId="Xl53" w:customStyle="1">
    <w:name w:val="xl53"/>
    <w:basedOn w:val="Normal"/>
    <w:qFormat/>
    <w:rsid w:val="000a50e6"/>
    <w:pPr>
      <w:pBdr>
        <w:top w:val="single" w:sz="4" w:space="0" w:color="000000"/>
        <w:bottom w:val="single" w:sz="4" w:space="0" w:color="000000"/>
        <w:right w:val="single" w:sz="4" w:space="0" w:color="000000"/>
      </w:pBdr>
      <w:spacing w:beforeAutospacing="1" w:afterAutospacing="1"/>
      <w:jc w:val="center"/>
      <w:textAlignment w:val="center"/>
    </w:pPr>
    <w:rPr>
      <w:sz w:val="22"/>
      <w:szCs w:val="22"/>
    </w:rPr>
  </w:style>
  <w:style w:type="paragraph" w:styleId="Xl54" w:customStyle="1">
    <w:name w:val="xl54"/>
    <w:basedOn w:val="Normal"/>
    <w:qFormat/>
    <w:rsid w:val="000a50e6"/>
    <w:pPr>
      <w:pBdr>
        <w:top w:val="single" w:sz="4" w:space="0" w:color="000000"/>
        <w:bottom w:val="single" w:sz="4" w:space="0" w:color="000000"/>
      </w:pBdr>
      <w:spacing w:beforeAutospacing="1" w:afterAutospacing="1"/>
      <w:jc w:val="center"/>
    </w:pPr>
    <w:rPr>
      <w:sz w:val="22"/>
      <w:szCs w:val="22"/>
    </w:rPr>
  </w:style>
  <w:style w:type="paragraph" w:styleId="Xl55" w:customStyle="1">
    <w:name w:val="xl55"/>
    <w:basedOn w:val="Normal"/>
    <w:qFormat/>
    <w:rsid w:val="000a50e6"/>
    <w:pPr>
      <w:pBdr>
        <w:top w:val="single" w:sz="4" w:space="0" w:color="000000"/>
      </w:pBdr>
      <w:spacing w:beforeAutospacing="1" w:afterAutospacing="1"/>
      <w:jc w:val="center"/>
      <w:textAlignment w:val="top"/>
    </w:pPr>
    <w:rPr>
      <w:color w:val="000000"/>
      <w:sz w:val="22"/>
      <w:szCs w:val="22"/>
    </w:rPr>
  </w:style>
  <w:style w:type="paragraph" w:styleId="Xl56" w:customStyle="1">
    <w:name w:val="xl56"/>
    <w:basedOn w:val="Normal"/>
    <w:qFormat/>
    <w:rsid w:val="000a50e6"/>
    <w:pPr>
      <w:pBdr>
        <w:top w:val="single" w:sz="4" w:space="0" w:color="000000"/>
        <w:bottom w:val="single" w:sz="4" w:space="0" w:color="000000"/>
      </w:pBdr>
      <w:spacing w:beforeAutospacing="1" w:afterAutospacing="1"/>
      <w:jc w:val="center"/>
      <w:textAlignment w:val="center"/>
    </w:pPr>
    <w:rPr>
      <w:sz w:val="22"/>
      <w:szCs w:val="22"/>
    </w:rPr>
  </w:style>
  <w:style w:type="paragraph" w:styleId="Xl57" w:customStyle="1">
    <w:name w:val="xl57"/>
    <w:basedOn w:val="Normal"/>
    <w:qFormat/>
    <w:rsid w:val="000a50e6"/>
    <w:pPr>
      <w:pBdr>
        <w:top w:val="single" w:sz="4" w:space="0" w:color="000000"/>
        <w:bottom w:val="single" w:sz="4" w:space="0" w:color="000000"/>
        <w:right w:val="single" w:sz="4" w:space="0" w:color="000000"/>
      </w:pBdr>
      <w:spacing w:beforeAutospacing="1" w:afterAutospacing="1"/>
      <w:jc w:val="center"/>
    </w:pPr>
    <w:rPr>
      <w:sz w:val="22"/>
      <w:szCs w:val="22"/>
    </w:rPr>
  </w:style>
  <w:style w:type="paragraph" w:styleId="Xl58" w:customStyle="1">
    <w:name w:val="xl58"/>
    <w:basedOn w:val="Normal"/>
    <w:qFormat/>
    <w:rsid w:val="000a50e6"/>
    <w:pPr>
      <w:pBdr>
        <w:left w:val="single" w:sz="4" w:space="0" w:color="000000"/>
      </w:pBdr>
      <w:spacing w:beforeAutospacing="1" w:afterAutospacing="1"/>
    </w:pPr>
    <w:rPr>
      <w:sz w:val="22"/>
      <w:szCs w:val="22"/>
    </w:rPr>
  </w:style>
  <w:style w:type="paragraph" w:styleId="Xl59" w:customStyle="1">
    <w:name w:val="xl59"/>
    <w:basedOn w:val="Normal"/>
    <w:qFormat/>
    <w:rsid w:val="000a50e6"/>
    <w:pPr>
      <w:spacing w:beforeAutospacing="1" w:afterAutospacing="1"/>
      <w:textAlignment w:val="top"/>
    </w:pPr>
    <w:rPr>
      <w:sz w:val="22"/>
      <w:szCs w:val="22"/>
    </w:rPr>
  </w:style>
  <w:style w:type="paragraph" w:styleId="Xl60" w:customStyle="1">
    <w:name w:val="xl60"/>
    <w:basedOn w:val="Normal"/>
    <w:qFormat/>
    <w:rsid w:val="000a50e6"/>
    <w:pPr>
      <w:spacing w:beforeAutospacing="1" w:afterAutospacing="1"/>
      <w:jc w:val="center"/>
    </w:pPr>
    <w:rPr>
      <w:sz w:val="22"/>
      <w:szCs w:val="22"/>
    </w:rPr>
  </w:style>
  <w:style w:type="paragraph" w:styleId="Xl61" w:customStyle="1">
    <w:name w:val="xl61"/>
    <w:basedOn w:val="Normal"/>
    <w:qFormat/>
    <w:rsid w:val="000a50e6"/>
    <w:pPr>
      <w:pBdr>
        <w:top w:val="single" w:sz="4" w:space="0" w:color="000000"/>
        <w:bottom w:val="single" w:sz="4" w:space="0" w:color="000000"/>
      </w:pBdr>
      <w:spacing w:beforeAutospacing="1" w:afterAutospacing="1"/>
      <w:jc w:val="center"/>
      <w:textAlignment w:val="center"/>
    </w:pPr>
    <w:rPr>
      <w:sz w:val="22"/>
      <w:szCs w:val="22"/>
    </w:rPr>
  </w:style>
  <w:style w:type="paragraph" w:styleId="Xl62" w:customStyle="1">
    <w:name w:val="xl62"/>
    <w:basedOn w:val="Normal"/>
    <w:qFormat/>
    <w:rsid w:val="000a50e6"/>
    <w:pPr>
      <w:spacing w:beforeAutospacing="1" w:afterAutospacing="1"/>
      <w:jc w:val="center"/>
    </w:pPr>
    <w:rPr>
      <w:sz w:val="22"/>
      <w:szCs w:val="22"/>
    </w:rPr>
  </w:style>
  <w:style w:type="paragraph" w:styleId="Xl63" w:customStyle="1">
    <w:name w:val="xl63"/>
    <w:basedOn w:val="Normal"/>
    <w:qFormat/>
    <w:rsid w:val="000a50e6"/>
    <w:pPr>
      <w:pBdr>
        <w:right w:val="single" w:sz="4" w:space="0" w:color="000000"/>
      </w:pBdr>
      <w:spacing w:beforeAutospacing="1" w:afterAutospacing="1"/>
      <w:jc w:val="center"/>
    </w:pPr>
    <w:rPr>
      <w:sz w:val="22"/>
      <w:szCs w:val="22"/>
    </w:rPr>
  </w:style>
  <w:style w:type="paragraph" w:styleId="Xl64" w:customStyle="1">
    <w:name w:val="xl64"/>
    <w:basedOn w:val="Normal"/>
    <w:qFormat/>
    <w:rsid w:val="000a50e6"/>
    <w:pPr>
      <w:pBdr>
        <w:top w:val="single" w:sz="4" w:space="0" w:color="000000"/>
        <w:bottom w:val="single" w:sz="4" w:space="0" w:color="000000"/>
      </w:pBdr>
      <w:spacing w:beforeAutospacing="1" w:afterAutospacing="1"/>
      <w:jc w:val="center"/>
      <w:textAlignment w:val="center"/>
    </w:pPr>
    <w:rPr>
      <w:color w:val="000000"/>
      <w:sz w:val="22"/>
      <w:szCs w:val="22"/>
    </w:rPr>
  </w:style>
  <w:style w:type="paragraph" w:styleId="Xl65" w:customStyle="1">
    <w:name w:val="xl65"/>
    <w:basedOn w:val="Normal"/>
    <w:qFormat/>
    <w:rsid w:val="000a50e6"/>
    <w:pPr>
      <w:spacing w:beforeAutospacing="1" w:afterAutospacing="1"/>
      <w:jc w:val="right"/>
      <w:textAlignment w:val="top"/>
    </w:pPr>
    <w:rPr>
      <w:sz w:val="22"/>
      <w:szCs w:val="22"/>
    </w:rPr>
  </w:style>
  <w:style w:type="paragraph" w:styleId="Xl66" w:customStyle="1">
    <w:name w:val="xl66"/>
    <w:basedOn w:val="Normal"/>
    <w:qFormat/>
    <w:rsid w:val="000a50e6"/>
    <w:pPr>
      <w:spacing w:beforeAutospacing="1" w:afterAutospacing="1"/>
      <w:textAlignment w:val="top"/>
    </w:pPr>
    <w:rPr>
      <w:sz w:val="22"/>
      <w:szCs w:val="22"/>
    </w:rPr>
  </w:style>
  <w:style w:type="paragraph" w:styleId="Xl67" w:customStyle="1">
    <w:name w:val="xl67"/>
    <w:basedOn w:val="Normal"/>
    <w:qFormat/>
    <w:rsid w:val="000a50e6"/>
    <w:pPr>
      <w:pBdr>
        <w:top w:val="single" w:sz="4" w:space="0" w:color="000000"/>
        <w:left w:val="single" w:sz="4" w:space="0" w:color="000000"/>
        <w:bottom w:val="single" w:sz="4" w:space="0" w:color="000000"/>
      </w:pBdr>
      <w:spacing w:beforeAutospacing="1" w:afterAutospacing="1"/>
      <w:jc w:val="center"/>
    </w:pPr>
    <w:rPr>
      <w:sz w:val="22"/>
      <w:szCs w:val="22"/>
    </w:rPr>
  </w:style>
  <w:style w:type="paragraph" w:styleId="Xl68" w:customStyle="1">
    <w:name w:val="xl68"/>
    <w:basedOn w:val="Normal"/>
    <w:qFormat/>
    <w:rsid w:val="000a50e6"/>
    <w:pPr>
      <w:pBdr>
        <w:bottom w:val="single" w:sz="4" w:space="0" w:color="000000"/>
      </w:pBdr>
      <w:spacing w:beforeAutospacing="1" w:afterAutospacing="1"/>
      <w:jc w:val="right"/>
    </w:pPr>
    <w:rPr>
      <w:b/>
      <w:bCs/>
      <w:sz w:val="22"/>
      <w:szCs w:val="22"/>
    </w:rPr>
  </w:style>
  <w:style w:type="paragraph" w:styleId="Xl69" w:customStyle="1">
    <w:name w:val="xl69"/>
    <w:basedOn w:val="Normal"/>
    <w:qFormat/>
    <w:rsid w:val="000a50e6"/>
    <w:pPr>
      <w:spacing w:beforeAutospacing="1" w:afterAutospacing="1"/>
      <w:jc w:val="center"/>
    </w:pPr>
    <w:rPr>
      <w:b/>
      <w:bCs/>
    </w:rPr>
  </w:style>
  <w:style w:type="paragraph" w:styleId="Xl70" w:customStyle="1">
    <w:name w:val="xl70"/>
    <w:basedOn w:val="Normal"/>
    <w:qFormat/>
    <w:rsid w:val="000a50e6"/>
    <w:pPr>
      <w:pBdr>
        <w:left w:val="single" w:sz="4" w:space="0" w:color="000000"/>
      </w:pBdr>
      <w:spacing w:beforeAutospacing="1" w:afterAutospacing="1"/>
      <w:jc w:val="center"/>
      <w:textAlignment w:val="top"/>
    </w:pPr>
    <w:rPr>
      <w:color w:val="000000"/>
      <w:sz w:val="22"/>
      <w:szCs w:val="22"/>
    </w:rPr>
  </w:style>
  <w:style w:type="paragraph" w:styleId="Xl71" w:customStyle="1">
    <w:name w:val="xl71"/>
    <w:basedOn w:val="Normal"/>
    <w:qFormat/>
    <w:rsid w:val="000a50e6"/>
    <w:pPr>
      <w:pBdr>
        <w:top w:val="single" w:sz="4" w:space="0" w:color="000000"/>
        <w:left w:val="single" w:sz="4" w:space="0" w:color="000000"/>
        <w:bottom w:val="single" w:sz="4" w:space="0" w:color="000000"/>
      </w:pBdr>
      <w:spacing w:beforeAutospacing="1" w:afterAutospacing="1"/>
      <w:jc w:val="center"/>
      <w:textAlignment w:val="center"/>
    </w:pPr>
    <w:rPr>
      <w:color w:val="000000"/>
      <w:sz w:val="22"/>
      <w:szCs w:val="22"/>
    </w:rPr>
  </w:style>
  <w:style w:type="paragraph" w:styleId="Xl72" w:customStyle="1">
    <w:name w:val="xl72"/>
    <w:basedOn w:val="Normal"/>
    <w:qFormat/>
    <w:rsid w:val="000a50e6"/>
    <w:pPr>
      <w:pBdr>
        <w:left w:val="single" w:sz="4" w:space="0" w:color="000000"/>
      </w:pBdr>
      <w:spacing w:beforeAutospacing="1" w:afterAutospacing="1"/>
      <w:jc w:val="center"/>
    </w:pPr>
    <w:rPr>
      <w:sz w:val="22"/>
      <w:szCs w:val="22"/>
    </w:rPr>
  </w:style>
  <w:style w:type="paragraph" w:styleId="Xl73" w:customStyle="1">
    <w:name w:val="xl73"/>
    <w:basedOn w:val="Normal"/>
    <w:qFormat/>
    <w:rsid w:val="000a50e6"/>
    <w:pPr>
      <w:spacing w:beforeAutospacing="1" w:afterAutospacing="1"/>
      <w:jc w:val="both"/>
      <w:textAlignment w:val="top"/>
    </w:pPr>
    <w:rPr>
      <w:sz w:val="22"/>
      <w:szCs w:val="22"/>
    </w:rPr>
  </w:style>
  <w:style w:type="paragraph" w:styleId="Caption">
    <w:name w:val="caption"/>
    <w:basedOn w:val="Normal"/>
    <w:next w:val="Normal"/>
    <w:qFormat/>
    <w:rsid w:val="000a50e6"/>
    <w:pPr>
      <w:ind w:left="-540" w:right="-622" w:hanging="0"/>
      <w:jc w:val="center"/>
    </w:pPr>
    <w:rPr>
      <w:b/>
      <w:bCs/>
    </w:rPr>
  </w:style>
  <w:style w:type="paragraph" w:styleId="Style20">
    <w:name w:val="Title"/>
    <w:basedOn w:val="Normal"/>
    <w:qFormat/>
    <w:rsid w:val="000a50e6"/>
    <w:pPr>
      <w:keepNext w:val="true"/>
      <w:spacing w:before="0" w:after="240"/>
      <w:jc w:val="center"/>
    </w:pPr>
    <w:rPr>
      <w:rFonts w:ascii="Times New Roman Bold" w:hAnsi="Times New Roman Bold"/>
      <w:b/>
      <w:bCs/>
      <w:caps/>
      <w:sz w:val="20"/>
      <w:szCs w:val="20"/>
    </w:rPr>
  </w:style>
  <w:style w:type="paragraph" w:styleId="Bodytext" w:customStyle="1">
    <w:name w:val="bodytext"/>
    <w:basedOn w:val="Normal"/>
    <w:qFormat/>
    <w:rsid w:val="000a50e6"/>
    <w:pPr>
      <w:jc w:val="both"/>
    </w:pPr>
    <w:rPr>
      <w:rFonts w:ascii="Arial" w:hAnsi="Arial" w:cs="Arial"/>
    </w:rPr>
  </w:style>
  <w:style w:type="paragraph" w:styleId="BodyTextIndent3">
    <w:name w:val="Body Text Indent 3"/>
    <w:basedOn w:val="Normal"/>
    <w:qFormat/>
    <w:rsid w:val="000a50e6"/>
    <w:pPr>
      <w:ind w:left="720" w:hanging="0"/>
      <w:jc w:val="both"/>
    </w:pPr>
    <w:rPr/>
  </w:style>
  <w:style w:type="paragraph" w:styleId="BalloonText">
    <w:name w:val="Balloon Text"/>
    <w:basedOn w:val="Normal"/>
    <w:qFormat/>
    <w:rsid w:val="000a50e6"/>
    <w:pPr/>
    <w:rPr>
      <w:rFonts w:ascii="Tahoma" w:hAnsi="Tahoma" w:cs="Tahoma"/>
      <w:sz w:val="16"/>
      <w:szCs w:val="16"/>
    </w:rPr>
  </w:style>
  <w:style w:type="paragraph" w:styleId="Xl22" w:customStyle="1">
    <w:name w:val="xl22"/>
    <w:basedOn w:val="Normal"/>
    <w:qFormat/>
    <w:rsid w:val="000a50e6"/>
    <w:pPr>
      <w:spacing w:beforeAutospacing="1" w:afterAutospacing="1"/>
    </w:pPr>
    <w:rPr>
      <w:rFonts w:ascii="Arial" w:hAnsi="Arial" w:cs="Arial"/>
      <w:b/>
      <w:bCs/>
    </w:rPr>
  </w:style>
  <w:style w:type="paragraph" w:styleId="Xl23" w:customStyle="1">
    <w:name w:val="xl23"/>
    <w:basedOn w:val="Normal"/>
    <w:qFormat/>
    <w:rsid w:val="000a50e6"/>
    <w:pPr>
      <w:spacing w:beforeAutospacing="1" w:afterAutospacing="1"/>
    </w:pPr>
    <w:rPr>
      <w:rFonts w:ascii="Arial" w:hAnsi="Arial" w:cs="Arial"/>
    </w:rPr>
  </w:style>
  <w:style w:type="paragraph" w:styleId="BodyText2">
    <w:name w:val="Body Text 2"/>
    <w:basedOn w:val="Normal"/>
    <w:qFormat/>
    <w:rsid w:val="000a50e6"/>
    <w:pPr>
      <w:jc w:val="both"/>
    </w:pPr>
    <w:rPr>
      <w:rFonts w:ascii="Arial" w:hAnsi="Arial" w:cs="Arial"/>
      <w:sz w:val="22"/>
      <w:szCs w:val="22"/>
      <w:u w:val="single"/>
    </w:rPr>
  </w:style>
  <w:style w:type="paragraph" w:styleId="NormalWeb">
    <w:name w:val="Normal (Web)"/>
    <w:basedOn w:val="Normal"/>
    <w:uiPriority w:val="99"/>
    <w:qFormat/>
    <w:rsid w:val="000a50e6"/>
    <w:pPr>
      <w:spacing w:beforeAutospacing="1" w:afterAutospacing="1"/>
    </w:pPr>
    <w:rPr>
      <w:lang w:val="el-GR" w:eastAsia="el-GR"/>
    </w:rPr>
  </w:style>
  <w:style w:type="paragraph" w:styleId="Annotationtext">
    <w:name w:val="annotation text"/>
    <w:basedOn w:val="Normal"/>
    <w:link w:val="CommentTextChar"/>
    <w:uiPriority w:val="99"/>
    <w:qFormat/>
    <w:rsid w:val="000a50e6"/>
    <w:pPr/>
    <w:rPr>
      <w:sz w:val="20"/>
      <w:szCs w:val="20"/>
    </w:rPr>
  </w:style>
  <w:style w:type="paragraph" w:styleId="Annotationsubject">
    <w:name w:val="annotation subject"/>
    <w:basedOn w:val="Annotationtext"/>
    <w:next w:val="Annotationtext"/>
    <w:semiHidden/>
    <w:qFormat/>
    <w:rsid w:val="000a50e6"/>
    <w:pPr/>
    <w:rPr>
      <w:b/>
      <w:bCs/>
    </w:rPr>
  </w:style>
  <w:style w:type="paragraph" w:styleId="TXTParaStandardRomanLevel-1" w:customStyle="1">
    <w:name w:val="TXT/Para Standard Roman Level-1"/>
    <w:basedOn w:val="Normal"/>
    <w:qFormat/>
    <w:rsid w:val="000a50e6"/>
    <w:pPr>
      <w:widowControl w:val="false"/>
      <w:spacing w:before="0" w:after="120"/>
      <w:ind w:firstLine="400"/>
    </w:pPr>
    <w:rPr>
      <w:rFonts w:ascii="Dutch801 Rm BT" w:hAnsi="Dutch801 Rm BT" w:cs="Dutch801 Rm BT"/>
      <w:sz w:val="20"/>
      <w:szCs w:val="20"/>
    </w:rPr>
  </w:style>
  <w:style w:type="paragraph" w:styleId="Style21">
    <w:name w:val="Footnote Text"/>
    <w:basedOn w:val="Normal"/>
    <w:link w:val="FootnoteTextChar"/>
    <w:semiHidden/>
    <w:rsid w:val="000a50e6"/>
    <w:pPr/>
    <w:rPr>
      <w:sz w:val="20"/>
      <w:szCs w:val="20"/>
    </w:rPr>
  </w:style>
  <w:style w:type="paragraph" w:styleId="NormalWeb1" w:customStyle="1">
    <w:name w:val="Normal (Web)1"/>
    <w:basedOn w:val="Normal"/>
    <w:qFormat/>
    <w:rsid w:val="000a50e6"/>
    <w:pPr>
      <w:spacing w:beforeAutospacing="1" w:after="188"/>
    </w:pPr>
    <w:rPr/>
  </w:style>
  <w:style w:type="paragraph" w:styleId="CharCharCharCharCharChar1" w:customStyle="1">
    <w:name w:val="Char Char Char Char Char Char1"/>
    <w:basedOn w:val="Normal"/>
    <w:qFormat/>
    <w:rsid w:val="000a50e6"/>
    <w:pPr>
      <w:spacing w:lineRule="exact" w:line="240" w:before="0" w:after="160"/>
    </w:pPr>
    <w:rPr>
      <w:rFonts w:ascii="Verdana" w:hAnsi="Verdana" w:cs="Arial"/>
      <w:sz w:val="22"/>
      <w:szCs w:val="20"/>
    </w:rPr>
  </w:style>
  <w:style w:type="paragraph" w:styleId="CharCharCharCharCharChar1CharCharCharCharCharCharCharCharChar" w:customStyle="1">
    <w:name w:val="Char Char Char Char Char Char1 Char Char Char Char Char Char Char Char Char"/>
    <w:basedOn w:val="Normal"/>
    <w:qFormat/>
    <w:rsid w:val="000a50e6"/>
    <w:pPr>
      <w:spacing w:lineRule="exact" w:line="240" w:before="0" w:after="160"/>
    </w:pPr>
    <w:rPr>
      <w:rFonts w:ascii="Verdana" w:hAnsi="Verdana" w:eastAsia="SimSun" w:cs="Arial"/>
      <w:sz w:val="22"/>
      <w:szCs w:val="20"/>
    </w:rPr>
  </w:style>
  <w:style w:type="paragraph" w:styleId="Normal73" w:customStyle="1">
    <w:name w:val="Normal_73"/>
    <w:qFormat/>
    <w:rsid w:val="000a50e6"/>
    <w:pPr>
      <w:widowControl w:val="false"/>
      <w:bidi w:val="0"/>
      <w:spacing w:before="0" w:after="0"/>
      <w:jc w:val="left"/>
    </w:pPr>
    <w:rPr>
      <w:rFonts w:ascii="Times New Roman" w:hAnsi="Times New Roman" w:eastAsia="Times New Roman" w:cs="Times New Roman"/>
      <w:color w:val="auto"/>
      <w:kern w:val="0"/>
      <w:sz w:val="20"/>
      <w:szCs w:val="22"/>
      <w:lang w:val="en-US" w:eastAsia="en-US" w:bidi="ar-SA"/>
    </w:rPr>
  </w:style>
  <w:style w:type="paragraph" w:styleId="ListParagraph">
    <w:name w:val="List Paragraph"/>
    <w:basedOn w:val="Normal"/>
    <w:uiPriority w:val="1"/>
    <w:qFormat/>
    <w:rsid w:val="009f131a"/>
    <w:pPr>
      <w:spacing w:before="0" w:after="0"/>
      <w:ind w:left="720" w:hanging="0"/>
      <w:contextualSpacing/>
    </w:pPr>
    <w:rPr/>
  </w:style>
  <w:style w:type="paragraph" w:styleId="Style22">
    <w:name w:val="Endnote Text"/>
    <w:basedOn w:val="Normal"/>
    <w:link w:val="EndnoteTextChar"/>
    <w:uiPriority w:val="99"/>
    <w:semiHidden/>
    <w:unhideWhenUsed/>
    <w:rsid w:val="00b005ce"/>
    <w:pPr/>
    <w:rPr>
      <w:sz w:val="20"/>
      <w:szCs w:val="20"/>
    </w:rPr>
  </w:style>
  <w:style w:type="paragraph" w:styleId="Default" w:customStyle="1">
    <w:name w:val="Default"/>
    <w:qFormat/>
    <w:rsid w:val="00ce790c"/>
    <w:pPr>
      <w:widowControl/>
      <w:bidi w:val="0"/>
      <w:spacing w:before="0" w:after="0"/>
      <w:jc w:val="left"/>
    </w:pPr>
    <w:rPr>
      <w:rFonts w:ascii="Arial" w:hAnsi="Arial" w:eastAsia="Calibri" w:cs="Arial"/>
      <w:color w:val="000000"/>
      <w:kern w:val="0"/>
      <w:sz w:val="24"/>
      <w:szCs w:val="24"/>
      <w:lang w:val="en-US" w:eastAsia="en-US" w:bidi="ar-SA"/>
    </w:rPr>
  </w:style>
  <w:style w:type="paragraph" w:styleId="Revision">
    <w:name w:val="Revision"/>
    <w:uiPriority w:val="99"/>
    <w:semiHidden/>
    <w:qFormat/>
    <w:rsid w:val="0018072a"/>
    <w:pPr>
      <w:widowControl/>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NoSpacing">
    <w:name w:val="No Spacing"/>
    <w:uiPriority w:val="1"/>
    <w:qFormat/>
    <w:rsid w:val="00430a5c"/>
    <w:pPr>
      <w:widowControl/>
      <w:bidi w:val="0"/>
      <w:spacing w:before="0" w:after="0"/>
      <w:jc w:val="left"/>
    </w:pPr>
    <w:rPr>
      <w:rFonts w:ascii="Calibri" w:hAnsi="Calibri" w:eastAsia="Calibri" w:cs="Arial" w:asciiTheme="minorHAnsi" w:cstheme="minorBidi" w:eastAsiaTheme="minorHAnsi" w:hAnsiTheme="minorHAnsi"/>
      <w:color w:val="auto"/>
      <w:kern w:val="0"/>
      <w:sz w:val="22"/>
      <w:szCs w:val="22"/>
      <w:lang w:val="en-GB" w:eastAsia="en-US" w:bidi="ar-SA"/>
    </w:rPr>
  </w:style>
  <w:style w:type="paragraph" w:styleId="BodySingle" w:customStyle="1">
    <w:name w:val="Body Single"/>
    <w:basedOn w:val="Style12"/>
    <w:link w:val="BodySingleChar"/>
    <w:uiPriority w:val="1"/>
    <w:qFormat/>
    <w:rsid w:val="003f3825"/>
    <w:pPr/>
    <w:rPr>
      <w:rFonts w:ascii="Georgia" w:hAnsi="Georgia"/>
      <w:i w:val="false"/>
      <w:iCs w:val="false"/>
      <w:sz w:val="18"/>
      <w:szCs w:val="18"/>
      <w:lang w:eastAsia="en-GB"/>
    </w:rPr>
  </w:style>
  <w:style w:type="paragraph" w:styleId="ListBullet">
    <w:name w:val="List Bullet"/>
    <w:basedOn w:val="Normal"/>
    <w:uiPriority w:val="13"/>
    <w:qFormat/>
    <w:rsid w:val="003f3825"/>
    <w:pPr>
      <w:tabs>
        <w:tab w:val="left" w:pos="720" w:leader="none"/>
      </w:tabs>
      <w:spacing w:before="0" w:after="120"/>
    </w:pPr>
    <w:rPr>
      <w:rFonts w:ascii="Georgia" w:hAnsi="Georgia" w:cs="Georgia"/>
      <w:sz w:val="18"/>
      <w:szCs w:val="18"/>
      <w:lang w:eastAsia="en-GB"/>
    </w:rPr>
  </w:style>
  <w:style w:type="paragraph" w:styleId="LetteredFootnote" w:customStyle="1">
    <w:name w:val="LetteredFootnote"/>
    <w:basedOn w:val="Style12"/>
    <w:qFormat/>
    <w:rsid w:val="003f3825"/>
    <w:pPr>
      <w:spacing w:before="0" w:after="120"/>
    </w:pPr>
    <w:rPr>
      <w:rFonts w:ascii="Georgia" w:hAnsi="Georgia" w:cs="Georgia"/>
      <w:i w:val="false"/>
      <w:iCs w:val="false"/>
      <w:sz w:val="18"/>
      <w:szCs w:val="18"/>
      <w:lang w:eastAsia="en-GB"/>
    </w:rPr>
  </w:style>
  <w:style w:type="paragraph" w:styleId="ReportTitle" w:customStyle="1">
    <w:name w:val="Report Title"/>
    <w:basedOn w:val="Heading1First"/>
    <w:qFormat/>
    <w:rsid w:val="003f3825"/>
    <w:pPr>
      <w:spacing w:before="0" w:after="360"/>
    </w:pPr>
    <w:rPr>
      <w:i/>
      <w:sz w:val="32"/>
      <w:szCs w:val="32"/>
    </w:rPr>
  </w:style>
  <w:style w:type="paragraph" w:styleId="Heading1First" w:customStyle="1">
    <w:name w:val="Heading 1 First"/>
    <w:basedOn w:val="1"/>
    <w:qFormat/>
    <w:rsid w:val="003f3825"/>
    <w:pPr>
      <w:keepLines/>
      <w:spacing w:before="0" w:after="120"/>
      <w:jc w:val="left"/>
    </w:pPr>
    <w:rPr>
      <w:rFonts w:ascii="Georgia" w:hAnsi="Georgia" w:cs="Georgia"/>
      <w:b/>
      <w:i w:val="false"/>
      <w:iCs w:val="false"/>
      <w:sz w:val="28"/>
      <w:szCs w:val="28"/>
      <w:lang w:eastAsia="en-GB"/>
    </w:rPr>
  </w:style>
  <w:style w:type="paragraph" w:styleId="Numbering" w:customStyle="1">
    <w:name w:val="Numbering"/>
    <w:basedOn w:val="Normal"/>
    <w:link w:val="NumberingChar"/>
    <w:qFormat/>
    <w:rsid w:val="00053c52"/>
    <w:pPr>
      <w:numPr>
        <w:ilvl w:val="0"/>
        <w:numId w:val="7"/>
      </w:numPr>
      <w:tabs>
        <w:tab w:val="clear" w:pos="720"/>
        <w:tab w:val="left" w:pos="810" w:leader="none"/>
      </w:tabs>
      <w:spacing w:before="0" w:after="120"/>
      <w:jc w:val="both"/>
    </w:pPr>
    <w:rPr>
      <w:rFonts w:ascii="Effra Corp" w:hAnsi="Effra Corp" w:cs="Arial"/>
      <w:b/>
      <w:bCs/>
      <w:color w:val="000000"/>
      <w:sz w:val="21"/>
      <w:szCs w:val="21"/>
    </w:rPr>
  </w:style>
  <w:style w:type="paragraph" w:styleId="TableParagraph" w:customStyle="1">
    <w:name w:val="Table Paragraph"/>
    <w:basedOn w:val="Normal"/>
    <w:uiPriority w:val="1"/>
    <w:qFormat/>
    <w:rsid w:val="00305181"/>
    <w:pPr>
      <w:widowControl w:val="false"/>
    </w:pPr>
    <w:rPr>
      <w:rFonts w:ascii="Calibri" w:hAnsi="Calibri" w:eastAsia="Calibri" w:cs="Arial" w:asciiTheme="minorHAnsi" w:cstheme="minorBidi" w:eastAsiaTheme="minorHAnsi" w:hAnsiTheme="minorHAnsi"/>
      <w:sz w:val="22"/>
      <w:szCs w:val="22"/>
    </w:rPr>
  </w:style>
  <w:style w:type="paragraph" w:styleId="Normal101" w:customStyle="1">
    <w:name w:val="Normal_10_1"/>
    <w:qFormat/>
    <w:rsid w:val="00a04407"/>
    <w:pPr>
      <w:widowControl w:val="false"/>
      <w:bidi w:val="0"/>
      <w:spacing w:before="0" w:after="0"/>
      <w:jc w:val="left"/>
    </w:pPr>
    <w:rPr>
      <w:rFonts w:ascii="Times New Roman" w:hAnsi="Times New Roman" w:eastAsia="Times New Roman" w:cs="Times New Roman"/>
      <w:color w:val="auto"/>
      <w:kern w:val="0"/>
      <w:sz w:val="20"/>
      <w:szCs w:val="22"/>
      <w:lang w:val="en-US" w:eastAsia="en-US" w:bidi="ar-SA"/>
    </w:rPr>
  </w:style>
  <w:style w:type="paragraph" w:styleId="Normal10" w:customStyle="1">
    <w:name w:val="Normal_10"/>
    <w:qFormat/>
    <w:rsid w:val="00bf7059"/>
    <w:pPr>
      <w:widowControl w:val="false"/>
      <w:bidi w:val="0"/>
      <w:spacing w:before="0" w:after="0"/>
      <w:jc w:val="left"/>
    </w:pPr>
    <w:rPr>
      <w:rFonts w:ascii="Times New Roman" w:hAnsi="Times New Roman" w:eastAsia="Times New Roman" w:cs="Times New Roman"/>
      <w:color w:val="auto"/>
      <w:kern w:val="0"/>
      <w:sz w:val="20"/>
      <w:szCs w:val="22"/>
      <w:lang w:val="en-US" w:eastAsia="en-US" w:bidi="ar-SA"/>
    </w:rPr>
  </w:style>
  <w:style w:type="paragraph" w:styleId="Pa16" w:customStyle="1">
    <w:name w:val="Pa16"/>
    <w:basedOn w:val="Normal"/>
    <w:next w:val="Normal"/>
    <w:uiPriority w:val="99"/>
    <w:qFormat/>
    <w:rsid w:val="0025158b"/>
    <w:pPr>
      <w:spacing w:lineRule="atLeast" w:line="211"/>
    </w:pPr>
    <w:rPr>
      <w:rFonts w:ascii="Effra Medium" w:hAnsi="Effra Medium" w:eastAsia="Calibri"/>
    </w:rPr>
  </w:style>
  <w:style w:type="paragraph" w:styleId="BodyText1" w:customStyle="1">
    <w:name w:val="#BodyText"/>
    <w:basedOn w:val="Normal"/>
    <w:qFormat/>
    <w:rsid w:val="008d450e"/>
    <w:pPr>
      <w:spacing w:before="0" w:after="240"/>
      <w:jc w:val="both"/>
    </w:pPr>
    <w:rPr>
      <w:rFonts w:ascii="Arial" w:hAnsi="Arial"/>
      <w:sz w:val="20"/>
      <w:szCs w:val="20"/>
      <w:lang w:eastAsia="en-CA"/>
    </w:rPr>
  </w:style>
  <w:style w:type="paragraph" w:styleId="BodyTextBold" w:customStyle="1">
    <w:name w:val="#BodyText=Bold"/>
    <w:basedOn w:val="Normal"/>
    <w:uiPriority w:val="3"/>
    <w:qFormat/>
    <w:rsid w:val="008d450e"/>
    <w:pPr>
      <w:spacing w:before="0" w:after="240"/>
      <w:jc w:val="both"/>
    </w:pPr>
    <w:rPr>
      <w:rFonts w:ascii="Arial" w:hAnsi="Arial"/>
      <w:b/>
      <w:sz w:val="20"/>
      <w:szCs w:val="20"/>
      <w:lang w:eastAsia="en-CA"/>
    </w:rPr>
  </w:style>
  <w:style w:type="paragraph" w:styleId="Style23">
    <w:name w:val="Signature"/>
    <w:basedOn w:val="Normal"/>
    <w:link w:val="SignatureChar"/>
    <w:rsid w:val="00434fba"/>
    <w:pPr>
      <w:ind w:left="4320" w:hanging="0"/>
    </w:pPr>
    <w:rPr>
      <w:szCs w:val="20"/>
    </w:rPr>
  </w:style>
  <w:style w:type="paragraph" w:styleId="DMETW475BIPFirstPage" w:customStyle="1">
    <w:name w:val="DM_ETW_475_BIP_FirstPage"/>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ESTABLISHED" w:customStyle="1">
    <w:name w:val="DM_ETW_475_BIP_ESTABLISHED"/>
    <w:qFormat/>
    <w:rsid w:val="00c77221"/>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475BIPDEVELOPING" w:customStyle="1">
    <w:name w:val="DM_ETW_475_BIP_DEVELOPING"/>
    <w:qFormat/>
    <w:rsid w:val="00c77221"/>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475BIPEMERGING" w:customStyle="1">
    <w:name w:val="DM_ETW_475_BIP_EMERGING"/>
    <w:qFormat/>
    <w:rsid w:val="00c77221"/>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475BIPINCOMESTATEMENT" w:customStyle="1">
    <w:name w:val="DM_ETW_475_BIP_INCOME_STATEMENT"/>
    <w:qFormat/>
    <w:rsid w:val="00c77221"/>
    <w:pPr>
      <w:widowControl/>
      <w:bidi w:val="0"/>
      <w:spacing w:before="0" w:after="0"/>
      <w:ind w:left="200" w:hanging="0"/>
      <w:jc w:val="left"/>
    </w:pPr>
    <w:rPr>
      <w:rFonts w:ascii="Effra Corp" w:hAnsi="Effra Corp" w:eastAsia="Effra Corp" w:cs="Effra Corp"/>
      <w:b/>
      <w:color w:val="auto"/>
      <w:kern w:val="0"/>
      <w:sz w:val="22"/>
      <w:szCs w:val="20"/>
      <w:lang w:val="en-US" w:eastAsia="en-US" w:bidi="ar-SA"/>
    </w:rPr>
  </w:style>
  <w:style w:type="paragraph" w:styleId="DMETW475BIPBALANCESHEET" w:customStyle="1">
    <w:name w:val="DM_ETW_475_BIP_BALANCESHEET"/>
    <w:qFormat/>
    <w:rsid w:val="00131006"/>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475BIPCF" w:customStyle="1">
    <w:name w:val="DM_ETW_475_BIP_CF"/>
    <w:qFormat/>
    <w:rsid w:val="00131006"/>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475BIPNARTD" w:customStyle="1">
    <w:name w:val="DM_ETW_475_BIP_NARTD"/>
    <w:qFormat/>
    <w:rsid w:val="0014735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COMPARABLE" w:customStyle="1">
    <w:name w:val="DM_ETW_475_BIP_COMPARABLE"/>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EBIT" w:customStyle="1">
    <w:name w:val="DM_ETW_475_BIP_EBIT"/>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NSRFXNeutral" w:customStyle="1">
    <w:name w:val="DM_ETW_475_BIP_NSR_FX_Neutral"/>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INPUTCOSTS" w:customStyle="1">
    <w:name w:val="DM_ETW_475_BIP_INPUT_COSTS"/>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FCF" w:customStyle="1">
    <w:name w:val="DM_ETW_475_BIP_FCF"/>
    <w:qFormat/>
    <w:rsid w:val="006b110f"/>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CASH" w:customStyle="1">
    <w:name w:val="DM_ETW_475_BIP_CASH"/>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Normal2" w:customStyle="1">
    <w:name w:val="Normal 2"/>
    <w:qFormat/>
    <w:rsid w:val="0094619e"/>
    <w:pPr>
      <w:widowControl/>
      <w:bidi w:val="0"/>
      <w:spacing w:before="0" w:after="0"/>
      <w:jc w:val="left"/>
    </w:pPr>
    <w:rPr>
      <w:rFonts w:ascii="Calibri" w:hAnsi="Calibri" w:eastAsia="Calibri" w:cs="Calibri"/>
      <w:color w:val="auto"/>
      <w:kern w:val="0"/>
      <w:sz w:val="22"/>
      <w:szCs w:val="20"/>
      <w:lang w:val="en-US" w:eastAsia="en-US" w:bidi="ar-SA"/>
    </w:rPr>
  </w:style>
  <w:style w:type="paragraph" w:styleId="GenericStylesBodytext" w:customStyle="1">
    <w:name w:val="Generic Styles Bodytext"/>
    <w:basedOn w:val="Normal"/>
    <w:qFormat/>
    <w:rsid w:val="00e17ba9"/>
    <w:pPr>
      <w:spacing w:lineRule="auto" w:line="259" w:before="0" w:after="113"/>
    </w:pPr>
    <w:rPr>
      <w:rFonts w:ascii="Effra" w:hAnsi="Effra"/>
      <w:sz w:val="16"/>
      <w:szCs w:val="22"/>
      <w:lang w:eastAsia="en-US"/>
    </w:rPr>
  </w:style>
  <w:style w:type="paragraph" w:styleId="GenericStylesListsBulletedList1" w:customStyle="1">
    <w:name w:val="Generic Styles Lists Bulleted List 1"/>
    <w:basedOn w:val="Normal"/>
    <w:qFormat/>
    <w:rsid w:val="00e17ba9"/>
    <w:pPr>
      <w:spacing w:lineRule="auto" w:line="259" w:before="0" w:after="28"/>
    </w:pPr>
    <w:rPr>
      <w:rFonts w:ascii="Effra" w:hAnsi="Effra"/>
      <w:sz w:val="16"/>
      <w:szCs w:val="22"/>
      <w:lang w:eastAsia="en-US"/>
    </w:rPr>
  </w:style>
  <w:style w:type="paragraph" w:styleId="DMETW475BIPIS" w:customStyle="1">
    <w:name w:val="DM_ETW_475_BIP_IS"/>
    <w:qFormat/>
    <w:rsid w:val="00c77221"/>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Normal4" w:customStyle="1">
    <w:name w:val="Normal 4"/>
    <w:qFormat/>
    <w:rsid w:val="00f12ecf"/>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Normal6" w:customStyle="1">
    <w:name w:val="Normal 6"/>
    <w:qFormat/>
    <w:rsid w:val="00f12ecf"/>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Normal5" w:customStyle="1">
    <w:name w:val="Normal 5"/>
    <w:qFormat/>
    <w:rsid w:val="008e6823"/>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Normal7" w:customStyle="1">
    <w:name w:val="Normal 7"/>
    <w:qFormat/>
    <w:rsid w:val="008e6823"/>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Normal8" w:customStyle="1">
    <w:name w:val="Normal 8"/>
    <w:qFormat/>
    <w:rsid w:val="000e6eb3"/>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DMETW475BIPFCT" w:customStyle="1">
    <w:name w:val="DM_ETW_475_BIP_FCT"/>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Volume" w:customStyle="1">
    <w:name w:val="DM_ETW_475_BIP_Volume"/>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NSR" w:customStyle="1">
    <w:name w:val="DM_ETW_475_BIP_NSR"/>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NARTDBackhalf" w:customStyle="1">
    <w:name w:val="DM_ETW_475_BIP_NARTD_Backhalf"/>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Otherincomestatementitems" w:customStyle="1">
    <w:name w:val="DM_ETW_475_BIP_Other_income_statement_items"/>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RESTRUCTURING" w:customStyle="1">
    <w:name w:val="DM_ETW_475_BIP_RESTRUCTURING"/>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Financecost" w:customStyle="1">
    <w:name w:val="DM_ETW_475_BIP_Finance_cost"/>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tax" w:customStyle="1">
    <w:name w:val="DM_ETW_475_BIP_tax"/>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Assets" w:customStyle="1">
    <w:name w:val="DM_ETW_475_BIP_Assets"/>
    <w:qFormat/>
    <w:rsid w:val="00af43f8"/>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Netdebt" w:customStyle="1">
    <w:name w:val="DM_ETW_475_BIP_Netdebt"/>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CapitalPremium" w:customStyle="1">
    <w:name w:val="DM_ETW_475_BIP_Capital_Premium"/>
    <w:qFormat/>
    <w:rsid w:val="00361420"/>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Leasetable1" w:customStyle="1">
    <w:name w:val="DM_ETW_475_BIP_Lease_table1"/>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Leaseopening" w:customStyle="1">
    <w:name w:val="DM_ETW_475_BIP_Lease_opening"/>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Leaseclosing" w:customStyle="1">
    <w:name w:val="DM_ETW_475_BIP_Lease_closing"/>
    <w:qFormat/>
    <w:rsid w:val="00c7722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TCCC" w:customStyle="1">
    <w:name w:val="DM_ETW_475_BIP_TCCC"/>
    <w:qFormat/>
    <w:rsid w:val="00131006"/>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Frigoglass" w:customStyle="1">
    <w:name w:val="DM_ETW_475_BIP_Frigoglass"/>
    <w:qFormat/>
    <w:rsid w:val="00131006"/>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475BIPRPJVs" w:customStyle="1">
    <w:name w:val="DM_ETW_475_BIP_RP_JVs"/>
    <w:qFormat/>
    <w:rsid w:val="001075a7"/>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TableHeadingm" w:customStyle="1">
    <w:name w:val="^Table=Heading+m"/>
    <w:basedOn w:val="Normal"/>
    <w:uiPriority w:val="20"/>
    <w:qFormat/>
    <w:rsid w:val="00b610da"/>
    <w:pPr>
      <w:keepNext w:val="true"/>
      <w:spacing w:before="120" w:after="120"/>
    </w:pPr>
    <w:rPr>
      <w:rFonts w:ascii="Tahoma" w:hAnsi="Tahoma"/>
      <w:b/>
      <w:sz w:val="14"/>
      <w:szCs w:val="20"/>
      <w:lang w:eastAsia="en-CA"/>
    </w:rPr>
  </w:style>
  <w:style w:type="paragraph" w:styleId="TableLeftm" w:customStyle="1">
    <w:name w:val="^Table=Left+m"/>
    <w:basedOn w:val="Normal"/>
    <w:uiPriority w:val="17"/>
    <w:qFormat/>
    <w:rsid w:val="00b610da"/>
    <w:pPr>
      <w:spacing w:before="40" w:after="120"/>
    </w:pPr>
    <w:rPr>
      <w:rFonts w:ascii="Tahoma" w:hAnsi="Tahoma"/>
      <w:sz w:val="14"/>
      <w:szCs w:val="20"/>
      <w:lang w:eastAsia="en-CA"/>
    </w:rPr>
  </w:style>
  <w:style w:type="paragraph" w:styleId="DMETW827BIPFirstPage" w:customStyle="1">
    <w:name w:val="DM_ETW_827_BIP_FirstPage"/>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INCOMESTATEMENT" w:customStyle="1">
    <w:name w:val="DM_ETW_827_BIP_INCOME_STATEMENT"/>
    <w:qFormat/>
    <w:rsid w:val="003a0b43"/>
    <w:pPr>
      <w:widowControl/>
      <w:bidi w:val="0"/>
      <w:spacing w:before="0" w:after="0"/>
      <w:ind w:left="200" w:hanging="0"/>
      <w:jc w:val="left"/>
    </w:pPr>
    <w:rPr>
      <w:rFonts w:ascii="Effra Corp" w:hAnsi="Effra Corp" w:eastAsia="Effra Corp" w:cs="Effra Corp"/>
      <w:b/>
      <w:color w:val="auto"/>
      <w:kern w:val="0"/>
      <w:sz w:val="22"/>
      <w:szCs w:val="20"/>
      <w:lang w:val="en-US" w:eastAsia="en-US" w:bidi="ar-SA"/>
    </w:rPr>
  </w:style>
  <w:style w:type="paragraph" w:styleId="DMETW827BIPLeaseclosing" w:customStyle="1">
    <w:name w:val="DM_ETW_827_BIP_Lease_closing"/>
    <w:qFormat/>
    <w:rsid w:val="004a5940"/>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TCCC" w:customStyle="1">
    <w:name w:val="DM_ETW_827_BIP_TCCC"/>
    <w:qFormat/>
    <w:rsid w:val="00bf1ef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CASH" w:customStyle="1">
    <w:name w:val="DM_ETW_827_BIP_CASH"/>
    <w:qFormat/>
    <w:rsid w:val="00df2b0e"/>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CF" w:customStyle="1">
    <w:name w:val="DM_ETW_827_BIP_CF"/>
    <w:qFormat/>
    <w:rsid w:val="003a0b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827BIPFinancecost" w:customStyle="1">
    <w:name w:val="DM_ETW_827_BIP_Finance_cost"/>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BALANCESHEET" w:customStyle="1">
    <w:name w:val="DM_ETW_827_BIP_BALANCESHEET"/>
    <w:qFormat/>
    <w:rsid w:val="00a3136e"/>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827BIPtax" w:customStyle="1">
    <w:name w:val="DM_ETW_827_BIP_tax"/>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CapitalPremium" w:customStyle="1">
    <w:name w:val="DM_ETW_827_BIP_Capital_Premium"/>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FCF" w:customStyle="1">
    <w:name w:val="DM_ETW_827_BIP_FCF"/>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EMERGING" w:customStyle="1">
    <w:name w:val="DM_ETW_827_BIP_EMERGING"/>
    <w:qFormat/>
    <w:rsid w:val="003a0b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827BIPRPJVs" w:customStyle="1">
    <w:name w:val="DM_ETW_827_BIP_RP_JVs"/>
    <w:qFormat/>
    <w:rsid w:val="00a4532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RESTRUCTURING" w:customStyle="1">
    <w:name w:val="DM_ETW_827_BIP_RESTRUCTURING"/>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Assets" w:customStyle="1">
    <w:name w:val="DM_ETW_827_BIP_Assets"/>
    <w:qFormat/>
    <w:rsid w:val="002258b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NSR" w:customStyle="1">
    <w:name w:val="DM_ETW_827_BIP_NSR"/>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IS" w:customStyle="1">
    <w:name w:val="DM_ETW_827_BIP_IS"/>
    <w:qFormat/>
    <w:rsid w:val="003a0b43"/>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Normal3" w:customStyle="1">
    <w:name w:val="Normal 3"/>
    <w:qFormat/>
    <w:rsid w:val="007c05c1"/>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DMETW827BIPLeasetable1" w:customStyle="1">
    <w:name w:val="DM_ETW_827_BIP_Lease_table1"/>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COMPARABLE" w:customStyle="1">
    <w:name w:val="DM_ETW_827_BIP_COMPARABLE"/>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Volume" w:customStyle="1">
    <w:name w:val="DM_ETW_827_BIP_Volume"/>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INPUTCOSTS" w:customStyle="1">
    <w:name w:val="DM_ETW_827_BIP_INPUT_COSTS"/>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Netdebt" w:customStyle="1">
    <w:name w:val="DM_ETW_827_BIP_Netdebt"/>
    <w:qFormat/>
    <w:rsid w:val="00df2b0e"/>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Frigoglass" w:customStyle="1">
    <w:name w:val="DM_ETW_827_BIP_Frigoglass"/>
    <w:qFormat/>
    <w:rsid w:val="00eb65ed"/>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DEVELOPING" w:customStyle="1">
    <w:name w:val="DM_ETW_827_BIP_DEVELOPING"/>
    <w:qFormat/>
    <w:rsid w:val="003a0b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827BIPNARTD" w:customStyle="1">
    <w:name w:val="DM_ETW_827_BIP_NARTD"/>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ESTABLISHED" w:customStyle="1">
    <w:name w:val="DM_ETW_827_BIP_ESTABLISHED"/>
    <w:qFormat/>
    <w:rsid w:val="003a0b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827BIPNARTDBackhalf" w:customStyle="1">
    <w:name w:val="DM_ETW_827_BIP_NARTD_Backhalf"/>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Otherincomestatementitems" w:customStyle="1">
    <w:name w:val="DM_ETW_827_BIP_Other_income_statement_items"/>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EBIT" w:customStyle="1">
    <w:name w:val="DM_ETW_827_BIP_EBIT"/>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FCT" w:customStyle="1">
    <w:name w:val="DM_ETW_827_BIP_FCT"/>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Leaseopening" w:customStyle="1">
    <w:name w:val="DM_ETW_827_BIP_Lease_opening"/>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NSRFXNeutral" w:customStyle="1">
    <w:name w:val="DM_ETW_827_BIP_NSR_FX_Neutral"/>
    <w:qFormat/>
    <w:rsid w:val="003a0b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827BIPISHY" w:customStyle="1">
    <w:name w:val="DM_ETW_827_BIP_IS_HY"/>
    <w:qFormat/>
    <w:rsid w:val="00815ae4"/>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DMETW827BIPVOLUMECOUNTRY" w:customStyle="1">
    <w:name w:val="DM_ETW_827_BIP_VOLUMECOUNTRY"/>
    <w:qFormat/>
    <w:rsid w:val="00bb651f"/>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Normal25" w:customStyle="1">
    <w:name w:val="Normal_25"/>
    <w:qFormat/>
    <w:rsid w:val="00925bc8"/>
    <w:pPr>
      <w:widowControl/>
      <w:bidi w:val="0"/>
      <w:spacing w:before="0" w:after="0"/>
      <w:jc w:val="left"/>
    </w:pPr>
    <w:rPr>
      <w:rFonts w:ascii="Times New Roman" w:hAnsi="Times New Roman" w:eastAsia="Times New Roman" w:cs="Times New Roman"/>
      <w:color w:val="auto"/>
      <w:kern w:val="0"/>
      <w:sz w:val="24"/>
      <w:szCs w:val="24"/>
      <w:lang w:val="en-GB" w:eastAsia="de-DE" w:bidi="ar-SA"/>
    </w:rPr>
  </w:style>
  <w:style w:type="paragraph" w:styleId="DMETW827BIPROUPL" w:customStyle="1">
    <w:name w:val="DM_ETW_827_BIP_ROU_PL"/>
    <w:qFormat/>
    <w:rsid w:val="00cc1cb9"/>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Normal01" w:customStyle="1">
    <w:name w:val="Normal_0_1"/>
    <w:qFormat/>
    <w:rsid w:val="00034ec7"/>
    <w:pPr>
      <w:widowControl/>
      <w:bidi w:val="0"/>
      <w:spacing w:before="0" w:after="0"/>
      <w:jc w:val="left"/>
    </w:pPr>
    <w:rPr>
      <w:rFonts w:ascii="Times New Roman" w:hAnsi="Times New Roman" w:eastAsia="Times New Roman" w:cs="Times New Roman"/>
      <w:color w:val="auto"/>
      <w:kern w:val="0"/>
      <w:sz w:val="24"/>
      <w:szCs w:val="24"/>
      <w:lang w:eastAsia="de-DE" w:val="en-US" w:bidi="ar-SA"/>
    </w:rPr>
  </w:style>
  <w:style w:type="paragraph" w:styleId="Normal17" w:customStyle="1">
    <w:name w:val="Normal_17"/>
    <w:qFormat/>
    <w:rsid w:val="00406d0d"/>
    <w:pPr>
      <w:widowControl/>
      <w:bidi w:val="0"/>
      <w:spacing w:before="0" w:after="0"/>
      <w:jc w:val="left"/>
    </w:pPr>
    <w:rPr>
      <w:rFonts w:ascii="Times New Roman" w:hAnsi="Times New Roman" w:eastAsia="Times New Roman" w:cs="Times New Roman"/>
      <w:color w:val="auto"/>
      <w:kern w:val="0"/>
      <w:sz w:val="24"/>
      <w:szCs w:val="24"/>
      <w:lang w:val="de-DE" w:eastAsia="de-DE" w:bidi="ar-SA"/>
    </w:rPr>
  </w:style>
  <w:style w:type="paragraph" w:styleId="Normal32" w:customStyle="1">
    <w:name w:val="Normal_32"/>
    <w:qFormat/>
    <w:rsid w:val="00406d0d"/>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Default0" w:customStyle="1">
    <w:name w:val="Default_0"/>
    <w:qFormat/>
    <w:rsid w:val="00406d0d"/>
    <w:pPr>
      <w:widowControl/>
      <w:bidi w:val="0"/>
      <w:spacing w:before="0" w:after="0"/>
      <w:jc w:val="left"/>
    </w:pPr>
    <w:rPr>
      <w:rFonts w:ascii="Arial" w:hAnsi="Arial" w:eastAsia="Calibri" w:cs="Arial"/>
      <w:color w:val="000000"/>
      <w:kern w:val="0"/>
      <w:sz w:val="24"/>
      <w:szCs w:val="24"/>
      <w:lang w:val="en-US" w:eastAsia="en-US" w:bidi="ar-SA"/>
    </w:rPr>
  </w:style>
  <w:style w:type="paragraph" w:styleId="Paragraph" w:customStyle="1">
    <w:name w:val="paragraph"/>
    <w:basedOn w:val="Normal"/>
    <w:qFormat/>
    <w:rsid w:val="002c095b"/>
    <w:pPr/>
    <w:rPr>
      <w:lang w:eastAsia="en-US"/>
    </w:rPr>
  </w:style>
  <w:style w:type="paragraph" w:styleId="DMETW938BIPFirstPage" w:customStyle="1">
    <w:name w:val="DM_ETW_938_BIP_FirstPage"/>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ESTABLISHED" w:customStyle="1">
    <w:name w:val="DM_ETW_938_BIP_ESTABLISHED"/>
    <w:qFormat/>
    <w:rsid w:val="004801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938BIPDEVELOPING" w:customStyle="1">
    <w:name w:val="DM_ETW_938_BIP_DEVELOPING"/>
    <w:qFormat/>
    <w:rsid w:val="004801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938BIPEMERGING" w:customStyle="1">
    <w:name w:val="DM_ETW_938_BIP_EMERGING"/>
    <w:qFormat/>
    <w:rsid w:val="004801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938BIPINCOMESTATEMENT" w:customStyle="1">
    <w:name w:val="DM_ETW_938_BIP_INCOME_STATEMENT"/>
    <w:qFormat/>
    <w:rsid w:val="00480143"/>
    <w:pPr>
      <w:widowControl/>
      <w:bidi w:val="0"/>
      <w:spacing w:before="0" w:after="0"/>
      <w:ind w:left="200" w:hanging="0"/>
      <w:jc w:val="left"/>
    </w:pPr>
    <w:rPr>
      <w:rFonts w:ascii="Effra Corp" w:hAnsi="Effra Corp" w:eastAsia="Effra Corp" w:cs="Effra Corp"/>
      <w:b/>
      <w:color w:val="auto"/>
      <w:kern w:val="0"/>
      <w:sz w:val="22"/>
      <w:szCs w:val="20"/>
      <w:lang w:val="en-US" w:eastAsia="en-US" w:bidi="ar-SA"/>
    </w:rPr>
  </w:style>
  <w:style w:type="paragraph" w:styleId="DMETW938BIPBALANCESHEET" w:customStyle="1">
    <w:name w:val="DM_ETW_938_BIP_BALANCESHEET"/>
    <w:qFormat/>
    <w:rsid w:val="004801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938BIPCF" w:customStyle="1">
    <w:name w:val="DM_ETW_938_BIP_CF"/>
    <w:qFormat/>
    <w:rsid w:val="00480143"/>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938BIPNARTD" w:customStyle="1">
    <w:name w:val="DM_ETW_938_BIP_NARTD"/>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COMPARABLE" w:customStyle="1">
    <w:name w:val="DM_ETW_938_BIP_COMPARABLE"/>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EBIT" w:customStyle="1">
    <w:name w:val="DM_ETW_938_BIP_EBIT"/>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NSRFXNeutral" w:customStyle="1">
    <w:name w:val="DM_ETW_938_BIP_NSR_FX_Neutral"/>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INPUTCOSTS" w:customStyle="1">
    <w:name w:val="DM_ETW_938_BIP_INPUT_COSTS"/>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FCF" w:customStyle="1">
    <w:name w:val="DM_ETW_938_BIP_FCF"/>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CASH" w:customStyle="1">
    <w:name w:val="DM_ETW_938_BIP_CASH"/>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ISHY" w:customStyle="1">
    <w:name w:val="DM_ETW_938_BIP_IS_HY"/>
    <w:qFormat/>
    <w:rsid w:val="00480143"/>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DMETW938BIPIS" w:customStyle="1">
    <w:name w:val="DM_ETW_938_BIP_IS"/>
    <w:qFormat/>
    <w:rsid w:val="00480143"/>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DMETW938BIPFCT" w:customStyle="1">
    <w:name w:val="DM_ETW_938_BIP_FCT"/>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Volume" w:customStyle="1">
    <w:name w:val="DM_ETW_938_BIP_Volume"/>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NSR" w:customStyle="1">
    <w:name w:val="DM_ETW_938_BIP_NSR"/>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NARTDBackhalf" w:customStyle="1">
    <w:name w:val="DM_ETW_938_BIP_NARTD_Backhalf"/>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Otherincomestatementitems" w:customStyle="1">
    <w:name w:val="DM_ETW_938_BIP_Other_income_statement_items"/>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RESTRUCTURING" w:customStyle="1">
    <w:name w:val="DM_ETW_938_BIP_RESTRUCTURING"/>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Financecost" w:customStyle="1">
    <w:name w:val="DM_ETW_938_BIP_Finance_cost"/>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tax" w:customStyle="1">
    <w:name w:val="DM_ETW_938_BIP_tax"/>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Assets" w:customStyle="1">
    <w:name w:val="DM_ETW_938_BIP_Assets"/>
    <w:qFormat/>
    <w:rsid w:val="003075f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Netdebt" w:customStyle="1">
    <w:name w:val="DM_ETW_938_BIP_Netdebt"/>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CapitalPremium" w:customStyle="1">
    <w:name w:val="DM_ETW_938_BIP_Capital_Premium"/>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Leasetable1" w:customStyle="1">
    <w:name w:val="DM_ETW_938_BIP_Lease_table1"/>
    <w:qFormat/>
    <w:rsid w:val="00ee63a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Leaseopening" w:customStyle="1">
    <w:name w:val="DM_ETW_938_BIP_Lease_opening"/>
    <w:qFormat/>
    <w:rsid w:val="00517acc"/>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Leaseclosing" w:customStyle="1">
    <w:name w:val="DM_ETW_938_BIP_Lease_closing"/>
    <w:qFormat/>
    <w:rsid w:val="00377b06"/>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TCCC" w:customStyle="1">
    <w:name w:val="DM_ETW_938_BIP_TCCC"/>
    <w:qFormat/>
    <w:rsid w:val="00aa7f30"/>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Frigoglass" w:customStyle="1">
    <w:name w:val="DM_ETW_938_BIP_Frigoglass"/>
    <w:qFormat/>
    <w:rsid w:val="00ce3fd5"/>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RPJVs" w:customStyle="1">
    <w:name w:val="DM_ETW_938_BIP_RP_JVs"/>
    <w:qFormat/>
    <w:rsid w:val="00ce3fd5"/>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VOLUMECOUNTRY" w:customStyle="1">
    <w:name w:val="DM_ETW_938_BIP_VOLUMECOUNTRY"/>
    <w:qFormat/>
    <w:rsid w:val="00480143"/>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938BIPAcquisitionstoShareholders" w:customStyle="1">
    <w:name w:val="DM_ETW_938_BIP_Acquisitions_to_Shareholders"/>
    <w:qFormat/>
    <w:rsid w:val="0048014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incudingMulton" w:customStyle="1">
    <w:name w:val="DM_ETW_938_BIP_incudingMulton"/>
    <w:qFormat/>
    <w:rsid w:val="0081078c"/>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includingMulton2" w:customStyle="1">
    <w:name w:val="DM_ETW_938_BIP_includingMulton2"/>
    <w:qFormat/>
    <w:rsid w:val="0081078c"/>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Receivables" w:customStyle="1">
    <w:name w:val="DM_ETW_938_BIP_Receivables"/>
    <w:qFormat/>
    <w:rsid w:val="002d00ae"/>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938BIPAging" w:customStyle="1">
    <w:name w:val="DM_ETW_938_BIP_Aging"/>
    <w:qFormat/>
    <w:rsid w:val="00344c7f"/>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350BIPInvestmentsJV" w:customStyle="1">
    <w:name w:val="DM_ETW_350_BIP_InvestmentsJV"/>
    <w:qFormat/>
    <w:rsid w:val="002b48e0"/>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Xmsonormal" w:customStyle="1">
    <w:name w:val="x_msonormal"/>
    <w:basedOn w:val="Normal"/>
    <w:qFormat/>
    <w:rsid w:val="00063b23"/>
    <w:pPr/>
    <w:rPr>
      <w:rFonts w:ascii="Calibri" w:hAnsi="Calibri" w:eastAsia="Calibri" w:cs="Calibri" w:eastAsiaTheme="minorHAnsi"/>
      <w:sz w:val="22"/>
      <w:szCs w:val="22"/>
      <w:lang w:eastAsia="en-GB"/>
    </w:rPr>
  </w:style>
  <w:style w:type="paragraph" w:styleId="DMETW1137BIPFirstPage" w:customStyle="1">
    <w:name w:val="DM_ETW_1137_BIP_FirstPage"/>
    <w:qFormat/>
    <w:rsid w:val="008442c4"/>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ESTABLISHED" w:customStyle="1">
    <w:name w:val="DM_ETW_1137_BIP_ESTABLISHED"/>
    <w:qFormat/>
    <w:rsid w:val="008442c4"/>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37BIPDEVELOPING" w:customStyle="1">
    <w:name w:val="DM_ETW_1137_BIP_DEVELOPING"/>
    <w:qFormat/>
    <w:rsid w:val="008442c4"/>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37BIPEMERGING" w:customStyle="1">
    <w:name w:val="DM_ETW_1137_BIP_EMERGING"/>
    <w:qFormat/>
    <w:rsid w:val="008442c4"/>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37BIPINCOMESTATEMENT" w:customStyle="1">
    <w:name w:val="DM_ETW_1137_BIP_INCOME_STATEMENT"/>
    <w:qFormat/>
    <w:rsid w:val="008442c4"/>
    <w:pPr>
      <w:widowControl/>
      <w:bidi w:val="0"/>
      <w:spacing w:before="0" w:after="0"/>
      <w:ind w:left="200" w:hanging="0"/>
      <w:jc w:val="left"/>
    </w:pPr>
    <w:rPr>
      <w:rFonts w:ascii="Effra Corp" w:hAnsi="Effra Corp" w:eastAsia="Effra Corp" w:cs="Effra Corp"/>
      <w:b/>
      <w:color w:val="auto"/>
      <w:kern w:val="0"/>
      <w:sz w:val="22"/>
      <w:szCs w:val="20"/>
      <w:lang w:val="en-US" w:eastAsia="en-US" w:bidi="ar-SA"/>
    </w:rPr>
  </w:style>
  <w:style w:type="paragraph" w:styleId="DMETW1137BIPBALANCESHEET" w:customStyle="1">
    <w:name w:val="DM_ETW_1137_BIP_BALANCESHEET"/>
    <w:qFormat/>
    <w:rsid w:val="006e485b"/>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37BIPCF" w:customStyle="1">
    <w:name w:val="DM_ETW_1137_BIP_CF"/>
    <w:qFormat/>
    <w:rsid w:val="006e485b"/>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37BIPNARTD" w:customStyle="1">
    <w:name w:val="DM_ETW_1137_BIP_NARTD"/>
    <w:qFormat/>
    <w:rsid w:val="00142ce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COMPARABLE" w:customStyle="1">
    <w:name w:val="DM_ETW_1137_BIP_COMPARABLE"/>
    <w:qFormat/>
    <w:rsid w:val="00e573fc"/>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EBIT" w:customStyle="1">
    <w:name w:val="DM_ETW_1137_BIP_EBIT"/>
    <w:qFormat/>
    <w:rsid w:val="00df5ea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NSRFXNeutral" w:customStyle="1">
    <w:name w:val="DM_ETW_1137_BIP_NSR_FX_Neutral"/>
    <w:qFormat/>
    <w:rsid w:val="00df5ea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INPUTCOSTS" w:customStyle="1">
    <w:name w:val="DM_ETW_1137_BIP_INPUT_COSTS"/>
    <w:qFormat/>
    <w:rsid w:val="00df5ea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FCF" w:customStyle="1">
    <w:name w:val="DM_ETW_1137_BIP_FCF"/>
    <w:qFormat/>
    <w:rsid w:val="00df5ea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CASH" w:customStyle="1">
    <w:name w:val="DM_ETW_1137_BIP_CASH"/>
    <w:qFormat/>
    <w:rsid w:val="00df5ea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ISHY" w:customStyle="1">
    <w:name w:val="DM_ETW_1137_BIP_IS_HY"/>
    <w:qFormat/>
    <w:rsid w:val="00d76685"/>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DMETW1137BIPIS" w:customStyle="1">
    <w:name w:val="DM_ETW_1137_BIP_IS"/>
    <w:qFormat/>
    <w:rsid w:val="00d76685"/>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DMETW1137BIPFCT" w:customStyle="1">
    <w:name w:val="DM_ETW_1137_BIP_FCT"/>
    <w:qFormat/>
    <w:rsid w:val="00c9038e"/>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Volume" w:customStyle="1">
    <w:name w:val="DM_ETW_1137_BIP_Volume"/>
    <w:qFormat/>
    <w:rsid w:val="005278fe"/>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NSR" w:customStyle="1">
    <w:name w:val="DM_ETW_1137_BIP_NSR"/>
    <w:qFormat/>
    <w:rsid w:val="005278fe"/>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NARTDBackhalf" w:customStyle="1">
    <w:name w:val="DM_ETW_1137_BIP_NARTD_Backhalf"/>
    <w:qFormat/>
    <w:rsid w:val="004d424d"/>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Otherincomestatementitems" w:customStyle="1">
    <w:name w:val="DM_ETW_1137_BIP_Other_income_statement_items"/>
    <w:qFormat/>
    <w:rsid w:val="004d424d"/>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RESTRUCTURING" w:customStyle="1">
    <w:name w:val="DM_ETW_1137_BIP_RESTRUCTURING"/>
    <w:qFormat/>
    <w:rsid w:val="00e1163c"/>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Financecost" w:customStyle="1">
    <w:name w:val="DM_ETW_1137_BIP_Finance_cost"/>
    <w:qFormat/>
    <w:rsid w:val="00e1163c"/>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tax" w:customStyle="1">
    <w:name w:val="DM_ETW_1137_BIP_tax"/>
    <w:qFormat/>
    <w:rsid w:val="00e1163c"/>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Assets" w:customStyle="1">
    <w:name w:val="DM_ETW_1137_BIP_Assets"/>
    <w:qFormat/>
    <w:rsid w:val="007e4483"/>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Receivables" w:customStyle="1">
    <w:name w:val="DM_ETW_1137_BIP_Receivables"/>
    <w:qFormat/>
    <w:rsid w:val="00f25302"/>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37BIPNetdebt" w:customStyle="1">
    <w:name w:val="DM_ETW_1137_BIP_Netdebt"/>
    <w:qFormat/>
    <w:rsid w:val="007e4483"/>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CapitalPremium" w:customStyle="1">
    <w:name w:val="DM_ETW_1137_BIP_Capital_Premium"/>
    <w:qFormat/>
    <w:rsid w:val="009c64cd"/>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Leaseclosing" w:customStyle="1">
    <w:name w:val="DM_ETW_1137_BIP_Lease_closing"/>
    <w:qFormat/>
    <w:rsid w:val="00004ba1"/>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TCCC" w:customStyle="1">
    <w:name w:val="DM_ETW_1137_BIP_TCCC"/>
    <w:qFormat/>
    <w:rsid w:val="00ac4815"/>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Frigoglass" w:customStyle="1">
    <w:name w:val="DM_ETW_1137_BIP_Frigoglass"/>
    <w:qFormat/>
    <w:rsid w:val="00ac4815"/>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RPJVs" w:customStyle="1">
    <w:name w:val="DM_ETW_1137_BIP_RP_JVs"/>
    <w:qFormat/>
    <w:rsid w:val="00ac4815"/>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137BIPVOLUMECOUNTRY" w:customStyle="1">
    <w:name w:val="DM_ETW_1137_BIP_VOLUMECOUNTRY"/>
    <w:qFormat/>
    <w:rsid w:val="00fd779f"/>
    <w:pPr>
      <w:widowControl/>
      <w:bidi w:val="0"/>
      <w:spacing w:before="0" w:after="0"/>
      <w:jc w:val="left"/>
    </w:pPr>
    <w:rPr>
      <w:rFonts w:ascii="Effra Corp" w:hAnsi="Effra Corp" w:eastAsia="Effra Corp" w:cs="Effra Corp"/>
      <w:b/>
      <w:color w:val="000000"/>
      <w:kern w:val="0"/>
      <w:sz w:val="22"/>
      <w:szCs w:val="20"/>
      <w:lang w:val="en-US" w:eastAsia="en-US" w:bidi="ar-SA"/>
    </w:rPr>
  </w:style>
  <w:style w:type="paragraph" w:styleId="DMETW1137BIPlikeforlike" w:customStyle="1">
    <w:name w:val="DM_ETW_1137_BIP_likeforlike"/>
    <w:qFormat/>
    <w:rsid w:val="004105b0"/>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37BIPlikeforlikeupdated" w:customStyle="1">
    <w:name w:val="DM_ETW_1137_BIP_likeforlikeupdated"/>
    <w:qFormat/>
    <w:rsid w:val="00800cc5"/>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Xxmsonormal" w:customStyle="1">
    <w:name w:val="x_xmsonormal"/>
    <w:basedOn w:val="Normal"/>
    <w:qFormat/>
    <w:rsid w:val="002f75b6"/>
    <w:pPr/>
    <w:rPr>
      <w:rFonts w:ascii="Calibri" w:hAnsi="Calibri" w:eastAsia="Calibri" w:cs="Calibri" w:eastAsiaTheme="minorHAnsi"/>
      <w:sz w:val="22"/>
      <w:szCs w:val="22"/>
    </w:rPr>
  </w:style>
  <w:style w:type="paragraph" w:styleId="Normal050" w:customStyle="1">
    <w:name w:val="Normal_0_5_0"/>
    <w:qFormat/>
    <w:rsid w:val="00320183"/>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GenericStylesBodytextAfterTables3" w:customStyle="1">
    <w:name w:val="Generic Styles Bodytext After Tables_3"/>
    <w:basedOn w:val="Normal"/>
    <w:qFormat/>
    <w:rsid w:val="00263a73"/>
    <w:pPr>
      <w:spacing w:lineRule="auto" w:line="259" w:before="85" w:after="113"/>
    </w:pPr>
    <w:rPr>
      <w:rFonts w:ascii="Effra" w:hAnsi="Effra"/>
      <w:sz w:val="16"/>
      <w:szCs w:val="22"/>
      <w:lang w:eastAsia="en-US"/>
    </w:rPr>
  </w:style>
  <w:style w:type="paragraph" w:styleId="DMETW1145BIPFCT" w:customStyle="1">
    <w:name w:val="DM_ETW_1145_BIP_FCT"/>
    <w:qFormat/>
    <w:rsid w:val="00e246b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Financecost" w:customStyle="1">
    <w:name w:val="DM_ETW_1145_BIP_Finance_cost"/>
    <w:qFormat/>
    <w:rsid w:val="008d1a25"/>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Leaseclosing" w:customStyle="1">
    <w:name w:val="DM_ETW_1145_BIP_Lease_closing"/>
    <w:qFormat/>
    <w:rsid w:val="0060421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BALANCESHEET" w:customStyle="1">
    <w:name w:val="DM_ETW_1145_BIP_BALANCESHEET"/>
    <w:qFormat/>
    <w:rsid w:val="000f4864"/>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45BIPRESTRUCTURING" w:customStyle="1">
    <w:name w:val="DM_ETW_1145_BIP_RESTRUCTURING"/>
    <w:qFormat/>
    <w:rsid w:val="0052183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Assets" w:customStyle="1">
    <w:name w:val="DM_ETW_1145_BIP_Assets"/>
    <w:qFormat/>
    <w:rsid w:val="00b65498"/>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CapitalPremium" w:customStyle="1">
    <w:name w:val="DM_ETW_1145_BIP_Capital_Premium"/>
    <w:qFormat/>
    <w:rsid w:val="00b65498"/>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INCOMESTATEMENT" w:customStyle="1">
    <w:name w:val="DM_ETW_1145_BIP_INCOME_STATEMENT"/>
    <w:qFormat/>
    <w:rsid w:val="000f4864"/>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45BIPEBIT" w:customStyle="1">
    <w:name w:val="DM_ETW_1145_BIP_EBIT"/>
    <w:qFormat/>
    <w:rsid w:val="0017358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DEVELOPING" w:customStyle="1">
    <w:name w:val="DM_ETW_1145_BIP_DEVELOPING"/>
    <w:qFormat/>
    <w:rsid w:val="0017358a"/>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45BIPFCF" w:customStyle="1">
    <w:name w:val="DM_ETW_1145_BIP_FCF"/>
    <w:qFormat/>
    <w:rsid w:val="0017358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EMERGING" w:customStyle="1">
    <w:name w:val="DM_ETW_1145_BIP_EMERGING"/>
    <w:qFormat/>
    <w:rsid w:val="0017358a"/>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45BIPCASH" w:customStyle="1">
    <w:name w:val="DM_ETW_1145_BIP_CASH"/>
    <w:qFormat/>
    <w:rsid w:val="0017358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CF" w:customStyle="1">
    <w:name w:val="DM_ETW_1145_BIP_CF"/>
    <w:qFormat/>
    <w:rsid w:val="000f4864"/>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45BIPESTABLISHED" w:customStyle="1">
    <w:name w:val="DM_ETW_1145_BIP_ESTABLISHED"/>
    <w:qFormat/>
    <w:rsid w:val="0017358a"/>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145BIPRPJVs" w:customStyle="1">
    <w:name w:val="DM_ETW_1145_BIP_RP_JVs"/>
    <w:qFormat/>
    <w:rsid w:val="0003170c"/>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Otherincomestatementitems" w:customStyle="1">
    <w:name w:val="DM_ETW_1145_BIP_Other_income_statement_items"/>
    <w:qFormat/>
    <w:rsid w:val="00b65498"/>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Netdebt" w:customStyle="1">
    <w:name w:val="DM_ETW_1145_BIP_Netdebt"/>
    <w:qFormat/>
    <w:rsid w:val="00b65498"/>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IS" w:customStyle="1">
    <w:name w:val="DM_ETW_1145_BIP_IS"/>
    <w:qFormat/>
    <w:rsid w:val="00e246bb"/>
    <w:pPr>
      <w:widowControl/>
      <w:bidi w:val="0"/>
      <w:spacing w:before="0" w:after="0"/>
      <w:jc w:val="right"/>
    </w:pPr>
    <w:rPr>
      <w:rFonts w:ascii="Effra Corp" w:hAnsi="Effra Corp" w:eastAsia="Effra Corp" w:cs="Effra Corp"/>
      <w:b/>
      <w:color w:val="auto"/>
      <w:kern w:val="0"/>
      <w:sz w:val="20"/>
      <w:szCs w:val="20"/>
      <w:lang w:val="en-US" w:eastAsia="en-US" w:bidi="ar-SA"/>
    </w:rPr>
  </w:style>
  <w:style w:type="paragraph" w:styleId="DMETW1145BIPFirstPage" w:customStyle="1">
    <w:name w:val="DM_ETW_1145_BIP_FirstPage"/>
    <w:qFormat/>
    <w:rsid w:val="000f4864"/>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NARTD" w:customStyle="1">
    <w:name w:val="DM_ETW_1145_BIP_NARTD"/>
    <w:qFormat/>
    <w:rsid w:val="00b87f19"/>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NSR" w:customStyle="1">
    <w:name w:val="DM_ETW_1145_BIP_NSR"/>
    <w:qFormat/>
    <w:rsid w:val="00d77fd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COMPARABLE" w:customStyle="1">
    <w:name w:val="DM_ETW_1145_BIP_COMPARABLE"/>
    <w:qFormat/>
    <w:rsid w:val="0017358a"/>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NARTDBackhalf" w:customStyle="1">
    <w:name w:val="DM_ETW_1145_BIP_NARTD_Backhalf"/>
    <w:qFormat/>
    <w:rsid w:val="00d77fd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Frigoglass" w:customStyle="1">
    <w:name w:val="DM_ETW_1145_BIP_Frigoglass"/>
    <w:qFormat/>
    <w:rsid w:val="00f2565f"/>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tax" w:customStyle="1">
    <w:name w:val="DM_ETW_1145_BIP_tax"/>
    <w:qFormat/>
    <w:rsid w:val="00b65498"/>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Volume" w:customStyle="1">
    <w:name w:val="DM_ETW_1145_BIP_Volume"/>
    <w:qFormat/>
    <w:rsid w:val="00d77fd3"/>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TCCC" w:customStyle="1">
    <w:name w:val="DM_ETW_1145_BIP_TCCC"/>
    <w:qFormat/>
    <w:rsid w:val="005161c0"/>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OrganicVolume" w:customStyle="1">
    <w:name w:val="DM_ETW_1145_BIP_OrganicVolume"/>
    <w:qFormat/>
    <w:rsid w:val="000b7886"/>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OrganicNSR" w:customStyle="1">
    <w:name w:val="DM_ETW_1145_BIP_OrganicNSR"/>
    <w:qFormat/>
    <w:rsid w:val="000f4864"/>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OrganicNSRperUC" w:customStyle="1">
    <w:name w:val="DM_ETW_1145_BIP_OrganicNSRperUC"/>
    <w:qFormat/>
    <w:rsid w:val="000f4864"/>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145BIPOrganicCompEBIT" w:customStyle="1">
    <w:name w:val="DM_ETW_1145_BIP_OrganicCompEBIT"/>
    <w:qFormat/>
    <w:rsid w:val="000f4864"/>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Percent" w:customStyle="1">
    <w:name w:val="Percent"/>
    <w:qFormat/>
    <w:rsid w:val="00454f69"/>
    <w:pPr>
      <w:widowControl/>
      <w:bidi w:val="0"/>
      <w:spacing w:before="0" w:after="0"/>
      <w:jc w:val="left"/>
    </w:pPr>
    <w:rPr>
      <w:rFonts w:ascii="Arial" w:hAnsi="Arial" w:eastAsia="Arial" w:cs="Arial"/>
      <w:color w:val="000000"/>
      <w:kern w:val="0"/>
      <w:sz w:val="20"/>
      <w:szCs w:val="20"/>
      <w:lang w:val="en-US" w:eastAsia="en-US" w:bidi="ar-SA"/>
    </w:rPr>
  </w:style>
  <w:style w:type="paragraph" w:styleId="DMETW1145BIPOrganicCompEBITMargin" w:customStyle="1">
    <w:name w:val="DM_ETW_1145_BIP_OrganicCompEBITMargin"/>
    <w:qFormat/>
    <w:rsid w:val="000f4864"/>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GenericStylesBodytext6" w:customStyle="1">
    <w:name w:val="Generic Styles Bodytext_6"/>
    <w:basedOn w:val="Normal32"/>
    <w:qFormat/>
    <w:rsid w:val="00e157f2"/>
    <w:pPr>
      <w:spacing w:lineRule="auto" w:line="259" w:before="0" w:after="113"/>
    </w:pPr>
    <w:rPr>
      <w:rFonts w:ascii="Effra" w:hAnsi="Effra"/>
      <w:sz w:val="16"/>
      <w:szCs w:val="22"/>
    </w:rPr>
  </w:style>
  <w:style w:type="paragraph" w:styleId="DMETW1038BIPERS1" w:customStyle="1">
    <w:name w:val="DM_ETW_1038_BIP_ERS1"/>
    <w:qFormat/>
    <w:rsid w:val="00e157f2"/>
    <w:pPr>
      <w:widowControl/>
      <w:bidi w:val="0"/>
      <w:spacing w:before="0" w:after="0"/>
      <w:jc w:val="center"/>
    </w:pPr>
    <w:rPr>
      <w:rFonts w:ascii="Effra Corp" w:hAnsi="Effra Corp" w:eastAsia="Effra Corp" w:cs="Effra Corp"/>
      <w:b/>
      <w:color w:val="000000"/>
      <w:kern w:val="0"/>
      <w:sz w:val="16"/>
      <w:szCs w:val="20"/>
      <w:lang w:val="en-US" w:eastAsia="en-US" w:bidi="ar-SA"/>
    </w:rPr>
  </w:style>
  <w:style w:type="paragraph" w:styleId="Lf" w:customStyle="1">
    <w:name w:val="lf"/>
    <w:basedOn w:val="Normal"/>
    <w:qFormat/>
    <w:rsid w:val="00a33d01"/>
    <w:pPr>
      <w:spacing w:beforeAutospacing="1" w:afterAutospacing="1"/>
    </w:pPr>
    <w:rPr>
      <w:rFonts w:eastAsia="Calibri" w:eastAsiaTheme="minorHAnsi"/>
      <w:lang w:eastAsia="en-US"/>
    </w:rPr>
  </w:style>
  <w:style w:type="paragraph" w:styleId="ListBullet4">
    <w:name w:val="List Bullet 4"/>
    <w:basedOn w:val="Style12"/>
    <w:uiPriority w:val="13"/>
    <w:unhideWhenUsed/>
    <w:qFormat/>
    <w:rsid w:val="00cf5f70"/>
    <w:pPr>
      <w:spacing w:lineRule="auto" w:line="264" w:before="0" w:after="180"/>
      <w:ind w:left="3237" w:hanging="360"/>
      <w:contextualSpacing/>
    </w:pPr>
    <w:rPr>
      <w:rFonts w:ascii="Georgia" w:hAnsi="Georgia" w:eastAsia="Georgia" w:cs="Arial"/>
      <w:i w:val="false"/>
      <w:iCs w:val="false"/>
      <w:color w:val="000000" w:themeColor="text1"/>
      <w:sz w:val="20"/>
      <w:szCs w:val="21"/>
      <w:lang w:val="en-GB" w:eastAsia="en-US"/>
    </w:rPr>
  </w:style>
  <w:style w:type="paragraph" w:styleId="ListBullet5">
    <w:name w:val="List Bullet 5"/>
    <w:basedOn w:val="Style12"/>
    <w:uiPriority w:val="13"/>
    <w:unhideWhenUsed/>
    <w:qFormat/>
    <w:rsid w:val="00cf5f70"/>
    <w:pPr>
      <w:spacing w:lineRule="atLeast" w:line="240" w:before="0" w:after="200"/>
      <w:ind w:left="3957" w:hanging="360"/>
      <w:contextualSpacing/>
    </w:pPr>
    <w:rPr>
      <w:rFonts w:ascii="Georgia" w:hAnsi="Georgia" w:eastAsia="Georgia" w:cs="Arial"/>
      <w:i w:val="false"/>
      <w:iCs w:val="false"/>
      <w:sz w:val="20"/>
      <w:szCs w:val="20"/>
      <w:lang w:val="en-GB" w:eastAsia="en-US"/>
    </w:rPr>
  </w:style>
  <w:style w:type="paragraph" w:styleId="ListNumber2">
    <w:name w:val="List Number 2"/>
    <w:basedOn w:val="Normal"/>
    <w:uiPriority w:val="13"/>
    <w:unhideWhenUsed/>
    <w:qFormat/>
    <w:rsid w:val="00cf5f70"/>
    <w:pPr>
      <w:numPr>
        <w:ilvl w:val="1"/>
        <w:numId w:val="6"/>
      </w:numPr>
      <w:spacing w:lineRule="atLeast" w:line="240" w:before="0" w:after="240"/>
      <w:contextualSpacing/>
    </w:pPr>
    <w:rPr>
      <w:rFonts w:ascii="Georgia" w:hAnsi="Georgia" w:eastAsia="Georgia" w:cs="Georgia"/>
      <w:sz w:val="20"/>
      <w:szCs w:val="20"/>
      <w:lang w:val="en-GB" w:eastAsia="en-US"/>
    </w:rPr>
  </w:style>
  <w:style w:type="paragraph" w:styleId="ListNumber3">
    <w:name w:val="List Number 3"/>
    <w:basedOn w:val="Normal"/>
    <w:uiPriority w:val="13"/>
    <w:unhideWhenUsed/>
    <w:qFormat/>
    <w:rsid w:val="00cf5f70"/>
    <w:pPr>
      <w:numPr>
        <w:ilvl w:val="2"/>
        <w:numId w:val="6"/>
      </w:numPr>
      <w:spacing w:lineRule="atLeast" w:line="240" w:before="0" w:after="240"/>
      <w:contextualSpacing/>
    </w:pPr>
    <w:rPr>
      <w:rFonts w:ascii="Georgia" w:hAnsi="Georgia" w:eastAsia="Georgia" w:cs="Georgia"/>
      <w:sz w:val="20"/>
      <w:szCs w:val="20"/>
      <w:lang w:val="en-GB" w:eastAsia="en-US"/>
    </w:rPr>
  </w:style>
  <w:style w:type="paragraph" w:styleId="DMETW1239BIPLeaseclosing" w:customStyle="1">
    <w:name w:val="DM_ETW_1239_BIP_Lease_closing"/>
    <w:qFormat/>
    <w:rsid w:val="003631b9"/>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TCCC" w:customStyle="1">
    <w:name w:val="DM_ETW_1239_BIP_TCCC"/>
    <w:qFormat/>
    <w:rsid w:val="005359f4"/>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OCI" w:customStyle="1">
    <w:name w:val="DM_ETW_1239_BIP_OCI"/>
    <w:qFormat/>
    <w:rsid w:val="00ee26d6"/>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CASH" w:customStyle="1">
    <w:name w:val="DM_ETW_1239_BIP_CASH"/>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OrganicCompEBITMargin" w:customStyle="1">
    <w:name w:val="DM_ETW_1239_BIP_OrganicCompEBITMargin"/>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Financecost" w:customStyle="1">
    <w:name w:val="DM_ETW_1239_BIP_Finance_cost"/>
    <w:qFormat/>
    <w:rsid w:val="007468a6"/>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BALANCESHEET" w:customStyle="1">
    <w:name w:val="DM_ETW_1239_BIP_BALANCESHEET"/>
    <w:qFormat/>
    <w:rsid w:val="00ce2e21"/>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1239BIPOrganicCompEBIT" w:customStyle="1">
    <w:name w:val="DM_ETW_1239_BIP_OrganicCompEBIT"/>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tax" w:customStyle="1">
    <w:name w:val="DM_ETW_1239_BIP_tax"/>
    <w:qFormat/>
    <w:rsid w:val="007468a6"/>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CapitalPremium" w:customStyle="1">
    <w:name w:val="DM_ETW_1239_BIP_Capital_Premium"/>
    <w:qFormat/>
    <w:rsid w:val="001c20a8"/>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FirstPage" w:customStyle="1">
    <w:name w:val="DM_ETW_1239_BIP_FirstPage"/>
    <w:qFormat/>
    <w:rsid w:val="00ce2e21"/>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OrganicNSRperUC" w:customStyle="1">
    <w:name w:val="DM_ETW_1239_BIP_OrganicNSRperUC"/>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FCF" w:customStyle="1">
    <w:name w:val="DM_ETW_1239_BIP_FCF"/>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EMERGING" w:customStyle="1">
    <w:name w:val="DM_ETW_1239_BIP_EMERGING"/>
    <w:qFormat/>
    <w:rsid w:val="00ce2e21"/>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1239BIPRPJVs" w:customStyle="1">
    <w:name w:val="DM_ETW_1239_BIP_RP_JVs"/>
    <w:qFormat/>
    <w:rsid w:val="005359f4"/>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RESTRUCTURING" w:customStyle="1">
    <w:name w:val="DM_ETW_1239_BIP_RESTRUCTURING"/>
    <w:qFormat/>
    <w:rsid w:val="007468a6"/>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Assets" w:customStyle="1">
    <w:name w:val="DM_ETW_1239_BIP_Assets"/>
    <w:qFormat/>
    <w:rsid w:val="007468a6"/>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NSR" w:customStyle="1">
    <w:name w:val="DM_ETW_1239_BIP_NSR"/>
    <w:qFormat/>
    <w:rsid w:val="00e60967"/>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IS" w:customStyle="1">
    <w:name w:val="DM_ETW_1239_BIP_IS"/>
    <w:qFormat/>
    <w:rsid w:val="00bd0ed2"/>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1239BIPCOMPARABLE" w:customStyle="1">
    <w:name w:val="DM_ETW_1239_BIP_COMPARABLE"/>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Volume" w:customStyle="1">
    <w:name w:val="DM_ETW_1239_BIP_Volume"/>
    <w:qFormat/>
    <w:rsid w:val="00e60967"/>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Netdebt" w:customStyle="1">
    <w:name w:val="DM_ETW_1239_BIP_Netdebt"/>
    <w:qFormat/>
    <w:rsid w:val="00b120ba"/>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Frigoglass" w:customStyle="1">
    <w:name w:val="DM_ETW_1239_BIP_Frigoglass"/>
    <w:qFormat/>
    <w:rsid w:val="005359f4"/>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DEVELOPING" w:customStyle="1">
    <w:name w:val="DM_ETW_1239_BIP_DEVELOPING"/>
    <w:qFormat/>
    <w:rsid w:val="00ce2e21"/>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1239BIPINCOMESTATEMENT" w:customStyle="1">
    <w:name w:val="DM_ETW_1239_BIP_INCOME_STATEMENT"/>
    <w:qFormat/>
    <w:rsid w:val="00ce2e21"/>
    <w:pPr>
      <w:widowControl/>
      <w:bidi w:val="0"/>
      <w:spacing w:before="0" w:after="0"/>
      <w:ind w:left="200" w:hanging="0"/>
      <w:jc w:val="left"/>
    </w:pPr>
    <w:rPr>
      <w:rFonts w:ascii="Effra Corp" w:hAnsi="Effra Corp" w:eastAsia="Effra Corp" w:cs="Effra Corp"/>
      <w:b/>
      <w:color w:val="000000"/>
      <w:kern w:val="0"/>
      <w:sz w:val="22"/>
      <w:szCs w:val="20"/>
      <w:lang w:val="en-US" w:eastAsia="en-US" w:bidi="ar-SA"/>
    </w:rPr>
  </w:style>
  <w:style w:type="paragraph" w:styleId="DMETW1239BIPESTABLISHED" w:customStyle="1">
    <w:name w:val="DM_ETW_1239_BIP_ESTABLISHED"/>
    <w:qFormat/>
    <w:rsid w:val="00ce2e21"/>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1239BIPNARTDBackhalf" w:customStyle="1">
    <w:name w:val="DM_ETW_1239_BIP_NARTD_Backhalf"/>
    <w:qFormat/>
    <w:rsid w:val="00e60967"/>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Otherincomestatementitems" w:customStyle="1">
    <w:name w:val="DM_ETW_1239_BIP_Other_income_statement_items"/>
    <w:qFormat/>
    <w:rsid w:val="007468a6"/>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EBIT" w:customStyle="1">
    <w:name w:val="DM_ETW_1239_BIP_EBIT"/>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FCT" w:customStyle="1">
    <w:name w:val="DM_ETW_1239_BIP_FCT"/>
    <w:qFormat/>
    <w:rsid w:val="00e60967"/>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1239BIPOrganicVolume" w:customStyle="1">
    <w:name w:val="DM_ETW_1239_BIP_OrganicVolume"/>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CF" w:customStyle="1">
    <w:name w:val="DM_ETW_1239_BIP_CF"/>
    <w:qFormat/>
    <w:rsid w:val="00ce2e21"/>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1239BIPOrganicNSR" w:customStyle="1">
    <w:name w:val="DM_ETW_1239_BIP_OrganicNSR"/>
    <w:qFormat/>
    <w:rsid w:val="008a776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1239BIPISHY" w:customStyle="1">
    <w:name w:val="DM_ETW_1239_BIP_IS_HY"/>
    <w:qFormat/>
    <w:rsid w:val="00ee18ac"/>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1239BIPOCIHY" w:customStyle="1">
    <w:name w:val="DM_ETW_1239_BIP_OCI_HY"/>
    <w:qFormat/>
    <w:rsid w:val="004073cb"/>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A" w:customStyle="1">
    <w:name w:val="a"/>
    <w:basedOn w:val="Normal"/>
    <w:qFormat/>
    <w:rsid w:val="003631b9"/>
    <w:pPr>
      <w:spacing w:beforeAutospacing="1" w:afterAutospacing="1"/>
    </w:pPr>
    <w:rPr>
      <w:lang w:eastAsia="en-US"/>
    </w:rPr>
  </w:style>
  <w:style w:type="paragraph" w:styleId="DMETW1239BIPVOLUMECOUNTRY" w:customStyle="1">
    <w:name w:val="DM_ETW_1239_BIP_VOLUMECOUNTRY"/>
    <w:qFormat/>
    <w:rsid w:val="005d2a01"/>
    <w:pPr>
      <w:widowControl/>
      <w:bidi w:val="0"/>
      <w:spacing w:before="0" w:after="0"/>
      <w:jc w:val="left"/>
    </w:pPr>
    <w:rPr>
      <w:rFonts w:ascii="Effra Corp" w:hAnsi="Effra Corp" w:eastAsia="Effra Corp" w:cs="Effra Corp"/>
      <w:b/>
      <w:color w:val="000000"/>
      <w:kern w:val="0"/>
      <w:sz w:val="22"/>
      <w:szCs w:val="20"/>
      <w:lang w:val="en-US" w:eastAsia="en-US" w:bidi="ar-SA"/>
    </w:rPr>
  </w:style>
  <w:style w:type="paragraph" w:styleId="DMETW1943BIPFirstPage" w:customStyle="1">
    <w:name w:val="DM_ETW_1943_BIP_FirstPage"/>
    <w:qFormat/>
    <w:rsid w:val="00505fa0"/>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ESTABLISHED" w:customStyle="1">
    <w:name w:val="DM_ETW_1943_BIP_ESTABLISHED"/>
    <w:qFormat/>
    <w:rsid w:val="00505fa0"/>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943BIPDEVELOPING" w:customStyle="1">
    <w:name w:val="DM_ETW_1943_BIP_DEVELOPING"/>
    <w:qFormat/>
    <w:rsid w:val="009c2777"/>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943BIPEMERGING" w:customStyle="1">
    <w:name w:val="DM_ETW_1943_BIP_EMERGING"/>
    <w:qFormat/>
    <w:rsid w:val="003837ea"/>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943BIPINCOMESTATEMENT" w:customStyle="1">
    <w:name w:val="DM_ETW_1943_BIP_INCOME_STATEMENT"/>
    <w:qFormat/>
    <w:rsid w:val="0024621c"/>
    <w:pPr>
      <w:widowControl/>
      <w:bidi w:val="0"/>
      <w:spacing w:before="0" w:after="0"/>
      <w:ind w:left="200" w:hanging="0"/>
      <w:jc w:val="left"/>
    </w:pPr>
    <w:rPr>
      <w:rFonts w:ascii="Effra Corp" w:hAnsi="Effra Corp" w:eastAsia="Effra Corp" w:cs="Effra Corp"/>
      <w:b/>
      <w:color w:val="auto"/>
      <w:kern w:val="0"/>
      <w:sz w:val="22"/>
      <w:szCs w:val="20"/>
      <w:lang w:val="en-US" w:eastAsia="en-US" w:bidi="ar-SA"/>
    </w:rPr>
  </w:style>
  <w:style w:type="paragraph" w:styleId="DMETW1943BIPBALANCESHEET" w:customStyle="1">
    <w:name w:val="DM_ETW_1943_BIP_BALANCESHEET"/>
    <w:qFormat/>
    <w:rsid w:val="00794ee7"/>
    <w:pPr>
      <w:widowControl/>
      <w:bidi w:val="0"/>
      <w:spacing w:before="0" w:after="0"/>
      <w:jc w:val="left"/>
    </w:pPr>
    <w:rPr>
      <w:rFonts w:ascii="Effra Corp" w:hAnsi="Effra Corp" w:eastAsia="Effra Corp" w:cs="Effra Corp"/>
      <w:b/>
      <w:color w:val="auto"/>
      <w:kern w:val="0"/>
      <w:sz w:val="20"/>
      <w:szCs w:val="20"/>
      <w:lang w:val="en-US" w:eastAsia="en-US" w:bidi="ar-SA"/>
    </w:rPr>
  </w:style>
  <w:style w:type="paragraph" w:styleId="DMETW1943BIPCOMPARABLE" w:customStyle="1">
    <w:name w:val="DM_ETW_1943_BIP_COMPARABLE"/>
    <w:qFormat/>
    <w:rsid w:val="00bc39b9"/>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OrganicVolume" w:customStyle="1">
    <w:name w:val="DM_ETW_1943_BIP_OrganicVolume"/>
    <w:qFormat/>
    <w:rsid w:val="00e100bd"/>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OrganicNSR" w:customStyle="1">
    <w:name w:val="DM_ETW_1943_BIP_OrganicNSR"/>
    <w:qFormat/>
    <w:rsid w:val="00e100bd"/>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OrganicNSRperUC" w:customStyle="1">
    <w:name w:val="DM_ETW_1943_BIP_OrganicNSRperUC"/>
    <w:qFormat/>
    <w:rsid w:val="00e100bd"/>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OrganicCompEBIT" w:customStyle="1">
    <w:name w:val="DM_ETW_1943_BIP_OrganicCompEBIT"/>
    <w:qFormat/>
    <w:rsid w:val="00743bd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OrganicCompEBITMargin" w:customStyle="1">
    <w:name w:val="DM_ETW_1943_BIP_OrganicCompEBITMargin"/>
    <w:qFormat/>
    <w:rsid w:val="00743bd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FCF" w:customStyle="1">
    <w:name w:val="DM_ETW_1943_BIP_FCF"/>
    <w:qFormat/>
    <w:rsid w:val="00412a6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CASH" w:customStyle="1">
    <w:name w:val="DM_ETW_1943_BIP_CASH"/>
    <w:qFormat/>
    <w:rsid w:val="00412a61"/>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EBIT" w:customStyle="1">
    <w:name w:val="DM_ETW_1943_BIP_EBIT"/>
    <w:qFormat/>
    <w:rsid w:val="004e3f4b"/>
    <w:pPr>
      <w:widowControl/>
      <w:bidi w:val="0"/>
      <w:spacing w:before="0" w:after="0"/>
      <w:jc w:val="left"/>
    </w:pPr>
    <w:rPr>
      <w:rFonts w:ascii="Effra Corp" w:hAnsi="Effra Corp" w:eastAsia="Effra Corp" w:cs="Effra Corp"/>
      <w:color w:val="auto"/>
      <w:kern w:val="0"/>
      <w:sz w:val="20"/>
      <w:szCs w:val="20"/>
      <w:lang w:val="en-US" w:eastAsia="en-US" w:bidi="ar-SA"/>
    </w:rPr>
  </w:style>
  <w:style w:type="paragraph" w:styleId="DMETW1943BIPISHY" w:customStyle="1">
    <w:name w:val="DM_ETW_1943_BIP_IS_HY"/>
    <w:qFormat/>
    <w:rsid w:val="00f36202"/>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1943BIPIS" w:customStyle="1">
    <w:name w:val="DM_ETW_1943_BIP_IS"/>
    <w:qFormat/>
    <w:rsid w:val="00ef4fd4"/>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1943BIPFCT" w:customStyle="1">
    <w:name w:val="DM_ETW_1943_BIP_FCT"/>
    <w:qFormat/>
    <w:rsid w:val="00437c50"/>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943BIPVolume" w:customStyle="1">
    <w:name w:val="DM_ETW_1943_BIP_Volume"/>
    <w:qFormat/>
    <w:rsid w:val="007e4050"/>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943BIPAssets" w:customStyle="1">
    <w:name w:val="DM_ETW_1943_BIP_Assets"/>
    <w:qFormat/>
    <w:rsid w:val="008067f1"/>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DMETW1943BIPNetdebt" w:customStyle="1">
    <w:name w:val="DM_ETW_1943_BIP_Netdebt"/>
    <w:qFormat/>
    <w:rsid w:val="0034027f"/>
    <w:pPr>
      <w:widowControl/>
      <w:bidi w:val="0"/>
      <w:spacing w:before="0" w:after="0"/>
      <w:jc w:val="left"/>
    </w:pPr>
    <w:rPr>
      <w:rFonts w:ascii="Effra Corp" w:hAnsi="Effra Corp" w:eastAsia="Effra Corp" w:cs="Effra Corp"/>
      <w:color w:val="auto"/>
      <w:kern w:val="0"/>
      <w:sz w:val="22"/>
      <w:szCs w:val="20"/>
      <w:lang w:val="en-US" w:eastAsia="en-US" w:bidi="ar-SA"/>
    </w:rPr>
  </w:style>
  <w:style w:type="paragraph" w:styleId="Cq1" w:customStyle="1">
    <w:name w:val="cq1"/>
    <w:basedOn w:val="Normal"/>
    <w:qFormat/>
    <w:rsid w:val="003b4bcd"/>
    <w:pPr>
      <w:jc w:val="both"/>
    </w:pPr>
    <w:rPr>
      <w:rFonts w:ascii="Calibri" w:hAnsi="Calibri" w:eastAsia="Calibri" w:cs="Calibri" w:eastAsiaTheme="minorHAnsi"/>
      <w:sz w:val="20"/>
      <w:szCs w:val="20"/>
      <w:lang w:eastAsia="en-US"/>
    </w:rPr>
  </w:style>
  <w:style w:type="paragraph" w:styleId="Cv1" w:customStyle="1">
    <w:name w:val="cv1"/>
    <w:basedOn w:val="Normal"/>
    <w:qFormat/>
    <w:rsid w:val="003b4bcd"/>
    <w:pPr>
      <w:ind w:left="360" w:hanging="0"/>
      <w:jc w:val="both"/>
    </w:pPr>
    <w:rPr>
      <w:rFonts w:ascii="Calibri" w:hAnsi="Calibri" w:eastAsia="Calibri" w:cs="Calibri" w:eastAsiaTheme="minorHAnsi"/>
      <w:sz w:val="20"/>
      <w:szCs w:val="20"/>
      <w:lang w:eastAsia="en-US"/>
    </w:rPr>
  </w:style>
  <w:style w:type="paragraph" w:styleId="DMETW1875BIPFrigoLeventistable" w:customStyle="1">
    <w:name w:val="DM_ETW_1875_BIP_Frigo__Leventis_table"/>
    <w:qFormat/>
    <w:rsid w:val="009933d8"/>
    <w:pPr>
      <w:widowControl/>
      <w:bidi w:val="0"/>
      <w:spacing w:before="0" w:after="0"/>
      <w:jc w:val="left"/>
    </w:pPr>
    <w:rPr>
      <w:rFonts w:ascii="Times New Roman" w:hAnsi="Times New Roman" w:eastAsia="Times New Roman" w:cs="Times New Roman"/>
      <w:color w:val="000000"/>
      <w:kern w:val="0"/>
      <w:sz w:val="20"/>
      <w:szCs w:val="20"/>
      <w:lang w:val="en-US" w:eastAsia="en-US" w:bidi="ar-SA"/>
    </w:rPr>
  </w:style>
  <w:style w:type="paragraph" w:styleId="Normal84" w:customStyle="1">
    <w:name w:val="Normal_84"/>
    <w:qFormat/>
    <w:rsid w:val="009933d8"/>
    <w:pPr>
      <w:widowControl/>
      <w:bidi w:val="0"/>
      <w:spacing w:lineRule="auto" w:line="259" w:before="0" w:after="160"/>
      <w:jc w:val="left"/>
    </w:pPr>
    <w:rPr>
      <w:rFonts w:ascii="Times New Roman" w:hAnsi="Times New Roman" w:eastAsia="Times New Roman" w:cs="Times New Roman"/>
      <w:color w:val="auto"/>
      <w:kern w:val="0"/>
      <w:sz w:val="22"/>
      <w:szCs w:val="22"/>
      <w:lang w:val="en-US" w:eastAsia="en-US" w:bidi="ar-SA"/>
    </w:rPr>
  </w:style>
  <w:style w:type="paragraph" w:styleId="DMETW2052BIPFirstPage" w:customStyle="1">
    <w:name w:val="DM_ETW_2052_BIP_FirstPage"/>
    <w:qFormat/>
    <w:rsid w:val="00d02070"/>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052BIPESTABLISHED" w:customStyle="1">
    <w:name w:val="DM_ETW_2052_BIP_ESTABLISHED"/>
    <w:qFormat/>
    <w:rsid w:val="00520883"/>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052BIPDEVELOPING" w:customStyle="1">
    <w:name w:val="DM_ETW_2052_BIP_DEVELOPING"/>
    <w:qFormat/>
    <w:rsid w:val="00520883"/>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052BIPEMERGING" w:customStyle="1">
    <w:name w:val="DM_ETW_2052_BIP_EMERGING"/>
    <w:qFormat/>
    <w:rsid w:val="006d393f"/>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052BIPINCOMESTATEMENT" w:customStyle="1">
    <w:name w:val="DM_ETW_2052_BIP_INCOME_STATEMENT"/>
    <w:qFormat/>
    <w:rsid w:val="009c1912"/>
    <w:pPr>
      <w:widowControl/>
      <w:bidi w:val="0"/>
      <w:spacing w:before="0" w:after="0"/>
      <w:ind w:left="200" w:hanging="0"/>
      <w:jc w:val="left"/>
    </w:pPr>
    <w:rPr>
      <w:rFonts w:ascii="Effra Corp" w:hAnsi="Effra Corp" w:eastAsia="Effra Corp" w:cs="Effra Corp"/>
      <w:b/>
      <w:color w:val="000000"/>
      <w:kern w:val="0"/>
      <w:sz w:val="22"/>
      <w:szCs w:val="20"/>
      <w:lang w:val="en-US" w:eastAsia="en-US" w:bidi="ar-SA"/>
    </w:rPr>
  </w:style>
  <w:style w:type="paragraph" w:styleId="DMETW2052BIPBALANCESHEET" w:customStyle="1">
    <w:name w:val="DM_ETW_2052_BIP_BALANCESHEET"/>
    <w:qFormat/>
    <w:rsid w:val="009c1912"/>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052BIPEBIT" w:customStyle="1">
    <w:name w:val="DM_ETW_2052_BIP_EBIT"/>
    <w:qFormat/>
    <w:rsid w:val="002c4ef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Normal13" w:customStyle="1">
    <w:name w:val="Normal 13"/>
    <w:qFormat/>
    <w:rsid w:val="002221c5"/>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DMETW2052BIPOrganicVolume" w:customStyle="1">
    <w:name w:val="DM_ETW_2052_BIP_OrganicVolume"/>
    <w:qFormat/>
    <w:rsid w:val="003a7c3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052BIPOrganicNSR" w:customStyle="1">
    <w:name w:val="DM_ETW_2052_BIP_OrganicNSR"/>
    <w:qFormat/>
    <w:rsid w:val="003a7c3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052BIPOrganicNSRperUC" w:customStyle="1">
    <w:name w:val="DM_ETW_2052_BIP_OrganicNSRperUC"/>
    <w:qFormat/>
    <w:rsid w:val="003a7c3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052BIPOrganicCompEBIT" w:customStyle="1">
    <w:name w:val="DM_ETW_2052_BIP_OrganicCompEBIT"/>
    <w:qFormat/>
    <w:rsid w:val="003a7c3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052BIPOrganicCompEBITMargin" w:customStyle="1">
    <w:name w:val="DM_ETW_2052_BIP_OrganicCompEBITMargin"/>
    <w:qFormat/>
    <w:rsid w:val="003a7c3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052BIPFCF" w:customStyle="1">
    <w:name w:val="DM_ETW_2052_BIP_FCF"/>
    <w:qFormat/>
    <w:rsid w:val="003a7c3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Normal15" w:customStyle="1">
    <w:name w:val="Normal 15"/>
    <w:qFormat/>
    <w:rsid w:val="00e15f03"/>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DMETW2052BIPCASH" w:customStyle="1">
    <w:name w:val="DM_ETW_2052_BIP_CASH"/>
    <w:qFormat/>
    <w:rsid w:val="00cf2ef5"/>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Normal16" w:customStyle="1">
    <w:name w:val="Normal 16"/>
    <w:qFormat/>
    <w:rsid w:val="004c67da"/>
    <w:pPr>
      <w:widowControl/>
      <w:bidi w:val="0"/>
      <w:spacing w:before="0" w:after="0"/>
      <w:jc w:val="left"/>
    </w:pPr>
    <w:rPr>
      <w:rFonts w:ascii="Calibri" w:hAnsi="Calibri" w:eastAsia="Calibri" w:cs="Calibri"/>
      <w:color w:val="000000"/>
      <w:kern w:val="0"/>
      <w:sz w:val="22"/>
      <w:szCs w:val="20"/>
      <w:lang w:val="en-US" w:eastAsia="en-US" w:bidi="ar-SA"/>
    </w:rPr>
  </w:style>
  <w:style w:type="paragraph" w:styleId="DMETW2052BIPIS" w:customStyle="1">
    <w:name w:val="DM_ETW_2052_BIP_IS"/>
    <w:qFormat/>
    <w:rsid w:val="00ef4fd4"/>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2052BIPISHY" w:customStyle="1">
    <w:name w:val="DM_ETW_2052_BIP_IS_HY"/>
    <w:qFormat/>
    <w:rsid w:val="00a5349c"/>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2052BIPFCT" w:customStyle="1">
    <w:name w:val="DM_ETW_2052_BIP_FCT"/>
    <w:qFormat/>
    <w:rsid w:val="00425788"/>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Volume" w:customStyle="1">
    <w:name w:val="DM_ETW_2052_BIP_Volume"/>
    <w:qFormat/>
    <w:rsid w:val="007e6b23"/>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NSR" w:customStyle="1">
    <w:name w:val="DM_ETW_2052_BIP_NSR"/>
    <w:qFormat/>
    <w:rsid w:val="006d7910"/>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NARTDBackhalf" w:customStyle="1">
    <w:name w:val="DM_ETW_2052_BIP_NARTD_Backhalf"/>
    <w:qFormat/>
    <w:rsid w:val="005661ba"/>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Otherincomestatementitems" w:customStyle="1">
    <w:name w:val="DM_ETW_2052_BIP_Other_income_statement_items"/>
    <w:qFormat/>
    <w:rsid w:val="005661ba"/>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RESTRUCTURING" w:customStyle="1">
    <w:name w:val="DM_ETW_2052_BIP_RESTRUCTURING"/>
    <w:qFormat/>
    <w:rsid w:val="00871d18"/>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Financecost" w:customStyle="1">
    <w:name w:val="DM_ETW_2052_BIP_Finance_cost"/>
    <w:qFormat/>
    <w:rsid w:val="00871d18"/>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tax" w:customStyle="1">
    <w:name w:val="DM_ETW_2052_BIP_tax"/>
    <w:qFormat/>
    <w:rsid w:val="00871d18"/>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Assets" w:customStyle="1">
    <w:name w:val="DM_ETW_2052_BIP_Assets"/>
    <w:qFormat/>
    <w:rsid w:val="000b529d"/>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Netdebt" w:customStyle="1">
    <w:name w:val="DM_ETW_2052_BIP_Netdebt"/>
    <w:qFormat/>
    <w:rsid w:val="00402a6e"/>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DMETW2052BIPLeaseclosing" w:customStyle="1">
    <w:name w:val="DM_ETW_2052_BIP_Lease_closing"/>
    <w:qFormat/>
    <w:rsid w:val="000b529d"/>
    <w:pPr>
      <w:widowControl/>
      <w:bidi w:val="0"/>
      <w:spacing w:before="0" w:after="0"/>
      <w:jc w:val="left"/>
    </w:pPr>
    <w:rPr>
      <w:rFonts w:ascii="Effra Corp" w:hAnsi="Effra Corp" w:eastAsia="Effra Corp" w:cs="Effra Corp"/>
      <w:color w:val="000000"/>
      <w:kern w:val="0"/>
      <w:sz w:val="22"/>
      <w:szCs w:val="20"/>
      <w:lang w:val="en-US" w:eastAsia="en-US" w:bidi="ar-SA"/>
    </w:rPr>
  </w:style>
  <w:style w:type="paragraph" w:styleId="Footnotes" w:customStyle="1">
    <w:name w:val="Footnotes"/>
    <w:basedOn w:val="Normal"/>
    <w:qFormat/>
    <w:rsid w:val="00020c30"/>
    <w:pPr>
      <w:tabs>
        <w:tab w:val="clear" w:pos="720"/>
        <w:tab w:val="left" w:pos="227" w:leader="none"/>
      </w:tabs>
      <w:spacing w:lineRule="exact" w:line="180" w:before="80" w:after="80"/>
      <w:ind w:left="227" w:hanging="227"/>
      <w:contextualSpacing/>
    </w:pPr>
    <w:rPr>
      <w:rFonts w:ascii="Effra Light" w:hAnsi="Effra Light"/>
      <w:sz w:val="12"/>
      <w:lang w:val="en-GB" w:eastAsia="en-GB"/>
    </w:rPr>
  </w:style>
  <w:style w:type="paragraph" w:styleId="DMETW2940BIPFirstPage" w:customStyle="1">
    <w:name w:val="DM_ETW_2940_BIP_FirstPage"/>
    <w:qFormat/>
    <w:rsid w:val="00c76c2a"/>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ESTABLISHED" w:customStyle="1">
    <w:name w:val="DM_ETW_2940_BIP_ESTABLISHED"/>
    <w:qFormat/>
    <w:rsid w:val="00c473dc"/>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940BIPDEVELOPING" w:customStyle="1">
    <w:name w:val="DM_ETW_2940_BIP_DEVELOPING"/>
    <w:qFormat/>
    <w:rsid w:val="00c473dc"/>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940BIPEMERGING" w:customStyle="1">
    <w:name w:val="DM_ETW_2940_BIP_EMERGING"/>
    <w:qFormat/>
    <w:rsid w:val="00c473dc"/>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940BIPINCOMESTATEMENT" w:customStyle="1">
    <w:name w:val="DM_ETW_2940_BIP_INCOME_STATEMENT"/>
    <w:qFormat/>
    <w:rsid w:val="00264246"/>
    <w:pPr>
      <w:widowControl/>
      <w:bidi w:val="0"/>
      <w:spacing w:before="0" w:after="0"/>
      <w:ind w:left="200" w:hanging="0"/>
      <w:jc w:val="left"/>
    </w:pPr>
    <w:rPr>
      <w:rFonts w:ascii="Effra Corp" w:hAnsi="Effra Corp" w:eastAsia="Effra Corp" w:cs="Effra Corp"/>
      <w:b/>
      <w:color w:val="000000"/>
      <w:kern w:val="0"/>
      <w:sz w:val="22"/>
      <w:szCs w:val="20"/>
      <w:lang w:val="en-US" w:eastAsia="en-US" w:bidi="ar-SA"/>
    </w:rPr>
  </w:style>
  <w:style w:type="paragraph" w:styleId="DMETW2940BIPBALANCESHEET" w:customStyle="1">
    <w:name w:val="DM_ETW_2940_BIP_BALANCESHEET"/>
    <w:qFormat/>
    <w:rsid w:val="00f06fd2"/>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940BIPCF" w:customStyle="1">
    <w:name w:val="DM_ETW_2940_BIP_CF"/>
    <w:qFormat/>
    <w:rsid w:val="003c56ab"/>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2940BIPCOMPARABLE" w:customStyle="1">
    <w:name w:val="DM_ETW_2940_BIP_COMPARABLE"/>
    <w:qFormat/>
    <w:rsid w:val="002221c5"/>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EBIT" w:customStyle="1">
    <w:name w:val="DM_ETW_2940_BIP_EBIT"/>
    <w:qFormat/>
    <w:rsid w:val="002221c5"/>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OrganicVolume" w:customStyle="1">
    <w:name w:val="DM_ETW_2940_BIP_OrganicVolume"/>
    <w:qFormat/>
    <w:rsid w:val="00df2ef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OrganicNSR" w:customStyle="1">
    <w:name w:val="DM_ETW_2940_BIP_OrganicNSR"/>
    <w:qFormat/>
    <w:rsid w:val="00df2ef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OrganicNSRperUC" w:customStyle="1">
    <w:name w:val="DM_ETW_2940_BIP_OrganicNSRperUC"/>
    <w:qFormat/>
    <w:rsid w:val="00454f6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OrganicCompEBIT" w:customStyle="1">
    <w:name w:val="DM_ETW_2940_BIP_OrganicCompEBIT"/>
    <w:qFormat/>
    <w:rsid w:val="00454f6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OrganicCompEBITMargin" w:customStyle="1">
    <w:name w:val="DM_ETW_2940_BIP_OrganicCompEBITMargin"/>
    <w:qFormat/>
    <w:rsid w:val="00454f69"/>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FCF" w:customStyle="1">
    <w:name w:val="DM_ETW_2940_BIP_FCF"/>
    <w:qFormat/>
    <w:rsid w:val="00e15f03"/>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CASH" w:customStyle="1">
    <w:name w:val="DM_ETW_2940_BIP_CASH"/>
    <w:qFormat/>
    <w:rsid w:val="004c67da"/>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ISHY" w:customStyle="1">
    <w:name w:val="DM_ETW_2940_BIP_IS_HY"/>
    <w:qFormat/>
    <w:rsid w:val="00571548"/>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2940BIPIS" w:customStyle="1">
    <w:name w:val="DM_ETW_2940_BIP_IS"/>
    <w:qFormat/>
    <w:rsid w:val="007c05c1"/>
    <w:pPr>
      <w:widowControl/>
      <w:bidi w:val="0"/>
      <w:spacing w:before="0" w:after="0"/>
      <w:jc w:val="right"/>
    </w:pPr>
    <w:rPr>
      <w:rFonts w:ascii="Effra Corp" w:hAnsi="Effra Corp" w:eastAsia="Effra Corp" w:cs="Effra Corp"/>
      <w:b/>
      <w:color w:val="000000"/>
      <w:kern w:val="0"/>
      <w:sz w:val="20"/>
      <w:szCs w:val="20"/>
      <w:lang w:val="en-US" w:eastAsia="en-US" w:bidi="ar-SA"/>
    </w:rPr>
  </w:style>
  <w:style w:type="paragraph" w:styleId="DMETW2940BIPFCT" w:customStyle="1">
    <w:name w:val="DM_ETW_2940_BIP_FCT"/>
    <w:qFormat/>
    <w:rsid w:val="00bb00e2"/>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Volume" w:customStyle="1">
    <w:name w:val="DM_ETW_2940_BIP_Volume"/>
    <w:qFormat/>
    <w:rsid w:val="00846832"/>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NSR" w:customStyle="1">
    <w:name w:val="DM_ETW_2940_BIP_NSR"/>
    <w:qFormat/>
    <w:rsid w:val="00846832"/>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NARTDBackhalf" w:customStyle="1">
    <w:name w:val="DM_ETW_2940_BIP_NARTD_Backhalf"/>
    <w:qFormat/>
    <w:rsid w:val="00f9176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Otherincomestatementitems" w:customStyle="1">
    <w:name w:val="DM_ETW_2940_BIP_Other_income_statement_items"/>
    <w:qFormat/>
    <w:rsid w:val="00f9176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RESTRUCTURING" w:customStyle="1">
    <w:name w:val="DM_ETW_2940_BIP_RESTRUCTURING"/>
    <w:qFormat/>
    <w:rsid w:val="00f9176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Financecost" w:customStyle="1">
    <w:name w:val="DM_ETW_2940_BIP_Finance_cost"/>
    <w:qFormat/>
    <w:rsid w:val="00f9176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tax" w:customStyle="1">
    <w:name w:val="DM_ETW_2940_BIP_tax"/>
    <w:qFormat/>
    <w:rsid w:val="00f9176d"/>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Assets" w:customStyle="1">
    <w:name w:val="DM_ETW_2940_BIP_Assets"/>
    <w:qFormat/>
    <w:rsid w:val="005a30be"/>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Netdebt" w:customStyle="1">
    <w:name w:val="DM_ETW_2940_BIP_Netdebt"/>
    <w:qFormat/>
    <w:rsid w:val="00923fa4"/>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DMETW2940BIPLeaseclosing" w:customStyle="1">
    <w:name w:val="DM_ETW_2940_BIP_Lease_closing"/>
    <w:qFormat/>
    <w:rsid w:val="00525453"/>
    <w:pPr>
      <w:widowControl/>
      <w:bidi w:val="0"/>
      <w:spacing w:before="0" w:after="0"/>
      <w:jc w:val="left"/>
    </w:pPr>
    <w:rPr>
      <w:rFonts w:ascii="Effra Corp" w:hAnsi="Effra Corp" w:eastAsia="Effra Corp" w:cs="Effra Corp"/>
      <w:color w:val="000000"/>
      <w:kern w:val="0"/>
      <w:sz w:val="20"/>
      <w:szCs w:val="20"/>
      <w:lang w:val="en-US" w:eastAsia="en-US" w:bidi="ar-SA"/>
    </w:rPr>
  </w:style>
  <w:style w:type="paragraph" w:styleId="TableColHeadsBold" w:customStyle="1">
    <w:name w:val="TableColHeadsBold"/>
    <w:basedOn w:val="Normal"/>
    <w:qFormat/>
    <w:rsid w:val="003713e9"/>
    <w:pPr>
      <w:spacing w:lineRule="exact" w:line="150" w:before="20" w:after="20"/>
      <w:ind w:right="57" w:hanging="0"/>
      <w:jc w:val="right"/>
    </w:pPr>
    <w:rPr>
      <w:rFonts w:ascii="Effra" w:hAnsi="Effra"/>
      <w:b/>
      <w:bCs/>
      <w:sz w:val="12"/>
      <w:lang w:val="en-GB" w:eastAsia="en-GB"/>
    </w:rPr>
  </w:style>
  <w:style w:type="paragraph" w:styleId="Tabletext" w:customStyle="1">
    <w:name w:val="Tabletext"/>
    <w:basedOn w:val="Normal"/>
    <w:qFormat/>
    <w:rsid w:val="003713e9"/>
    <w:pPr>
      <w:spacing w:lineRule="exact" w:line="200" w:before="40" w:after="40"/>
    </w:pPr>
    <w:rPr>
      <w:rFonts w:ascii="Effra Light" w:hAnsi="Effra Light"/>
      <w:sz w:val="17"/>
      <w:lang w:val="en-GB" w:eastAsia="en-GB"/>
    </w:rPr>
  </w:style>
  <w:style w:type="paragraph" w:styleId="TabletextBold" w:customStyle="1">
    <w:name w:val="TabletextBold"/>
    <w:basedOn w:val="Tabletext"/>
    <w:qFormat/>
    <w:rsid w:val="003713e9"/>
    <w:pPr/>
    <w:rPr>
      <w:rFonts w:ascii="Effra" w:hAnsi="Effra"/>
      <w:b/>
      <w:bCs/>
    </w:rPr>
  </w:style>
  <w:style w:type="paragraph" w:styleId="TableFigures" w:customStyle="1">
    <w:name w:val="TableFigures"/>
    <w:basedOn w:val="Tabletext"/>
    <w:qFormat/>
    <w:rsid w:val="003713e9"/>
    <w:pPr>
      <w:ind w:right="57" w:hanging="0"/>
      <w:jc w:val="right"/>
    </w:pPr>
    <w:rPr/>
  </w:style>
  <w:style w:type="paragraph" w:styleId="TableFiguresBold" w:customStyle="1">
    <w:name w:val="TableFiguresBold"/>
    <w:basedOn w:val="Tabletext"/>
    <w:qFormat/>
    <w:rsid w:val="003713e9"/>
    <w:pPr>
      <w:ind w:right="57" w:hanging="0"/>
      <w:jc w:val="right"/>
    </w:pPr>
    <w:rPr>
      <w:rFonts w:ascii="Effra" w:hAnsi="Effra"/>
      <w:b/>
      <w:bCs/>
    </w:rPr>
  </w:style>
  <w:style w:type="paragraph" w:styleId="TableFiguresBrackets" w:customStyle="1">
    <w:name w:val="TableFiguresBrackets"/>
    <w:basedOn w:val="TableFigures"/>
    <w:qFormat/>
    <w:rsid w:val="003713e9"/>
    <w:pPr>
      <w:ind w:right="11" w:hanging="0"/>
    </w:pPr>
    <w:rPr/>
  </w:style>
  <w:style w:type="paragraph" w:styleId="DMETW2940BIPVOLUMECOUNTRY" w:customStyle="1">
    <w:name w:val="DM_ETW_2940_BIP_VOLUMECOUNTRY"/>
    <w:qFormat/>
    <w:rsid w:val="0006606d"/>
    <w:pPr>
      <w:widowControl/>
      <w:bidi w:val="0"/>
      <w:spacing w:before="0" w:after="0"/>
      <w:jc w:val="left"/>
    </w:pPr>
    <w:rPr>
      <w:rFonts w:ascii="Effra Corp" w:hAnsi="Effra Corp" w:eastAsia="Effra Corp" w:cs="Effra Corp"/>
      <w:b/>
      <w:color w:val="000000"/>
      <w:kern w:val="0"/>
      <w:sz w:val="20"/>
      <w:szCs w:val="20"/>
      <w:lang w:val="en-US" w:eastAsia="en-US" w:bidi="ar-SA"/>
    </w:rPr>
  </w:style>
  <w:style w:type="paragraph" w:styleId="DMETW1950BIPCOMPARABLE" w:customStyle="1">
    <w:name w:val="DM_ETW_1950_BIP_COMPARABLE"/>
    <w:qFormat/>
    <w:rsid w:val="004a6097"/>
    <w:pPr>
      <w:widowControl/>
      <w:bidi w:val="0"/>
      <w:spacing w:before="0" w:after="0"/>
      <w:jc w:val="left"/>
    </w:pPr>
    <w:rPr>
      <w:rFonts w:ascii="Effra Corp" w:hAnsi="Effra Corp" w:eastAsia="Effra Corp" w:cs="Effra Corp"/>
      <w:color w:val="000000"/>
      <w:kern w:val="0"/>
      <w:sz w:val="20"/>
      <w:szCs w:val="20"/>
      <w:lang w:val="el-GR" w:eastAsia="en-US" w:bidi="ar-SA"/>
    </w:rPr>
  </w:style>
  <w:style w:type="paragraph" w:styleId="HTMLPreformatted">
    <w:name w:val="HTML Preformatted"/>
    <w:basedOn w:val="Normal"/>
    <w:link w:val="HTMLPreformattedChar"/>
    <w:uiPriority w:val="99"/>
    <w:semiHidden/>
    <w:unhideWhenUsed/>
    <w:qFormat/>
    <w:rsid w:val="00ff7a4b"/>
    <w:pPr/>
    <w:rPr>
      <w:rFonts w:ascii="Consolas" w:hAnsi="Consolas"/>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a50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dge.media-server.com/mmc/p/5q8qprh2/" TargetMode="External"/><Relationship Id="rId3" Type="http://schemas.openxmlformats.org/officeDocument/2006/relationships/hyperlink" Target="https://register-conf.media-server.com/register/BI83b90b03d6464f24812dbbf9439ec9f4" TargetMode="External"/><Relationship Id="rId4" Type="http://schemas.openxmlformats.org/officeDocument/2006/relationships/hyperlink" Target="mailto:claire.evans@cchellenic.com" TargetMode="External"/><Relationship Id="rId5" Type="http://schemas.openxmlformats.org/officeDocument/2006/relationships/hyperlink" Target="https://www.coca-colahellenic.com/"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9D478E6C4B704E86F2BBEC1629DC75" ma:contentTypeVersion="13" ma:contentTypeDescription="Create a new document." ma:contentTypeScope="" ma:versionID="332e56d09b874dec593c0c2d5750a7a7">
  <xsd:schema xmlns:xsd="http://www.w3.org/2001/XMLSchema" xmlns:xs="http://www.w3.org/2001/XMLSchema" xmlns:p="http://schemas.microsoft.com/office/2006/metadata/properties" xmlns:ns3="ec3bab3b-4eba-474a-bc9b-ee8a6acdfcc7" xmlns:ns4="79555f6d-f403-4948-8453-4f0c2a8efb4a" targetNamespace="http://schemas.microsoft.com/office/2006/metadata/properties" ma:root="true" ma:fieldsID="40734059344f5f33501c079a4364046d" ns3:_="" ns4:_="">
    <xsd:import namespace="ec3bab3b-4eba-474a-bc9b-ee8a6acdfcc7"/>
    <xsd:import namespace="79555f6d-f403-4948-8453-4f0c2a8efb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bab3b-4eba-474a-bc9b-ee8a6acdfc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555f6d-f403-4948-8453-4f0c2a8efb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4B5DC-90E1-491E-B81E-5DC23787683E}">
  <ds:schemaRefs>
    <ds:schemaRef ds:uri="http://schemas.openxmlformats.org/officeDocument/2006/bibliography"/>
  </ds:schemaRefs>
</ds:datastoreItem>
</file>

<file path=customXml/itemProps2.xml><?xml version="1.0" encoding="utf-8"?>
<ds:datastoreItem xmlns:ds="http://schemas.openxmlformats.org/officeDocument/2006/customXml" ds:itemID="{387B6B02-E390-4ECD-9E0E-54089FD917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090977-792D-4339-BB88-BA3EA6B4E023}">
  <ds:schemaRefs>
    <ds:schemaRef ds:uri="http://schemas.microsoft.com/sharepoint/v3/contenttype/forms"/>
  </ds:schemaRefs>
</ds:datastoreItem>
</file>

<file path=customXml/itemProps4.xml><?xml version="1.0" encoding="utf-8"?>
<ds:datastoreItem xmlns:ds="http://schemas.openxmlformats.org/officeDocument/2006/customXml" ds:itemID="{92A3B775-F1F9-4E9C-A5D4-EFF7FD9EF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bab3b-4eba-474a-bc9b-ee8a6acdfcc7"/>
    <ds:schemaRef ds:uri="79555f6d-f403-4948-8453-4f0c2a8ef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Application>LibreOffice/7.5.5.2$Windows_X86_64 LibreOffice_project/ca8fe7424262805f223b9a2334bc7181abbcbf5e</Application>
  <AppVersion>15.0000</AppVersion>
  <Pages>16</Pages>
  <Words>7247</Words>
  <Characters>45954</Characters>
  <CharactersWithSpaces>52740</CharactersWithSpaces>
  <Paragraphs>886</Paragraphs>
  <Company>CCHBC-HO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2026-08-03T12:10:00Z</dcterms:created>
  <dc:creator>HQ000777</dc:creator>
  <dc:description/>
  <dc:language>en-US</dc:language>
  <cp:lastModifiedBy/>
  <cp:lastPrinted>2026-07-27T14:48:00Z</cp:lastPrinted>
  <dcterms:modified xsi:type="dcterms:W3CDTF">2026-08-05T09:27:30Z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0x010100249D478E6C4B704E86F2BBEC1629DC75</vt:lpwstr>
  </property>
  <property fmtid="{D5CDD505-2E9C-101B-9397-08002B2CF9AE}" pid="3" name="_DocHome">
    <vt:i4>881452596</vt:i4>
  </property>
  <property fmtid="{D5CDD505-2E9C-101B-9397-08002B2CF9AE}" pid="4" name="synchronize">
    <vt:lpwstr>on</vt:lpwstr>
  </property>
</Properties>
</file>