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E0FF" w14:textId="74B54AD7" w:rsidR="00852D18" w:rsidRDefault="0084182E" w:rsidP="0084182E">
      <w:pPr>
        <w:pStyle w:val="BodyText"/>
        <w:tabs>
          <w:tab w:val="left" w:pos="4489"/>
        </w:tabs>
        <w:rPr>
          <w:rFonts w:ascii="Times New Roman"/>
          <w:sz w:val="20"/>
        </w:rPr>
      </w:pPr>
      <w:r>
        <w:rPr>
          <w:rFonts w:ascii="Times New Roman"/>
          <w:sz w:val="20"/>
        </w:rPr>
        <w:tab/>
      </w:r>
    </w:p>
    <w:p w14:paraId="581D42C5" w14:textId="77777777" w:rsidR="00F57492" w:rsidRDefault="00F57492" w:rsidP="0084182E">
      <w:pPr>
        <w:pStyle w:val="BodyText"/>
        <w:tabs>
          <w:tab w:val="left" w:pos="4489"/>
        </w:tabs>
        <w:rPr>
          <w:rFonts w:ascii="Times New Roman"/>
          <w:sz w:val="20"/>
        </w:rPr>
      </w:pPr>
    </w:p>
    <w:p w14:paraId="759758E1" w14:textId="77777777" w:rsidR="00D8713B" w:rsidRDefault="00D8713B" w:rsidP="0084182E">
      <w:pPr>
        <w:pStyle w:val="BodyText"/>
        <w:tabs>
          <w:tab w:val="left" w:pos="4489"/>
        </w:tabs>
        <w:rPr>
          <w:rFonts w:ascii="Times New Roman"/>
          <w:sz w:val="20"/>
        </w:rPr>
      </w:pPr>
    </w:p>
    <w:p w14:paraId="6C7BFD2E" w14:textId="77777777" w:rsidR="00C56999" w:rsidRDefault="00C56999" w:rsidP="0084182E">
      <w:pPr>
        <w:pStyle w:val="BodyText"/>
        <w:tabs>
          <w:tab w:val="left" w:pos="4489"/>
        </w:tabs>
        <w:rPr>
          <w:rFonts w:ascii="Times New Roman"/>
          <w:sz w:val="20"/>
        </w:rPr>
      </w:pPr>
    </w:p>
    <w:p w14:paraId="219547F8" w14:textId="77777777" w:rsidR="00C56999" w:rsidRDefault="00C56999" w:rsidP="0084182E">
      <w:pPr>
        <w:pStyle w:val="BodyText"/>
        <w:tabs>
          <w:tab w:val="left" w:pos="4489"/>
        </w:tabs>
        <w:rPr>
          <w:rFonts w:ascii="Times New Roman"/>
          <w:sz w:val="20"/>
        </w:rPr>
      </w:pPr>
    </w:p>
    <w:p w14:paraId="4A39A8D2" w14:textId="2FB2D393" w:rsidR="00B044EE" w:rsidRPr="00484F12" w:rsidRDefault="005511E3" w:rsidP="00B044EE">
      <w:pPr>
        <w:pStyle w:val="Heading1"/>
        <w:tabs>
          <w:tab w:val="left" w:pos="10725"/>
        </w:tabs>
        <w:spacing w:before="240"/>
        <w:rPr>
          <w:color w:val="021142"/>
          <w:shd w:val="clear" w:color="auto" w:fill="E6E7E8"/>
          <w:lang w:val="el-GR"/>
        </w:rPr>
      </w:pPr>
      <w:r w:rsidRPr="005F25B6">
        <w:rPr>
          <w:rFonts w:ascii="Times New Roman" w:hAnsi="Times New Roman"/>
          <w:b w:val="0"/>
          <w:color w:val="021142"/>
          <w:shd w:val="clear" w:color="auto" w:fill="E6E7E8"/>
          <w:lang w:val="el-GR"/>
        </w:rPr>
        <w:t xml:space="preserve"> </w:t>
      </w:r>
      <w:r w:rsidR="00B14335">
        <w:rPr>
          <w:color w:val="021142"/>
          <w:shd w:val="clear" w:color="auto" w:fill="E6E7E8"/>
          <w:lang w:val="el-GR"/>
        </w:rPr>
        <w:t>Οικονομικά Αποτελέσματα</w:t>
      </w:r>
      <w:r w:rsidR="00364250">
        <w:rPr>
          <w:color w:val="021142"/>
          <w:shd w:val="clear" w:color="auto" w:fill="E6E7E8"/>
          <w:lang w:val="el-GR"/>
        </w:rPr>
        <w:t xml:space="preserve"> </w:t>
      </w:r>
      <w:r w:rsidR="00CC3D8A">
        <w:rPr>
          <w:color w:val="021142"/>
          <w:shd w:val="clear" w:color="auto" w:fill="E6E7E8"/>
          <w:lang w:val="el-GR"/>
        </w:rPr>
        <w:t>202</w:t>
      </w:r>
      <w:r w:rsidR="00D56F06">
        <w:rPr>
          <w:color w:val="021142"/>
          <w:shd w:val="clear" w:color="auto" w:fill="E6E7E8"/>
          <w:lang w:val="el-GR"/>
        </w:rPr>
        <w:t>5</w:t>
      </w:r>
      <w:r w:rsidR="008E182F">
        <w:rPr>
          <w:color w:val="021142"/>
          <w:shd w:val="clear" w:color="auto" w:fill="E6E7E8"/>
          <w:lang w:val="el-GR"/>
        </w:rPr>
        <w:t xml:space="preserve"> &amp; Επιχειρηματικό Πλάνο 2026-2028</w:t>
      </w:r>
      <w:r w:rsidR="00D56F06">
        <w:rPr>
          <w:color w:val="021142"/>
          <w:shd w:val="clear" w:color="auto" w:fill="E6E7E8"/>
          <w:vertAlign w:val="superscript"/>
          <w:lang w:val="el-GR"/>
        </w:rPr>
        <w:t xml:space="preserve"> </w:t>
      </w:r>
    </w:p>
    <w:p w14:paraId="210E6E83" w14:textId="77777777" w:rsidR="00B044EE" w:rsidRDefault="00B044EE" w:rsidP="00B044EE">
      <w:pPr>
        <w:pStyle w:val="BodyText"/>
        <w:spacing w:before="4"/>
        <w:rPr>
          <w:b/>
          <w:sz w:val="18"/>
          <w:lang w:val="el-GR"/>
        </w:rPr>
      </w:pPr>
    </w:p>
    <w:p w14:paraId="7D44426F" w14:textId="77777777" w:rsidR="001E165F" w:rsidRPr="005F25B6" w:rsidRDefault="001E165F" w:rsidP="00B044EE">
      <w:pPr>
        <w:pStyle w:val="BodyText"/>
        <w:spacing w:before="4"/>
        <w:rPr>
          <w:b/>
          <w:sz w:val="18"/>
          <w:lang w:val="el-GR"/>
        </w:rPr>
      </w:pPr>
    </w:p>
    <w:p w14:paraId="71ACCA97" w14:textId="4928A44C" w:rsidR="001E165F" w:rsidRPr="00B044EE" w:rsidRDefault="001E165F" w:rsidP="001E165F">
      <w:pPr>
        <w:pStyle w:val="ListParagraph"/>
        <w:numPr>
          <w:ilvl w:val="0"/>
          <w:numId w:val="16"/>
        </w:numPr>
        <w:spacing w:before="103" w:line="360" w:lineRule="auto"/>
        <w:rPr>
          <w:b/>
          <w:bCs/>
          <w:color w:val="021142"/>
          <w:lang w:val="el-GR"/>
        </w:rPr>
      </w:pPr>
      <w:r>
        <w:rPr>
          <w:b/>
          <w:bCs/>
          <w:color w:val="021142"/>
          <w:lang w:val="el-GR"/>
        </w:rPr>
        <w:t>Αποτελέσματα 2025</w:t>
      </w:r>
      <w:r w:rsidRPr="00A554DF">
        <w:rPr>
          <w:b/>
          <w:bCs/>
          <w:color w:val="021142"/>
          <w:lang w:val="el-GR"/>
        </w:rPr>
        <w:t xml:space="preserve"> </w:t>
      </w:r>
      <w:r>
        <w:rPr>
          <w:b/>
          <w:bCs/>
          <w:color w:val="021142"/>
          <w:lang w:val="el-GR"/>
        </w:rPr>
        <w:t>που υπερέβησαν τις προσδοκίες</w:t>
      </w:r>
    </w:p>
    <w:p w14:paraId="0826FD67" w14:textId="4F666163" w:rsidR="00A35BB3" w:rsidRPr="00D56A89" w:rsidRDefault="00F9142A" w:rsidP="00D56A89">
      <w:pPr>
        <w:pStyle w:val="ListParagraph"/>
        <w:numPr>
          <w:ilvl w:val="0"/>
          <w:numId w:val="7"/>
        </w:numPr>
        <w:tabs>
          <w:tab w:val="left" w:pos="396"/>
        </w:tabs>
        <w:spacing w:before="103" w:line="480" w:lineRule="auto"/>
        <w:ind w:left="714" w:right="340" w:hanging="357"/>
        <w:rPr>
          <w:color w:val="021142"/>
          <w:lang w:val="el-GR"/>
        </w:rPr>
      </w:pPr>
      <w:r w:rsidRPr="00D56A89">
        <w:rPr>
          <w:color w:val="021142"/>
          <w:lang w:val="el-GR"/>
        </w:rPr>
        <w:t>Κ</w:t>
      </w:r>
      <w:r w:rsidR="006C6641" w:rsidRPr="00D56A89">
        <w:rPr>
          <w:color w:val="021142"/>
          <w:lang w:val="el-GR"/>
        </w:rPr>
        <w:t>αθαρά κέρδη</w:t>
      </w:r>
      <w:r w:rsidR="00E81568" w:rsidRPr="00D56A89">
        <w:rPr>
          <w:color w:val="021142"/>
          <w:lang w:val="el-GR"/>
        </w:rPr>
        <w:t xml:space="preserve"> ανά μετοχή</w:t>
      </w:r>
      <w:r w:rsidR="00316D1B" w:rsidRPr="00D56A89">
        <w:rPr>
          <w:color w:val="021142"/>
          <w:lang w:val="el-GR"/>
        </w:rPr>
        <w:t xml:space="preserve"> </w:t>
      </w:r>
      <w:r w:rsidR="00E81568" w:rsidRPr="00D56A89">
        <w:rPr>
          <w:color w:val="021142"/>
          <w:lang w:val="el-GR"/>
        </w:rPr>
        <w:t>€</w:t>
      </w:r>
      <w:r w:rsidR="001E165F">
        <w:rPr>
          <w:color w:val="021142"/>
          <w:lang w:val="el-GR"/>
        </w:rPr>
        <w:t>3</w:t>
      </w:r>
      <w:r w:rsidR="000869FC">
        <w:rPr>
          <w:color w:val="021142"/>
          <w:lang w:val="el-GR"/>
        </w:rPr>
        <w:t>7</w:t>
      </w:r>
      <w:r w:rsidR="003A5421" w:rsidRPr="00D56A89">
        <w:rPr>
          <w:color w:val="021142"/>
          <w:lang w:val="el-GR"/>
        </w:rPr>
        <w:t xml:space="preserve"> </w:t>
      </w:r>
      <w:r w:rsidR="0054239B" w:rsidRPr="00D56A89">
        <w:rPr>
          <w:color w:val="021142"/>
          <w:lang w:val="el-GR"/>
        </w:rPr>
        <w:t>σεντς</w:t>
      </w:r>
      <w:r w:rsidR="009A663F" w:rsidRPr="009B3899">
        <w:rPr>
          <w:color w:val="021142"/>
          <w:lang w:val="el-GR"/>
        </w:rPr>
        <w:t xml:space="preserve">, </w:t>
      </w:r>
      <w:r w:rsidR="00633A91">
        <w:rPr>
          <w:color w:val="021142"/>
          <w:lang w:val="el-GR"/>
        </w:rPr>
        <w:t xml:space="preserve">με </w:t>
      </w:r>
      <w:r w:rsidR="008A5818">
        <w:rPr>
          <w:color w:val="021142"/>
          <w:lang w:val="el-GR"/>
        </w:rPr>
        <w:t>50% να προέρχ</w:t>
      </w:r>
      <w:r w:rsidR="002B5341">
        <w:rPr>
          <w:color w:val="021142"/>
          <w:lang w:val="el-GR"/>
        </w:rPr>
        <w:t xml:space="preserve">ονται </w:t>
      </w:r>
      <w:r w:rsidR="009B3899">
        <w:rPr>
          <w:color w:val="021142"/>
          <w:lang w:val="el-GR"/>
        </w:rPr>
        <w:t xml:space="preserve">από </w:t>
      </w:r>
      <w:r w:rsidR="002A04DF">
        <w:rPr>
          <w:color w:val="021142"/>
          <w:lang w:val="el-GR"/>
        </w:rPr>
        <w:t xml:space="preserve">τις </w:t>
      </w:r>
      <w:r w:rsidR="007A2C07">
        <w:rPr>
          <w:color w:val="021142"/>
          <w:lang w:val="el-GR"/>
        </w:rPr>
        <w:t xml:space="preserve">δραστηριότητες εκτός </w:t>
      </w:r>
      <w:r w:rsidR="009237DC">
        <w:rPr>
          <w:color w:val="021142"/>
          <w:lang w:val="el-GR"/>
        </w:rPr>
        <w:t>Ελλάδ</w:t>
      </w:r>
      <w:r w:rsidR="00A8778E">
        <w:rPr>
          <w:color w:val="021142"/>
          <w:lang w:val="el-GR"/>
        </w:rPr>
        <w:t>ο</w:t>
      </w:r>
      <w:r w:rsidR="009237DC">
        <w:rPr>
          <w:color w:val="021142"/>
          <w:lang w:val="el-GR"/>
        </w:rPr>
        <w:t xml:space="preserve">ς </w:t>
      </w:r>
    </w:p>
    <w:p w14:paraId="3CAD0DBF" w14:textId="4441ADCA" w:rsidR="00EA336F" w:rsidRDefault="00EA336F" w:rsidP="00EA336F">
      <w:pPr>
        <w:pStyle w:val="ListParagraph"/>
        <w:numPr>
          <w:ilvl w:val="0"/>
          <w:numId w:val="7"/>
        </w:numPr>
        <w:tabs>
          <w:tab w:val="left" w:pos="396"/>
        </w:tabs>
        <w:spacing w:before="103" w:line="480" w:lineRule="auto"/>
        <w:ind w:left="714" w:right="340" w:hanging="357"/>
        <w:rPr>
          <w:color w:val="021142"/>
          <w:lang w:val="el-GR"/>
        </w:rPr>
      </w:pPr>
      <w:r>
        <w:rPr>
          <w:color w:val="021142"/>
          <w:lang w:val="el-GR"/>
        </w:rPr>
        <w:t>Α</w:t>
      </w:r>
      <w:r w:rsidRPr="00BF2825">
        <w:rPr>
          <w:color w:val="021142"/>
          <w:lang w:val="el-GR"/>
        </w:rPr>
        <w:t>πόδοση ενσώματων ιδίων κεφαλαίων</w:t>
      </w:r>
      <w:r w:rsidRPr="00950E8F">
        <w:rPr>
          <w:color w:val="021142"/>
          <w:vertAlign w:val="superscript"/>
          <w:lang w:val="el-GR"/>
        </w:rPr>
        <w:t xml:space="preserve"> </w:t>
      </w:r>
      <w:r w:rsidR="0030399A" w:rsidRPr="00950E8F">
        <w:rPr>
          <w:color w:val="021142"/>
          <w:lang w:val="el-GR"/>
        </w:rPr>
        <w:t>16,</w:t>
      </w:r>
      <w:r w:rsidR="00066970">
        <w:rPr>
          <w:color w:val="021142"/>
          <w:lang w:val="el-GR"/>
        </w:rPr>
        <w:t>0</w:t>
      </w:r>
      <w:r w:rsidRPr="00CD53D6">
        <w:rPr>
          <w:color w:val="021142"/>
          <w:lang w:val="el-GR"/>
        </w:rPr>
        <w:t>%</w:t>
      </w:r>
    </w:p>
    <w:p w14:paraId="299F6354" w14:textId="49738054" w:rsidR="00B864E3" w:rsidRPr="00CF5FAF" w:rsidRDefault="00B864E3" w:rsidP="00B864E3">
      <w:pPr>
        <w:pStyle w:val="ListParagraph"/>
        <w:numPr>
          <w:ilvl w:val="0"/>
          <w:numId w:val="7"/>
        </w:numPr>
        <w:tabs>
          <w:tab w:val="left" w:pos="396"/>
        </w:tabs>
        <w:spacing w:before="103" w:line="360" w:lineRule="auto"/>
        <w:ind w:left="714" w:right="340" w:hanging="357"/>
        <w:rPr>
          <w:color w:val="021142"/>
          <w:lang w:val="el-GR"/>
        </w:rPr>
      </w:pPr>
      <w:r w:rsidRPr="00CF5FAF">
        <w:rPr>
          <w:color w:val="021142"/>
          <w:lang w:val="el-GR"/>
        </w:rPr>
        <w:t>Διανομή €</w:t>
      </w:r>
      <w:r w:rsidR="00B53097" w:rsidRPr="00CF5FAF">
        <w:rPr>
          <w:color w:val="021142"/>
          <w:lang w:val="el-GR"/>
        </w:rPr>
        <w:t>717ε</w:t>
      </w:r>
      <w:r w:rsidRPr="00CF5FAF">
        <w:rPr>
          <w:color w:val="021142"/>
          <w:lang w:val="el-GR"/>
        </w:rPr>
        <w:t xml:space="preserve">κ. ή </w:t>
      </w:r>
      <w:r w:rsidR="00B53097" w:rsidRPr="00CF5FAF">
        <w:rPr>
          <w:color w:val="021142"/>
          <w:lang w:val="el-GR"/>
        </w:rPr>
        <w:t>55</w:t>
      </w:r>
      <w:r w:rsidRPr="00CF5FAF">
        <w:rPr>
          <w:color w:val="021142"/>
          <w:lang w:val="el-GR"/>
        </w:rPr>
        <w:t>% των καθαρών κερδών: Μέρισμα €</w:t>
      </w:r>
      <w:r w:rsidR="00B53097" w:rsidRPr="00CF5FAF">
        <w:rPr>
          <w:color w:val="021142"/>
          <w:lang w:val="el-GR"/>
        </w:rPr>
        <w:t>11,8</w:t>
      </w:r>
      <w:r w:rsidRPr="00CF5FAF">
        <w:rPr>
          <w:color w:val="021142"/>
          <w:lang w:val="el-GR"/>
        </w:rPr>
        <w:t xml:space="preserve"> σεντς ανά μετοχή σε μετρητά</w:t>
      </w:r>
      <w:r w:rsidR="00F970CE">
        <w:rPr>
          <w:rStyle w:val="FootnoteReference"/>
          <w:color w:val="021142"/>
          <w:lang w:val="el-GR"/>
        </w:rPr>
        <w:footnoteReference w:id="1"/>
      </w:r>
      <w:r w:rsidRPr="00CF5FAF">
        <w:rPr>
          <w:color w:val="021142"/>
          <w:lang w:val="el-GR"/>
        </w:rPr>
        <w:t xml:space="preserve"> και €</w:t>
      </w:r>
      <w:r w:rsidR="007C0ABD" w:rsidRPr="00CF5FAF">
        <w:rPr>
          <w:color w:val="021142"/>
          <w:lang w:val="el-GR"/>
        </w:rPr>
        <w:t>288</w:t>
      </w:r>
      <w:r w:rsidRPr="00CF5FAF">
        <w:rPr>
          <w:color w:val="021142"/>
          <w:lang w:val="el-GR"/>
        </w:rPr>
        <w:t xml:space="preserve">εκ. επαναγορά ιδίων μετοχών </w:t>
      </w:r>
    </w:p>
    <w:p w14:paraId="41BAA71B" w14:textId="1C1FCF3B" w:rsidR="00314E0D" w:rsidRDefault="00314E0D" w:rsidP="00314E0D">
      <w:pPr>
        <w:pStyle w:val="ListParagraph"/>
        <w:numPr>
          <w:ilvl w:val="0"/>
          <w:numId w:val="7"/>
        </w:numPr>
        <w:tabs>
          <w:tab w:val="left" w:pos="396"/>
        </w:tabs>
        <w:spacing w:before="103" w:line="480" w:lineRule="auto"/>
        <w:ind w:left="714" w:right="340" w:hanging="357"/>
        <w:rPr>
          <w:color w:val="021142"/>
          <w:lang w:val="el-GR"/>
        </w:rPr>
      </w:pPr>
      <w:r>
        <w:rPr>
          <w:color w:val="021142"/>
          <w:lang w:val="el-GR"/>
        </w:rPr>
        <w:t>Ε</w:t>
      </w:r>
      <w:r w:rsidRPr="00170542">
        <w:rPr>
          <w:color w:val="021142"/>
          <w:lang w:val="el-GR"/>
        </w:rPr>
        <w:t>νσώματα ίδια κεφάλαια</w:t>
      </w:r>
      <w:r>
        <w:rPr>
          <w:color w:val="021142"/>
          <w:lang w:val="el-GR"/>
        </w:rPr>
        <w:t xml:space="preserve"> </w:t>
      </w:r>
      <w:r w:rsidRPr="00170542">
        <w:rPr>
          <w:color w:val="021142"/>
          <w:lang w:val="el-GR"/>
        </w:rPr>
        <w:t>ανά μετοχή</w:t>
      </w:r>
      <w:r>
        <w:rPr>
          <w:color w:val="021142"/>
          <w:lang w:val="el-GR"/>
        </w:rPr>
        <w:t xml:space="preserve"> €</w:t>
      </w:r>
      <w:r w:rsidRPr="00950E8F">
        <w:rPr>
          <w:color w:val="021142"/>
          <w:lang w:val="el-GR"/>
        </w:rPr>
        <w:t>2,</w:t>
      </w:r>
      <w:r w:rsidR="00342EFB">
        <w:rPr>
          <w:color w:val="021142"/>
          <w:lang w:val="el-GR"/>
        </w:rPr>
        <w:t>4</w:t>
      </w:r>
      <w:r w:rsidR="00161573">
        <w:rPr>
          <w:color w:val="021142"/>
          <w:lang w:val="el-GR"/>
        </w:rPr>
        <w:t>9</w:t>
      </w:r>
      <w:r>
        <w:rPr>
          <w:color w:val="021142"/>
          <w:lang w:val="el-GR"/>
        </w:rPr>
        <w:t xml:space="preserve"> </w:t>
      </w:r>
    </w:p>
    <w:p w14:paraId="0B4A7431" w14:textId="43B7242F" w:rsidR="004673FF" w:rsidRDefault="004673FF" w:rsidP="007C3CC6">
      <w:pPr>
        <w:pStyle w:val="ListParagraph"/>
        <w:numPr>
          <w:ilvl w:val="0"/>
          <w:numId w:val="7"/>
        </w:numPr>
        <w:tabs>
          <w:tab w:val="left" w:pos="396"/>
        </w:tabs>
        <w:spacing w:before="103" w:line="480" w:lineRule="auto"/>
        <w:ind w:left="714" w:right="340" w:hanging="357"/>
        <w:rPr>
          <w:color w:val="021142"/>
          <w:lang w:val="el-GR"/>
        </w:rPr>
      </w:pPr>
      <w:r>
        <w:rPr>
          <w:color w:val="021142"/>
          <w:lang w:val="el-GR"/>
        </w:rPr>
        <w:t>Οργανική αύξηση χορηγήσεων κατά €</w:t>
      </w:r>
      <w:r w:rsidR="0028700E">
        <w:rPr>
          <w:color w:val="021142"/>
          <w:lang w:val="el-GR"/>
        </w:rPr>
        <w:t>5</w:t>
      </w:r>
      <w:r w:rsidR="00F9142A">
        <w:rPr>
          <w:color w:val="021142"/>
          <w:lang w:val="el-GR"/>
        </w:rPr>
        <w:t>,</w:t>
      </w:r>
      <w:r w:rsidR="00342EFB">
        <w:rPr>
          <w:color w:val="021142"/>
          <w:lang w:val="el-GR"/>
        </w:rPr>
        <w:t>3</w:t>
      </w:r>
      <w:r w:rsidR="003A5421">
        <w:rPr>
          <w:color w:val="021142"/>
          <w:lang w:val="el-GR"/>
        </w:rPr>
        <w:t xml:space="preserve"> </w:t>
      </w:r>
      <w:r>
        <w:rPr>
          <w:color w:val="021142"/>
          <w:lang w:val="el-GR"/>
        </w:rPr>
        <w:t>δι</w:t>
      </w:r>
      <w:r w:rsidR="00207FB4">
        <w:rPr>
          <w:color w:val="021142"/>
          <w:lang w:val="el-GR"/>
        </w:rPr>
        <w:t>ς</w:t>
      </w:r>
      <w:r w:rsidR="00CB6011">
        <w:rPr>
          <w:color w:val="021142"/>
          <w:lang w:val="el-GR"/>
        </w:rPr>
        <w:t xml:space="preserve"> </w:t>
      </w:r>
      <w:r w:rsidR="00F9142A">
        <w:rPr>
          <w:color w:val="021142"/>
          <w:lang w:val="el-GR"/>
        </w:rPr>
        <w:t>το 2025</w:t>
      </w:r>
    </w:p>
    <w:p w14:paraId="0E00F656" w14:textId="10AB4D92" w:rsidR="00207FB4" w:rsidRDefault="00342EFB" w:rsidP="00207FB4">
      <w:pPr>
        <w:pStyle w:val="ListParagraph"/>
        <w:numPr>
          <w:ilvl w:val="0"/>
          <w:numId w:val="7"/>
        </w:numPr>
        <w:tabs>
          <w:tab w:val="left" w:pos="396"/>
        </w:tabs>
        <w:spacing w:before="103" w:line="480" w:lineRule="auto"/>
        <w:ind w:left="714" w:right="340" w:hanging="357"/>
        <w:rPr>
          <w:color w:val="021142"/>
          <w:lang w:val="el-GR"/>
        </w:rPr>
      </w:pPr>
      <w:r>
        <w:rPr>
          <w:color w:val="021142"/>
          <w:lang w:val="el-GR"/>
        </w:rPr>
        <w:t xml:space="preserve">Αύξηση καταθέσεων κατά </w:t>
      </w:r>
      <w:r w:rsidR="00B463E2">
        <w:rPr>
          <w:color w:val="021142"/>
          <w:lang w:val="el-GR"/>
        </w:rPr>
        <w:t>€</w:t>
      </w:r>
      <w:r w:rsidR="00E53687">
        <w:rPr>
          <w:color w:val="021142"/>
          <w:lang w:val="el-GR"/>
        </w:rPr>
        <w:t>4</w:t>
      </w:r>
      <w:r w:rsidR="00B463E2">
        <w:rPr>
          <w:color w:val="021142"/>
          <w:lang w:val="el-GR"/>
        </w:rPr>
        <w:t>,</w:t>
      </w:r>
      <w:r w:rsidR="00E53687">
        <w:rPr>
          <w:color w:val="021142"/>
          <w:lang w:val="el-GR"/>
        </w:rPr>
        <w:t>1</w:t>
      </w:r>
      <w:r w:rsidR="00B463E2">
        <w:rPr>
          <w:color w:val="021142"/>
          <w:lang w:val="el-GR"/>
        </w:rPr>
        <w:t xml:space="preserve">δις </w:t>
      </w:r>
      <w:r w:rsidR="00207FB4">
        <w:rPr>
          <w:color w:val="021142"/>
          <w:lang w:val="el-GR"/>
        </w:rPr>
        <w:t>το 2025</w:t>
      </w:r>
    </w:p>
    <w:p w14:paraId="4258301A" w14:textId="597F211B" w:rsidR="00B66B55" w:rsidRPr="009455B0" w:rsidRDefault="00B66B55" w:rsidP="007C3CC6">
      <w:pPr>
        <w:pStyle w:val="ListParagraph"/>
        <w:numPr>
          <w:ilvl w:val="0"/>
          <w:numId w:val="7"/>
        </w:numPr>
        <w:tabs>
          <w:tab w:val="left" w:pos="396"/>
        </w:tabs>
        <w:spacing w:before="103" w:line="480" w:lineRule="auto"/>
        <w:ind w:left="714" w:right="340" w:hanging="357"/>
        <w:rPr>
          <w:color w:val="021142"/>
          <w:lang w:val="el-GR"/>
        </w:rPr>
      </w:pPr>
      <w:r w:rsidRPr="009455B0">
        <w:rPr>
          <w:color w:val="021142"/>
          <w:lang w:val="el-GR"/>
        </w:rPr>
        <w:t xml:space="preserve">Αύξηση </w:t>
      </w:r>
      <w:r w:rsidR="007D67E5" w:rsidRPr="009455B0">
        <w:rPr>
          <w:color w:val="021142"/>
          <w:lang w:val="el-GR"/>
        </w:rPr>
        <w:t xml:space="preserve">αμοιβαίων </w:t>
      </w:r>
      <w:r w:rsidRPr="009455B0">
        <w:rPr>
          <w:color w:val="021142"/>
          <w:lang w:val="el-GR"/>
        </w:rPr>
        <w:t>κεφαλαίων</w:t>
      </w:r>
      <w:r w:rsidR="001D7737" w:rsidRPr="009455B0">
        <w:rPr>
          <w:color w:val="021142"/>
          <w:lang w:val="el-GR"/>
        </w:rPr>
        <w:t xml:space="preserve"> υπό διαχείριση </w:t>
      </w:r>
      <w:r w:rsidR="009668F2" w:rsidRPr="005D0876">
        <w:rPr>
          <w:color w:val="021142"/>
          <w:lang w:val="el-GR"/>
        </w:rPr>
        <w:t xml:space="preserve">κατά </w:t>
      </w:r>
      <w:r w:rsidR="009668F2" w:rsidRPr="00CF5FAF">
        <w:rPr>
          <w:color w:val="021142"/>
          <w:lang w:val="el-GR"/>
        </w:rPr>
        <w:t>€</w:t>
      </w:r>
      <w:r w:rsidR="005D0876" w:rsidRPr="00CF5FAF">
        <w:rPr>
          <w:color w:val="021142"/>
          <w:lang w:val="el-GR"/>
        </w:rPr>
        <w:t>2</w:t>
      </w:r>
      <w:r w:rsidR="007C41E4" w:rsidRPr="00CF5FAF">
        <w:rPr>
          <w:color w:val="021142"/>
          <w:lang w:val="el-GR"/>
        </w:rPr>
        <w:t>,</w:t>
      </w:r>
      <w:r w:rsidR="005D0876" w:rsidRPr="00CF5FAF">
        <w:rPr>
          <w:color w:val="021142"/>
          <w:lang w:val="el-GR"/>
        </w:rPr>
        <w:t>3</w:t>
      </w:r>
      <w:r w:rsidR="009668F2" w:rsidRPr="00CF5FAF">
        <w:rPr>
          <w:color w:val="021142"/>
          <w:lang w:val="el-GR"/>
        </w:rPr>
        <w:t>δι</w:t>
      </w:r>
      <w:r w:rsidR="009455B0" w:rsidRPr="00CF5FAF">
        <w:rPr>
          <w:color w:val="021142"/>
          <w:lang w:val="el-GR"/>
        </w:rPr>
        <w:t>ς</w:t>
      </w:r>
      <w:r w:rsidR="009668F2" w:rsidRPr="005D0876">
        <w:rPr>
          <w:color w:val="021142"/>
          <w:lang w:val="el-GR"/>
        </w:rPr>
        <w:t xml:space="preserve"> </w:t>
      </w:r>
      <w:r w:rsidR="005E5A01" w:rsidRPr="005D0876">
        <w:rPr>
          <w:color w:val="021142"/>
          <w:lang w:val="el-GR"/>
        </w:rPr>
        <w:t>το 2025</w:t>
      </w:r>
    </w:p>
    <w:p w14:paraId="4C3A270B" w14:textId="487957F0" w:rsidR="00197117" w:rsidRDefault="00197117" w:rsidP="007C3CC6">
      <w:pPr>
        <w:pStyle w:val="ListParagraph"/>
        <w:numPr>
          <w:ilvl w:val="0"/>
          <w:numId w:val="7"/>
        </w:numPr>
        <w:tabs>
          <w:tab w:val="left" w:pos="396"/>
        </w:tabs>
        <w:spacing w:before="103" w:line="480" w:lineRule="auto"/>
        <w:ind w:left="714" w:right="340" w:hanging="357"/>
        <w:rPr>
          <w:color w:val="021142"/>
          <w:lang w:val="el-GR"/>
        </w:rPr>
      </w:pPr>
      <w:r w:rsidRPr="00F861DE">
        <w:rPr>
          <w:color w:val="021142"/>
          <w:lang w:val="el-GR"/>
        </w:rPr>
        <w:t>Δείκτης</w:t>
      </w:r>
      <w:r w:rsidRPr="00F861DE">
        <w:rPr>
          <w:color w:val="021142"/>
          <w:spacing w:val="-8"/>
          <w:lang w:val="el-GR"/>
        </w:rPr>
        <w:t xml:space="preserve"> </w:t>
      </w:r>
      <w:r w:rsidR="00497AD5" w:rsidRPr="00497AD5">
        <w:rPr>
          <w:color w:val="021142"/>
          <w:lang w:val="el-GR"/>
        </w:rPr>
        <w:t>συνολικής κεφαλαιακής επάρκειας</w:t>
      </w:r>
      <w:r w:rsidR="00164566">
        <w:rPr>
          <w:color w:val="021142"/>
          <w:lang w:val="el-GR"/>
        </w:rPr>
        <w:t xml:space="preserve"> (</w:t>
      </w:r>
      <w:r w:rsidR="00164566">
        <w:rPr>
          <w:color w:val="021142"/>
        </w:rPr>
        <w:t>CAD</w:t>
      </w:r>
      <w:r w:rsidR="00164566" w:rsidRPr="008831AF">
        <w:rPr>
          <w:color w:val="021142"/>
          <w:lang w:val="el-GR"/>
        </w:rPr>
        <w:t>)</w:t>
      </w:r>
      <w:r w:rsidR="00497AD5" w:rsidRPr="00497AD5">
        <w:rPr>
          <w:color w:val="021142"/>
          <w:lang w:val="el-GR"/>
        </w:rPr>
        <w:t xml:space="preserve"> </w:t>
      </w:r>
      <w:r w:rsidR="009A5D5F">
        <w:rPr>
          <w:color w:val="021142"/>
          <w:lang w:val="el-GR"/>
        </w:rPr>
        <w:t>20,0</w:t>
      </w:r>
      <w:r w:rsidR="00497AD5" w:rsidRPr="00497AD5">
        <w:rPr>
          <w:color w:val="021142"/>
          <w:lang w:val="el-GR"/>
        </w:rPr>
        <w:t>%</w:t>
      </w:r>
      <w:r w:rsidR="006A33AE">
        <w:rPr>
          <w:rStyle w:val="FootnoteReference"/>
          <w:color w:val="021142"/>
          <w:lang w:val="el-GR"/>
        </w:rPr>
        <w:footnoteReference w:id="2"/>
      </w:r>
      <w:r w:rsidR="00497AD5" w:rsidRPr="00497AD5">
        <w:rPr>
          <w:color w:val="021142"/>
          <w:lang w:val="el-GR"/>
        </w:rPr>
        <w:t xml:space="preserve">, </w:t>
      </w:r>
      <w:r w:rsidRPr="00B76784">
        <w:rPr>
          <w:color w:val="021142"/>
          <w:lang w:val="el-GR"/>
        </w:rPr>
        <w:t>Δείκτης</w:t>
      </w:r>
      <w:r w:rsidR="00365A96" w:rsidRPr="00365A96">
        <w:rPr>
          <w:color w:val="021142"/>
          <w:lang w:val="el-GR"/>
        </w:rPr>
        <w:t xml:space="preserve"> </w:t>
      </w:r>
      <w:r>
        <w:rPr>
          <w:color w:val="021142"/>
        </w:rPr>
        <w:t>CET</w:t>
      </w:r>
      <w:r w:rsidRPr="00B76784">
        <w:rPr>
          <w:color w:val="021142"/>
          <w:lang w:val="el-GR"/>
        </w:rPr>
        <w:t xml:space="preserve">1 </w:t>
      </w:r>
      <w:r w:rsidR="00F408F4" w:rsidRPr="00950E8F">
        <w:rPr>
          <w:color w:val="021142"/>
          <w:lang w:val="el-GR"/>
        </w:rPr>
        <w:t>15,</w:t>
      </w:r>
      <w:r w:rsidR="00B648D6">
        <w:rPr>
          <w:color w:val="021142"/>
          <w:lang w:val="el-GR"/>
        </w:rPr>
        <w:t>6</w:t>
      </w:r>
      <w:r w:rsidRPr="00B76784">
        <w:rPr>
          <w:color w:val="021142"/>
          <w:lang w:val="el-GR"/>
        </w:rPr>
        <w:t>%</w:t>
      </w:r>
      <w:r w:rsidR="00E53687">
        <w:rPr>
          <w:color w:val="021142"/>
          <w:vertAlign w:val="superscript"/>
          <w:lang w:val="el-GR"/>
        </w:rPr>
        <w:t>2</w:t>
      </w:r>
    </w:p>
    <w:p w14:paraId="6DF8A36A" w14:textId="5311B3DF" w:rsidR="00F861DE" w:rsidRPr="00E61764" w:rsidRDefault="00B76784" w:rsidP="007C3CC6">
      <w:pPr>
        <w:pStyle w:val="ListParagraph"/>
        <w:numPr>
          <w:ilvl w:val="0"/>
          <w:numId w:val="7"/>
        </w:numPr>
        <w:tabs>
          <w:tab w:val="left" w:pos="396"/>
        </w:tabs>
        <w:spacing w:before="103" w:line="480" w:lineRule="auto"/>
        <w:ind w:left="714" w:right="340" w:hanging="357"/>
        <w:rPr>
          <w:color w:val="021142"/>
          <w:lang w:val="el-GR"/>
        </w:rPr>
      </w:pPr>
      <w:r>
        <w:rPr>
          <w:color w:val="021142"/>
          <w:lang w:val="el-GR"/>
        </w:rPr>
        <w:t xml:space="preserve">Δείκτης </w:t>
      </w:r>
      <w:r>
        <w:rPr>
          <w:color w:val="021142"/>
        </w:rPr>
        <w:t>NPE</w:t>
      </w:r>
      <w:r w:rsidRPr="00B76784">
        <w:rPr>
          <w:color w:val="021142"/>
          <w:lang w:val="el-GR"/>
        </w:rPr>
        <w:t xml:space="preserve"> </w:t>
      </w:r>
      <w:r w:rsidR="0030399A" w:rsidRPr="00950E8F">
        <w:rPr>
          <w:color w:val="021142"/>
          <w:lang w:val="el-GR"/>
        </w:rPr>
        <w:t>2</w:t>
      </w:r>
      <w:r w:rsidR="00EC407A">
        <w:rPr>
          <w:color w:val="021142"/>
          <w:lang w:val="el-GR"/>
        </w:rPr>
        <w:t>,</w:t>
      </w:r>
      <w:r w:rsidR="00E53687">
        <w:rPr>
          <w:color w:val="021142"/>
          <w:lang w:val="el-GR"/>
        </w:rPr>
        <w:t>6</w:t>
      </w:r>
      <w:r>
        <w:rPr>
          <w:color w:val="021142"/>
          <w:lang w:val="el-GR"/>
        </w:rPr>
        <w:t>%</w:t>
      </w:r>
      <w:r w:rsidR="00DC727A">
        <w:rPr>
          <w:color w:val="021142"/>
          <w:position w:val="7"/>
          <w:sz w:val="13"/>
          <w:lang w:val="el-GR"/>
        </w:rPr>
        <w:t xml:space="preserve"> </w:t>
      </w:r>
      <w:r>
        <w:rPr>
          <w:color w:val="021142"/>
          <w:lang w:val="el-GR"/>
        </w:rPr>
        <w:t xml:space="preserve">- </w:t>
      </w:r>
      <w:r w:rsidR="005511E3" w:rsidRPr="00F861DE">
        <w:rPr>
          <w:color w:val="021142"/>
          <w:lang w:val="el-GR"/>
        </w:rPr>
        <w:t>Δείκτης</w:t>
      </w:r>
      <w:r w:rsidR="005511E3" w:rsidRPr="00F861DE">
        <w:rPr>
          <w:color w:val="021142"/>
          <w:spacing w:val="-11"/>
          <w:lang w:val="el-GR"/>
        </w:rPr>
        <w:t xml:space="preserve"> </w:t>
      </w:r>
      <w:r w:rsidR="00453883">
        <w:rPr>
          <w:color w:val="021142"/>
          <w:spacing w:val="-11"/>
          <w:lang w:val="el-GR"/>
        </w:rPr>
        <w:t xml:space="preserve">κάλυψης των </w:t>
      </w:r>
      <w:r w:rsidR="00DB29F5">
        <w:rPr>
          <w:color w:val="021142"/>
        </w:rPr>
        <w:t>NPE</w:t>
      </w:r>
      <w:r w:rsidR="003A5421">
        <w:rPr>
          <w:color w:val="021142"/>
          <w:lang w:val="en-GB"/>
        </w:rPr>
        <w:t>s</w:t>
      </w:r>
      <w:r w:rsidR="005511E3" w:rsidRPr="00F861DE">
        <w:rPr>
          <w:color w:val="021142"/>
          <w:spacing w:val="-11"/>
          <w:lang w:val="el-GR"/>
        </w:rPr>
        <w:t xml:space="preserve"> </w:t>
      </w:r>
      <w:r w:rsidR="0030399A" w:rsidRPr="00950E8F">
        <w:rPr>
          <w:color w:val="021142"/>
          <w:spacing w:val="-11"/>
          <w:lang w:val="el-GR"/>
        </w:rPr>
        <w:t>9</w:t>
      </w:r>
      <w:r w:rsidR="00E53687">
        <w:rPr>
          <w:color w:val="021142"/>
          <w:spacing w:val="-11"/>
          <w:lang w:val="el-GR"/>
        </w:rPr>
        <w:t>5</w:t>
      </w:r>
      <w:r w:rsidR="0030399A" w:rsidRPr="00950E8F">
        <w:rPr>
          <w:color w:val="021142"/>
          <w:spacing w:val="-11"/>
          <w:lang w:val="el-GR"/>
        </w:rPr>
        <w:t>,</w:t>
      </w:r>
      <w:r w:rsidR="00E53687">
        <w:rPr>
          <w:color w:val="021142"/>
          <w:spacing w:val="-11"/>
          <w:lang w:val="el-GR"/>
        </w:rPr>
        <w:t>2</w:t>
      </w:r>
      <w:r w:rsidR="005511E3" w:rsidRPr="00F861DE">
        <w:rPr>
          <w:color w:val="021142"/>
          <w:lang w:val="el-GR"/>
        </w:rPr>
        <w:t>%</w:t>
      </w:r>
    </w:p>
    <w:p w14:paraId="42B0F871" w14:textId="77777777" w:rsidR="009A5CA9" w:rsidRDefault="009A5CA9" w:rsidP="009A5CA9">
      <w:pPr>
        <w:pStyle w:val="BodyText"/>
        <w:spacing w:before="7"/>
        <w:ind w:right="340"/>
        <w:jc w:val="both"/>
        <w:rPr>
          <w:lang w:val="el-GR"/>
        </w:rPr>
      </w:pPr>
    </w:p>
    <w:p w14:paraId="1A37E816" w14:textId="00987CA9" w:rsidR="009A5CA9" w:rsidRPr="00B044EE" w:rsidRDefault="009A5CA9" w:rsidP="009A5CA9">
      <w:pPr>
        <w:pStyle w:val="ListParagraph"/>
        <w:numPr>
          <w:ilvl w:val="0"/>
          <w:numId w:val="16"/>
        </w:numPr>
        <w:spacing w:before="103" w:line="360" w:lineRule="auto"/>
        <w:rPr>
          <w:b/>
          <w:bCs/>
          <w:color w:val="021142"/>
          <w:lang w:val="el-GR"/>
        </w:rPr>
      </w:pPr>
      <w:r w:rsidRPr="00B044EE">
        <w:rPr>
          <w:b/>
          <w:bCs/>
          <w:color w:val="021142"/>
          <w:lang w:val="el-GR"/>
        </w:rPr>
        <w:t>Επιχειρηματικό Πλάνο 202</w:t>
      </w:r>
      <w:r>
        <w:rPr>
          <w:b/>
          <w:bCs/>
          <w:color w:val="021142"/>
          <w:lang w:val="el-GR"/>
        </w:rPr>
        <w:t>6</w:t>
      </w:r>
      <w:r w:rsidRPr="00B044EE">
        <w:rPr>
          <w:b/>
          <w:bCs/>
          <w:color w:val="021142"/>
          <w:lang w:val="el-GR"/>
        </w:rPr>
        <w:t>-202</w:t>
      </w:r>
      <w:r>
        <w:rPr>
          <w:b/>
          <w:bCs/>
          <w:color w:val="021142"/>
          <w:lang w:val="el-GR"/>
        </w:rPr>
        <w:t>8</w:t>
      </w:r>
    </w:p>
    <w:p w14:paraId="45402965" w14:textId="3BCEB563" w:rsidR="009A5CA9" w:rsidRPr="00CF5FAF" w:rsidRDefault="009A5CA9" w:rsidP="009A5CA9">
      <w:pPr>
        <w:pStyle w:val="ListParagraph"/>
        <w:numPr>
          <w:ilvl w:val="0"/>
          <w:numId w:val="7"/>
        </w:numPr>
        <w:tabs>
          <w:tab w:val="left" w:pos="396"/>
        </w:tabs>
        <w:spacing w:before="103" w:line="480" w:lineRule="auto"/>
        <w:ind w:left="714" w:right="340" w:hanging="357"/>
        <w:rPr>
          <w:color w:val="021142"/>
          <w:lang w:val="el-GR"/>
        </w:rPr>
      </w:pPr>
      <w:r w:rsidRPr="00CF5FAF">
        <w:rPr>
          <w:color w:val="021142"/>
        </w:rPr>
        <w:t>A</w:t>
      </w:r>
      <w:r w:rsidRPr="00CF5FAF">
        <w:rPr>
          <w:color w:val="021142"/>
          <w:lang w:val="el-GR"/>
        </w:rPr>
        <w:t>πόδοση ενσώματων ιδίων κεφαλαίων ~</w:t>
      </w:r>
      <w:r w:rsidR="00F93308" w:rsidRPr="00CF5FAF">
        <w:rPr>
          <w:color w:val="021142"/>
          <w:lang w:val="el-GR"/>
        </w:rPr>
        <w:t>17</w:t>
      </w:r>
      <w:r w:rsidRPr="00CF5FAF">
        <w:rPr>
          <w:color w:val="021142"/>
          <w:lang w:val="el-GR"/>
        </w:rPr>
        <w:t>%</w:t>
      </w:r>
      <w:r w:rsidR="00F93308" w:rsidRPr="00CF5FAF">
        <w:rPr>
          <w:color w:val="021142"/>
          <w:lang w:val="el-GR"/>
        </w:rPr>
        <w:t xml:space="preserve"> το 2028</w:t>
      </w:r>
      <w:r w:rsidRPr="00CF5FAF">
        <w:rPr>
          <w:color w:val="021142"/>
          <w:lang w:val="el-GR"/>
        </w:rPr>
        <w:t xml:space="preserve">  </w:t>
      </w:r>
    </w:p>
    <w:p w14:paraId="5A7FE305" w14:textId="38731528" w:rsidR="00F93308" w:rsidRPr="00CF5FAF" w:rsidRDefault="00D76E12" w:rsidP="009A5CA9">
      <w:pPr>
        <w:pStyle w:val="ListParagraph"/>
        <w:numPr>
          <w:ilvl w:val="0"/>
          <w:numId w:val="7"/>
        </w:numPr>
        <w:tabs>
          <w:tab w:val="left" w:pos="396"/>
        </w:tabs>
        <w:spacing w:before="103" w:line="480" w:lineRule="auto"/>
        <w:ind w:left="714" w:right="340" w:hanging="357"/>
        <w:rPr>
          <w:color w:val="021142"/>
          <w:lang w:val="el-GR"/>
        </w:rPr>
      </w:pPr>
      <w:r w:rsidRPr="00CF5FAF">
        <w:rPr>
          <w:color w:val="021142"/>
          <w:lang w:val="el-GR"/>
        </w:rPr>
        <w:t xml:space="preserve">Κέρδη </w:t>
      </w:r>
      <w:r w:rsidR="008E1532" w:rsidRPr="00CF5FAF">
        <w:rPr>
          <w:color w:val="021142"/>
          <w:lang w:val="el-GR"/>
        </w:rPr>
        <w:t xml:space="preserve">ανα μετοχή </w:t>
      </w:r>
      <w:r w:rsidR="00DE05E6" w:rsidRPr="00CF5FAF">
        <w:rPr>
          <w:color w:val="021142"/>
          <w:lang w:val="el-GR"/>
        </w:rPr>
        <w:t xml:space="preserve">~10% σωρευτική ετήσια μεταβολή </w:t>
      </w:r>
    </w:p>
    <w:p w14:paraId="6E424821" w14:textId="0F0A1383" w:rsidR="009A5CA9" w:rsidRPr="00CF5FAF" w:rsidRDefault="00E4064E" w:rsidP="009A5CA9">
      <w:pPr>
        <w:pStyle w:val="ListParagraph"/>
        <w:numPr>
          <w:ilvl w:val="0"/>
          <w:numId w:val="7"/>
        </w:numPr>
        <w:tabs>
          <w:tab w:val="left" w:pos="396"/>
        </w:tabs>
        <w:spacing w:before="103" w:line="480" w:lineRule="auto"/>
        <w:ind w:left="714" w:right="340" w:hanging="357"/>
        <w:rPr>
          <w:color w:val="021142"/>
          <w:lang w:val="el-GR"/>
        </w:rPr>
      </w:pPr>
      <w:r>
        <w:rPr>
          <w:color w:val="021142"/>
          <w:lang w:val="el-GR"/>
        </w:rPr>
        <w:t>Σ</w:t>
      </w:r>
      <w:r w:rsidR="00BE3D58">
        <w:rPr>
          <w:color w:val="021142"/>
          <w:lang w:val="el-GR"/>
        </w:rPr>
        <w:t xml:space="preserve">ωρευτική </w:t>
      </w:r>
      <w:r>
        <w:rPr>
          <w:color w:val="021142"/>
          <w:lang w:val="el-GR"/>
        </w:rPr>
        <w:t xml:space="preserve">διανομή για την περίοδο 2026-28 αυξημένη κατά </w:t>
      </w:r>
      <w:r w:rsidR="00DE05E6" w:rsidRPr="00CF5FAF">
        <w:rPr>
          <w:color w:val="021142"/>
          <w:lang w:val="el-GR"/>
        </w:rPr>
        <w:t>~</w:t>
      </w:r>
      <w:r w:rsidR="00DE05E6" w:rsidRPr="00CF5FAF">
        <w:rPr>
          <w:rFonts w:cs="Times New Roman"/>
          <w:color w:val="021142"/>
          <w:lang w:val="el-GR"/>
        </w:rPr>
        <w:t>5</w:t>
      </w:r>
      <w:r>
        <w:rPr>
          <w:rFonts w:cs="Times New Roman"/>
          <w:color w:val="021142"/>
          <w:lang w:val="el-GR"/>
        </w:rPr>
        <w:t>0</w:t>
      </w:r>
      <w:r w:rsidR="009A5CA9" w:rsidRPr="00CF5FAF">
        <w:rPr>
          <w:color w:val="021142"/>
          <w:lang w:val="el-GR"/>
        </w:rPr>
        <w:t>%</w:t>
      </w:r>
      <w:r>
        <w:rPr>
          <w:color w:val="021142"/>
          <w:lang w:val="el-GR"/>
        </w:rPr>
        <w:t>, έναντι της</w:t>
      </w:r>
      <w:r w:rsidR="00BE3D58">
        <w:rPr>
          <w:color w:val="021142"/>
          <w:lang w:val="el-GR"/>
        </w:rPr>
        <w:t xml:space="preserve"> αντίστοιχης </w:t>
      </w:r>
      <w:r>
        <w:rPr>
          <w:color w:val="021142"/>
          <w:lang w:val="el-GR"/>
        </w:rPr>
        <w:t>διανομής της περιόδου 2023-25</w:t>
      </w:r>
      <w:r w:rsidR="00392C29" w:rsidRPr="00CF5FAF">
        <w:rPr>
          <w:rStyle w:val="FootnoteReference"/>
          <w:color w:val="021142"/>
          <w:lang w:val="el-GR"/>
        </w:rPr>
        <w:footnoteReference w:id="3"/>
      </w:r>
      <w:r w:rsidR="00392C29" w:rsidRPr="00CF5FAF">
        <w:rPr>
          <w:color w:val="021142"/>
          <w:lang w:val="el-GR"/>
        </w:rPr>
        <w:t xml:space="preserve"> </w:t>
      </w:r>
      <w:r w:rsidR="009A5CA9" w:rsidRPr="00CF5FAF">
        <w:rPr>
          <w:color w:val="021142"/>
          <w:lang w:val="el-GR"/>
        </w:rPr>
        <w:t xml:space="preserve"> </w:t>
      </w:r>
    </w:p>
    <w:p w14:paraId="7FD618FD" w14:textId="77777777" w:rsidR="009A5CA9" w:rsidRDefault="009A5CA9" w:rsidP="009A5CA9">
      <w:pPr>
        <w:pStyle w:val="BodyText"/>
        <w:spacing w:before="7"/>
        <w:ind w:right="340"/>
        <w:jc w:val="both"/>
        <w:rPr>
          <w:lang w:val="el-GR"/>
        </w:rPr>
      </w:pPr>
    </w:p>
    <w:p w14:paraId="2DC6D91A" w14:textId="77777777" w:rsidR="009A5CA9" w:rsidRPr="00EB3ECD" w:rsidRDefault="009A5CA9" w:rsidP="00E61764">
      <w:pPr>
        <w:pStyle w:val="ListParagraph"/>
        <w:tabs>
          <w:tab w:val="left" w:pos="396"/>
        </w:tabs>
        <w:spacing w:before="103" w:line="480" w:lineRule="auto"/>
        <w:ind w:left="714" w:right="340"/>
        <w:rPr>
          <w:color w:val="021142"/>
          <w:lang w:val="el-GR"/>
        </w:rPr>
      </w:pPr>
    </w:p>
    <w:p w14:paraId="76A21237" w14:textId="77777777" w:rsidR="006C6641" w:rsidRPr="00EB3ECD" w:rsidRDefault="006C6641" w:rsidP="008357AD">
      <w:pPr>
        <w:pStyle w:val="BodyText"/>
        <w:spacing w:before="7"/>
        <w:ind w:right="340"/>
        <w:jc w:val="both"/>
        <w:rPr>
          <w:lang w:val="el-GR"/>
        </w:rPr>
      </w:pPr>
    </w:p>
    <w:p w14:paraId="150575DA" w14:textId="77777777" w:rsidR="00E8726B" w:rsidRPr="00EB3ECD" w:rsidRDefault="00E8726B" w:rsidP="008357AD">
      <w:pPr>
        <w:pStyle w:val="BodyText"/>
        <w:spacing w:before="7"/>
        <w:ind w:right="340"/>
        <w:jc w:val="both"/>
        <w:rPr>
          <w:lang w:val="el-GR"/>
        </w:rPr>
      </w:pPr>
    </w:p>
    <w:p w14:paraId="0D86EA17" w14:textId="77777777" w:rsidR="001E4853" w:rsidRPr="00EB3ECD" w:rsidRDefault="001E4853" w:rsidP="008357AD">
      <w:pPr>
        <w:pStyle w:val="BodyText"/>
        <w:spacing w:before="7"/>
        <w:ind w:right="340"/>
        <w:jc w:val="both"/>
        <w:rPr>
          <w:lang w:val="el-GR"/>
        </w:rPr>
      </w:pPr>
    </w:p>
    <w:p w14:paraId="082B564A" w14:textId="6A0522B3" w:rsidR="00D56F06" w:rsidRPr="00EB3ECD" w:rsidRDefault="001E3B5D" w:rsidP="008357AD">
      <w:pPr>
        <w:pStyle w:val="BodyText"/>
        <w:spacing w:before="7"/>
        <w:ind w:right="340"/>
        <w:jc w:val="both"/>
        <w:rPr>
          <w:lang w:val="el-GR"/>
        </w:rPr>
      </w:pPr>
      <w:r>
        <w:rPr>
          <w:noProof/>
          <w:lang w:val="el-GR" w:eastAsia="el-GR"/>
        </w:rPr>
        <mc:AlternateContent>
          <mc:Choice Requires="wpg">
            <w:drawing>
              <wp:anchor distT="0" distB="0" distL="114300" distR="114300" simplePos="0" relativeHeight="487622656" behindDoc="0" locked="0" layoutInCell="1" allowOverlap="1" wp14:anchorId="78D29CC0" wp14:editId="1BB54551">
                <wp:simplePos x="0" y="0"/>
                <wp:positionH relativeFrom="margin">
                  <wp:posOffset>0</wp:posOffset>
                </wp:positionH>
                <wp:positionV relativeFrom="page">
                  <wp:posOffset>10161961</wp:posOffset>
                </wp:positionV>
                <wp:extent cx="7001510" cy="143510"/>
                <wp:effectExtent l="0" t="0" r="8890" b="8890"/>
                <wp:wrapNone/>
                <wp:docPr id="1751499978"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510" cy="143510"/>
                          <a:chOff x="0" y="14655"/>
                          <a:chExt cx="11906" cy="226"/>
                        </a:xfrm>
                      </wpg:grpSpPr>
                      <wps:wsp>
                        <wps:cNvPr id="980590270" name="docshape24"/>
                        <wps:cNvSpPr>
                          <a:spLocks/>
                        </wps:cNvSpPr>
                        <wps:spPr bwMode="auto">
                          <a:xfrm>
                            <a:off x="5948" y="14655"/>
                            <a:ext cx="5957" cy="113"/>
                          </a:xfrm>
                          <a:custGeom>
                            <a:avLst/>
                            <a:gdLst>
                              <a:gd name="T0" fmla="+- 0 11906 5949"/>
                              <a:gd name="T1" fmla="*/ T0 w 5957"/>
                              <a:gd name="T2" fmla="+- 0 14655 14655"/>
                              <a:gd name="T3" fmla="*/ 14655 h 113"/>
                              <a:gd name="T4" fmla="+- 0 6024 5949"/>
                              <a:gd name="T5" fmla="*/ T4 w 5957"/>
                              <a:gd name="T6" fmla="+- 0 14655 14655"/>
                              <a:gd name="T7" fmla="*/ 14655 h 113"/>
                              <a:gd name="T8" fmla="+- 0 5949 5949"/>
                              <a:gd name="T9" fmla="*/ T8 w 5957"/>
                              <a:gd name="T10" fmla="+- 0 14768 14655"/>
                              <a:gd name="T11" fmla="*/ 14768 h 113"/>
                              <a:gd name="T12" fmla="+- 0 11906 5949"/>
                              <a:gd name="T13" fmla="*/ T12 w 5957"/>
                              <a:gd name="T14" fmla="+- 0 14768 14655"/>
                              <a:gd name="T15" fmla="*/ 14768 h 113"/>
                              <a:gd name="T16" fmla="+- 0 11906 5949"/>
                              <a:gd name="T17" fmla="*/ T16 w 5957"/>
                              <a:gd name="T18" fmla="+- 0 14655 14655"/>
                              <a:gd name="T19" fmla="*/ 14655 h 113"/>
                            </a:gdLst>
                            <a:ahLst/>
                            <a:cxnLst>
                              <a:cxn ang="0">
                                <a:pos x="T1" y="T3"/>
                              </a:cxn>
                              <a:cxn ang="0">
                                <a:pos x="T5" y="T7"/>
                              </a:cxn>
                              <a:cxn ang="0">
                                <a:pos x="T9" y="T11"/>
                              </a:cxn>
                              <a:cxn ang="0">
                                <a:pos x="T13" y="T15"/>
                              </a:cxn>
                              <a:cxn ang="0">
                                <a:pos x="T17" y="T19"/>
                              </a:cxn>
                            </a:cxnLst>
                            <a:rect l="0" t="0" r="r" b="b"/>
                            <a:pathLst>
                              <a:path w="5957" h="113">
                                <a:moveTo>
                                  <a:pt x="5957" y="0"/>
                                </a:moveTo>
                                <a:lnTo>
                                  <a:pt x="75" y="0"/>
                                </a:lnTo>
                                <a:lnTo>
                                  <a:pt x="0" y="113"/>
                                </a:lnTo>
                                <a:lnTo>
                                  <a:pt x="5957" y="113"/>
                                </a:lnTo>
                                <a:lnTo>
                                  <a:pt x="5957" y="0"/>
                                </a:lnTo>
                                <a:close/>
                              </a:path>
                            </a:pathLst>
                          </a:custGeom>
                          <a:solidFill>
                            <a:srgbClr val="0018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3224616" name="docshape25"/>
                        <wps:cNvSpPr>
                          <a:spLocks/>
                        </wps:cNvSpPr>
                        <wps:spPr bwMode="auto">
                          <a:xfrm>
                            <a:off x="0" y="14767"/>
                            <a:ext cx="5949" cy="113"/>
                          </a:xfrm>
                          <a:custGeom>
                            <a:avLst/>
                            <a:gdLst>
                              <a:gd name="T0" fmla="*/ 5949 w 5949"/>
                              <a:gd name="T1" fmla="+- 0 14768 14768"/>
                              <a:gd name="T2" fmla="*/ 14768 h 113"/>
                              <a:gd name="T3" fmla="*/ 0 w 5949"/>
                              <a:gd name="T4" fmla="+- 0 14768 14768"/>
                              <a:gd name="T5" fmla="*/ 14768 h 113"/>
                              <a:gd name="T6" fmla="*/ 0 w 5949"/>
                              <a:gd name="T7" fmla="+- 0 14881 14768"/>
                              <a:gd name="T8" fmla="*/ 14881 h 113"/>
                              <a:gd name="T9" fmla="*/ 5872 w 5949"/>
                              <a:gd name="T10" fmla="+- 0 14880 14768"/>
                              <a:gd name="T11" fmla="*/ 14880 h 113"/>
                              <a:gd name="T12" fmla="*/ 5949 w 5949"/>
                              <a:gd name="T13" fmla="+- 0 14768 14768"/>
                              <a:gd name="T14" fmla="*/ 14768 h 113"/>
                            </a:gdLst>
                            <a:ahLst/>
                            <a:cxnLst>
                              <a:cxn ang="0">
                                <a:pos x="T0" y="T2"/>
                              </a:cxn>
                              <a:cxn ang="0">
                                <a:pos x="T3" y="T5"/>
                              </a:cxn>
                              <a:cxn ang="0">
                                <a:pos x="T6" y="T8"/>
                              </a:cxn>
                              <a:cxn ang="0">
                                <a:pos x="T9" y="T11"/>
                              </a:cxn>
                              <a:cxn ang="0">
                                <a:pos x="T12" y="T14"/>
                              </a:cxn>
                            </a:cxnLst>
                            <a:rect l="0" t="0" r="r" b="b"/>
                            <a:pathLst>
                              <a:path w="5949" h="113">
                                <a:moveTo>
                                  <a:pt x="5949" y="0"/>
                                </a:moveTo>
                                <a:lnTo>
                                  <a:pt x="0" y="0"/>
                                </a:lnTo>
                                <a:lnTo>
                                  <a:pt x="0" y="113"/>
                                </a:lnTo>
                                <a:lnTo>
                                  <a:pt x="5872" y="112"/>
                                </a:lnTo>
                                <a:lnTo>
                                  <a:pt x="5949" y="0"/>
                                </a:lnTo>
                                <a:close/>
                              </a:path>
                            </a:pathLst>
                          </a:custGeom>
                          <a:solidFill>
                            <a:srgbClr val="ED1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ABCE2" id="docshapegroup23" o:spid="_x0000_s1026" style="position:absolute;margin-left:0;margin-top:800.15pt;width:551.3pt;height:11.3pt;z-index:487622656;mso-position-horizontal-relative:margin;mso-position-vertical-relative:page" coordorigin=",14655" coordsize="1190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">
                <v:shape id="docshape24" o:spid="_x0000_s1027" style="position:absolute;left:5948;top:14655;width:5957;height:113;visibility:visible;mso-wrap-style:square;v-text-anchor:top" coordsize="595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" path="m5957,l75,,,113r5957,l5957,xe" fillcolor="#001845" stroked="f">
                  <v:path arrowok="t" o:connecttype="custom" o:connectlocs="5957,14655;75,14655;0,14768;5957,14768;5957,14655" o:connectangles="0,0,0,0,0"/>
                </v:shape>
                <v:shape id="docshape25" o:spid="_x0000_s1028" style="position:absolute;top:14767;width:5949;height:113;visibility:visible;mso-wrap-style:square;v-text-anchor:top" coordsize="594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" path="m5949,l,,,113r5872,-1l5949,xe" fillcolor="#ed1b34" stroked="f">
                  <v:path arrowok="t" o:connecttype="custom" o:connectlocs="5949,14768;0,14768;0,14881;5872,14880;5949,14768" o:connectangles="0,0,0,0,0"/>
                </v:shape>
                <w10:wrap anchorx="margin" anchory="page"/>
              </v:group>
            </w:pict>
          </mc:Fallback>
        </mc:AlternateContent>
      </w:r>
    </w:p>
    <w:p w14:paraId="0ECF111F" w14:textId="37541349" w:rsidR="00D56F06" w:rsidRPr="00EB3ECD" w:rsidRDefault="00D56F06" w:rsidP="008357AD">
      <w:pPr>
        <w:pStyle w:val="BodyText"/>
        <w:spacing w:before="7"/>
        <w:ind w:right="340"/>
        <w:jc w:val="both"/>
        <w:rPr>
          <w:lang w:val="el-GR"/>
        </w:rPr>
      </w:pPr>
    </w:p>
    <w:p w14:paraId="32FADD16" w14:textId="3BB67D50" w:rsidR="00960CE3" w:rsidRDefault="00960CE3">
      <w:pPr>
        <w:rPr>
          <w:lang w:val="el-GR"/>
        </w:rPr>
      </w:pPr>
      <w:r>
        <w:rPr>
          <w:lang w:val="el-GR"/>
        </w:rPr>
        <w:br w:type="page"/>
      </w:r>
    </w:p>
    <w:p w14:paraId="62F24632" w14:textId="77777777" w:rsidR="00D56F06" w:rsidRPr="00FE4888" w:rsidRDefault="00D56F06" w:rsidP="008357AD">
      <w:pPr>
        <w:pStyle w:val="BodyText"/>
        <w:spacing w:before="7"/>
        <w:ind w:right="340"/>
        <w:jc w:val="both"/>
        <w:rPr>
          <w:lang w:val="el-GR"/>
        </w:rPr>
      </w:pPr>
    </w:p>
    <w:p w14:paraId="43C1C7FB" w14:textId="77777777" w:rsidR="000525B2" w:rsidRPr="00FE4888" w:rsidRDefault="000525B2" w:rsidP="008357AD">
      <w:pPr>
        <w:pStyle w:val="BodyText"/>
        <w:spacing w:before="7"/>
        <w:ind w:right="340"/>
        <w:jc w:val="both"/>
        <w:rPr>
          <w:lang w:val="el-GR"/>
        </w:rPr>
      </w:pPr>
    </w:p>
    <w:p w14:paraId="3708E73F" w14:textId="77777777" w:rsidR="000525B2" w:rsidRPr="00FE4888" w:rsidRDefault="000525B2" w:rsidP="008357AD">
      <w:pPr>
        <w:pStyle w:val="BodyText"/>
        <w:spacing w:before="7"/>
        <w:ind w:right="340"/>
        <w:jc w:val="both"/>
        <w:rPr>
          <w:lang w:val="el-GR"/>
        </w:rPr>
      </w:pPr>
    </w:p>
    <w:p w14:paraId="63CE6658" w14:textId="77777777" w:rsidR="000525B2" w:rsidRPr="00FE4888" w:rsidRDefault="000525B2" w:rsidP="008357AD">
      <w:pPr>
        <w:pStyle w:val="BodyText"/>
        <w:spacing w:before="7"/>
        <w:ind w:right="340"/>
        <w:jc w:val="both"/>
        <w:rPr>
          <w:lang w:val="el-GR"/>
        </w:rPr>
      </w:pPr>
    </w:p>
    <w:p w14:paraId="29F42AA1" w14:textId="77777777" w:rsidR="000525B2" w:rsidRPr="00FE4888" w:rsidRDefault="000525B2" w:rsidP="008357AD">
      <w:pPr>
        <w:pStyle w:val="BodyText"/>
        <w:spacing w:before="7"/>
        <w:ind w:right="340"/>
        <w:jc w:val="both"/>
        <w:rPr>
          <w:lang w:val="el-GR"/>
        </w:rPr>
      </w:pPr>
    </w:p>
    <w:p w14:paraId="70618452" w14:textId="01FF3DF5" w:rsidR="00D56F06" w:rsidRPr="00EB3ECD" w:rsidRDefault="00D56F06" w:rsidP="008357AD">
      <w:pPr>
        <w:pStyle w:val="BodyText"/>
        <w:spacing w:before="7"/>
        <w:ind w:right="340"/>
        <w:jc w:val="both"/>
        <w:rPr>
          <w:lang w:val="el-GR"/>
        </w:rPr>
      </w:pPr>
    </w:p>
    <w:p w14:paraId="78E3A196" w14:textId="4CE0CE1E" w:rsidR="00852D18" w:rsidRDefault="00A87B01" w:rsidP="00586B48">
      <w:pPr>
        <w:tabs>
          <w:tab w:val="left" w:pos="9436"/>
        </w:tabs>
        <w:spacing w:before="39"/>
        <w:ind w:left="260"/>
        <w:jc w:val="both"/>
        <w:rPr>
          <w:color w:val="021342"/>
          <w:spacing w:val="-1"/>
          <w:sz w:val="16"/>
          <w:lang w:val="el-GR"/>
        </w:rPr>
      </w:pPr>
      <w:r>
        <w:rPr>
          <w:noProof/>
          <w:lang w:val="el-GR" w:eastAsia="el-GR"/>
        </w:rPr>
        <mc:AlternateContent>
          <mc:Choice Requires="wpg">
            <w:drawing>
              <wp:anchor distT="0" distB="0" distL="114300" distR="114300" simplePos="0" relativeHeight="251627520" behindDoc="0" locked="0" layoutInCell="1" allowOverlap="1" wp14:anchorId="18C31D26" wp14:editId="5444D50B">
                <wp:simplePos x="0" y="0"/>
                <wp:positionH relativeFrom="margin">
                  <wp:posOffset>-635</wp:posOffset>
                </wp:positionH>
                <wp:positionV relativeFrom="page">
                  <wp:posOffset>10099881</wp:posOffset>
                </wp:positionV>
                <wp:extent cx="7001510" cy="143510"/>
                <wp:effectExtent l="0" t="0" r="8890" b="8890"/>
                <wp:wrapNone/>
                <wp:docPr id="1568816345"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510" cy="143510"/>
                          <a:chOff x="0" y="14655"/>
                          <a:chExt cx="11906" cy="226"/>
                        </a:xfrm>
                      </wpg:grpSpPr>
                      <wps:wsp>
                        <wps:cNvPr id="1556416664" name="docshape24"/>
                        <wps:cNvSpPr>
                          <a:spLocks/>
                        </wps:cNvSpPr>
                        <wps:spPr bwMode="auto">
                          <a:xfrm>
                            <a:off x="5948" y="14655"/>
                            <a:ext cx="5957" cy="113"/>
                          </a:xfrm>
                          <a:custGeom>
                            <a:avLst/>
                            <a:gdLst>
                              <a:gd name="T0" fmla="+- 0 11906 5949"/>
                              <a:gd name="T1" fmla="*/ T0 w 5957"/>
                              <a:gd name="T2" fmla="+- 0 14655 14655"/>
                              <a:gd name="T3" fmla="*/ 14655 h 113"/>
                              <a:gd name="T4" fmla="+- 0 6024 5949"/>
                              <a:gd name="T5" fmla="*/ T4 w 5957"/>
                              <a:gd name="T6" fmla="+- 0 14655 14655"/>
                              <a:gd name="T7" fmla="*/ 14655 h 113"/>
                              <a:gd name="T8" fmla="+- 0 5949 5949"/>
                              <a:gd name="T9" fmla="*/ T8 w 5957"/>
                              <a:gd name="T10" fmla="+- 0 14768 14655"/>
                              <a:gd name="T11" fmla="*/ 14768 h 113"/>
                              <a:gd name="T12" fmla="+- 0 11906 5949"/>
                              <a:gd name="T13" fmla="*/ T12 w 5957"/>
                              <a:gd name="T14" fmla="+- 0 14768 14655"/>
                              <a:gd name="T15" fmla="*/ 14768 h 113"/>
                              <a:gd name="T16" fmla="+- 0 11906 5949"/>
                              <a:gd name="T17" fmla="*/ T16 w 5957"/>
                              <a:gd name="T18" fmla="+- 0 14655 14655"/>
                              <a:gd name="T19" fmla="*/ 14655 h 113"/>
                            </a:gdLst>
                            <a:ahLst/>
                            <a:cxnLst>
                              <a:cxn ang="0">
                                <a:pos x="T1" y="T3"/>
                              </a:cxn>
                              <a:cxn ang="0">
                                <a:pos x="T5" y="T7"/>
                              </a:cxn>
                              <a:cxn ang="0">
                                <a:pos x="T9" y="T11"/>
                              </a:cxn>
                              <a:cxn ang="0">
                                <a:pos x="T13" y="T15"/>
                              </a:cxn>
                              <a:cxn ang="0">
                                <a:pos x="T17" y="T19"/>
                              </a:cxn>
                            </a:cxnLst>
                            <a:rect l="0" t="0" r="r" b="b"/>
                            <a:pathLst>
                              <a:path w="5957" h="113">
                                <a:moveTo>
                                  <a:pt x="5957" y="0"/>
                                </a:moveTo>
                                <a:lnTo>
                                  <a:pt x="75" y="0"/>
                                </a:lnTo>
                                <a:lnTo>
                                  <a:pt x="0" y="113"/>
                                </a:lnTo>
                                <a:lnTo>
                                  <a:pt x="5957" y="113"/>
                                </a:lnTo>
                                <a:lnTo>
                                  <a:pt x="5957" y="0"/>
                                </a:lnTo>
                                <a:close/>
                              </a:path>
                            </a:pathLst>
                          </a:custGeom>
                          <a:solidFill>
                            <a:srgbClr val="0018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1533589" name="docshape25"/>
                        <wps:cNvSpPr>
                          <a:spLocks/>
                        </wps:cNvSpPr>
                        <wps:spPr bwMode="auto">
                          <a:xfrm>
                            <a:off x="0" y="14767"/>
                            <a:ext cx="5949" cy="113"/>
                          </a:xfrm>
                          <a:custGeom>
                            <a:avLst/>
                            <a:gdLst>
                              <a:gd name="T0" fmla="*/ 5949 w 5949"/>
                              <a:gd name="T1" fmla="+- 0 14768 14768"/>
                              <a:gd name="T2" fmla="*/ 14768 h 113"/>
                              <a:gd name="T3" fmla="*/ 0 w 5949"/>
                              <a:gd name="T4" fmla="+- 0 14768 14768"/>
                              <a:gd name="T5" fmla="*/ 14768 h 113"/>
                              <a:gd name="T6" fmla="*/ 0 w 5949"/>
                              <a:gd name="T7" fmla="+- 0 14881 14768"/>
                              <a:gd name="T8" fmla="*/ 14881 h 113"/>
                              <a:gd name="T9" fmla="*/ 5872 w 5949"/>
                              <a:gd name="T10" fmla="+- 0 14880 14768"/>
                              <a:gd name="T11" fmla="*/ 14880 h 113"/>
                              <a:gd name="T12" fmla="*/ 5949 w 5949"/>
                              <a:gd name="T13" fmla="+- 0 14768 14768"/>
                              <a:gd name="T14" fmla="*/ 14768 h 113"/>
                            </a:gdLst>
                            <a:ahLst/>
                            <a:cxnLst>
                              <a:cxn ang="0">
                                <a:pos x="T0" y="T2"/>
                              </a:cxn>
                              <a:cxn ang="0">
                                <a:pos x="T3" y="T5"/>
                              </a:cxn>
                              <a:cxn ang="0">
                                <a:pos x="T6" y="T8"/>
                              </a:cxn>
                              <a:cxn ang="0">
                                <a:pos x="T9" y="T11"/>
                              </a:cxn>
                              <a:cxn ang="0">
                                <a:pos x="T12" y="T14"/>
                              </a:cxn>
                            </a:cxnLst>
                            <a:rect l="0" t="0" r="r" b="b"/>
                            <a:pathLst>
                              <a:path w="5949" h="113">
                                <a:moveTo>
                                  <a:pt x="5949" y="0"/>
                                </a:moveTo>
                                <a:lnTo>
                                  <a:pt x="0" y="0"/>
                                </a:lnTo>
                                <a:lnTo>
                                  <a:pt x="0" y="113"/>
                                </a:lnTo>
                                <a:lnTo>
                                  <a:pt x="5872" y="112"/>
                                </a:lnTo>
                                <a:lnTo>
                                  <a:pt x="5949" y="0"/>
                                </a:lnTo>
                                <a:close/>
                              </a:path>
                            </a:pathLst>
                          </a:custGeom>
                          <a:solidFill>
                            <a:srgbClr val="ED1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35F8A" id="docshapegroup23" o:spid="_x0000_s1026" style="position:absolute;margin-left:-.05pt;margin-top:795.25pt;width:551.3pt;height:11.3pt;z-index:251627520;mso-position-horizontal-relative:margin;mso-position-vertical-relative:page" coordorigin=",14655" coordsize="1190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">
                <v:shape id="docshape24" o:spid="_x0000_s1027" style="position:absolute;left:5948;top:14655;width:5957;height:113;visibility:visible;mso-wrap-style:square;v-text-anchor:top" coordsize="595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" path="m5957,l75,,,113r5957,l5957,xe" fillcolor="#001845" stroked="f">
                  <v:path arrowok="t" o:connecttype="custom" o:connectlocs="5957,14655;75,14655;0,14768;5957,14768;5957,14655" o:connectangles="0,0,0,0,0"/>
                </v:shape>
                <v:shape id="docshape25" o:spid="_x0000_s1028" style="position:absolute;top:14767;width:5949;height:113;visibility:visible;mso-wrap-style:square;v-text-anchor:top" coordsize="594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" path="m5949,l,,,113r5872,-1l5949,xe" fillcolor="#ed1b34" stroked="f">
                  <v:path arrowok="t" o:connecttype="custom" o:connectlocs="5949,14768;0,14768;0,14881;5872,14880;5949,14768" o:connectangles="0,0,0,0,0"/>
                </v:shape>
                <w10:wrap anchorx="margin" anchory="page"/>
              </v:group>
            </w:pict>
          </mc:Fallback>
        </mc:AlternateContent>
      </w:r>
      <w:r w:rsidR="00F2003F">
        <w:rPr>
          <w:noProof/>
          <w:lang w:val="el-GR" w:eastAsia="el-GR"/>
        </w:rPr>
        <mc:AlternateContent>
          <mc:Choice Requires="wpg">
            <w:drawing>
              <wp:anchor distT="0" distB="0" distL="114300" distR="114300" simplePos="0" relativeHeight="251689984" behindDoc="0" locked="0" layoutInCell="1" allowOverlap="1" wp14:anchorId="0BE71FBC" wp14:editId="50AF0881">
                <wp:simplePos x="0" y="0"/>
                <wp:positionH relativeFrom="margin">
                  <wp:posOffset>0</wp:posOffset>
                </wp:positionH>
                <wp:positionV relativeFrom="page">
                  <wp:posOffset>10088985</wp:posOffset>
                </wp:positionV>
                <wp:extent cx="7001510" cy="143510"/>
                <wp:effectExtent l="0" t="0" r="8890" b="8890"/>
                <wp:wrapNone/>
                <wp:docPr id="2126497121"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510" cy="143510"/>
                          <a:chOff x="0" y="14655"/>
                          <a:chExt cx="11906" cy="226"/>
                        </a:xfrm>
                      </wpg:grpSpPr>
                      <wps:wsp>
                        <wps:cNvPr id="537726418" name="docshape24"/>
                        <wps:cNvSpPr>
                          <a:spLocks/>
                        </wps:cNvSpPr>
                        <wps:spPr bwMode="auto">
                          <a:xfrm>
                            <a:off x="5948" y="14655"/>
                            <a:ext cx="5957" cy="113"/>
                          </a:xfrm>
                          <a:custGeom>
                            <a:avLst/>
                            <a:gdLst>
                              <a:gd name="T0" fmla="+- 0 11906 5949"/>
                              <a:gd name="T1" fmla="*/ T0 w 5957"/>
                              <a:gd name="T2" fmla="+- 0 14655 14655"/>
                              <a:gd name="T3" fmla="*/ 14655 h 113"/>
                              <a:gd name="T4" fmla="+- 0 6024 5949"/>
                              <a:gd name="T5" fmla="*/ T4 w 5957"/>
                              <a:gd name="T6" fmla="+- 0 14655 14655"/>
                              <a:gd name="T7" fmla="*/ 14655 h 113"/>
                              <a:gd name="T8" fmla="+- 0 5949 5949"/>
                              <a:gd name="T9" fmla="*/ T8 w 5957"/>
                              <a:gd name="T10" fmla="+- 0 14768 14655"/>
                              <a:gd name="T11" fmla="*/ 14768 h 113"/>
                              <a:gd name="T12" fmla="+- 0 11906 5949"/>
                              <a:gd name="T13" fmla="*/ T12 w 5957"/>
                              <a:gd name="T14" fmla="+- 0 14768 14655"/>
                              <a:gd name="T15" fmla="*/ 14768 h 113"/>
                              <a:gd name="T16" fmla="+- 0 11906 5949"/>
                              <a:gd name="T17" fmla="*/ T16 w 5957"/>
                              <a:gd name="T18" fmla="+- 0 14655 14655"/>
                              <a:gd name="T19" fmla="*/ 14655 h 113"/>
                            </a:gdLst>
                            <a:ahLst/>
                            <a:cxnLst>
                              <a:cxn ang="0">
                                <a:pos x="T1" y="T3"/>
                              </a:cxn>
                              <a:cxn ang="0">
                                <a:pos x="T5" y="T7"/>
                              </a:cxn>
                              <a:cxn ang="0">
                                <a:pos x="T9" y="T11"/>
                              </a:cxn>
                              <a:cxn ang="0">
                                <a:pos x="T13" y="T15"/>
                              </a:cxn>
                              <a:cxn ang="0">
                                <a:pos x="T17" y="T19"/>
                              </a:cxn>
                            </a:cxnLst>
                            <a:rect l="0" t="0" r="r" b="b"/>
                            <a:pathLst>
                              <a:path w="5957" h="113">
                                <a:moveTo>
                                  <a:pt x="5957" y="0"/>
                                </a:moveTo>
                                <a:lnTo>
                                  <a:pt x="75" y="0"/>
                                </a:lnTo>
                                <a:lnTo>
                                  <a:pt x="0" y="113"/>
                                </a:lnTo>
                                <a:lnTo>
                                  <a:pt x="5957" y="113"/>
                                </a:lnTo>
                                <a:lnTo>
                                  <a:pt x="5957" y="0"/>
                                </a:lnTo>
                                <a:close/>
                              </a:path>
                            </a:pathLst>
                          </a:custGeom>
                          <a:solidFill>
                            <a:srgbClr val="0018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083122" name="docshape25"/>
                        <wps:cNvSpPr>
                          <a:spLocks/>
                        </wps:cNvSpPr>
                        <wps:spPr bwMode="auto">
                          <a:xfrm>
                            <a:off x="0" y="14767"/>
                            <a:ext cx="5949" cy="113"/>
                          </a:xfrm>
                          <a:custGeom>
                            <a:avLst/>
                            <a:gdLst>
                              <a:gd name="T0" fmla="*/ 5949 w 5949"/>
                              <a:gd name="T1" fmla="+- 0 14768 14768"/>
                              <a:gd name="T2" fmla="*/ 14768 h 113"/>
                              <a:gd name="T3" fmla="*/ 0 w 5949"/>
                              <a:gd name="T4" fmla="+- 0 14768 14768"/>
                              <a:gd name="T5" fmla="*/ 14768 h 113"/>
                              <a:gd name="T6" fmla="*/ 0 w 5949"/>
                              <a:gd name="T7" fmla="+- 0 14881 14768"/>
                              <a:gd name="T8" fmla="*/ 14881 h 113"/>
                              <a:gd name="T9" fmla="*/ 5872 w 5949"/>
                              <a:gd name="T10" fmla="+- 0 14880 14768"/>
                              <a:gd name="T11" fmla="*/ 14880 h 113"/>
                              <a:gd name="T12" fmla="*/ 5949 w 5949"/>
                              <a:gd name="T13" fmla="+- 0 14768 14768"/>
                              <a:gd name="T14" fmla="*/ 14768 h 113"/>
                            </a:gdLst>
                            <a:ahLst/>
                            <a:cxnLst>
                              <a:cxn ang="0">
                                <a:pos x="T0" y="T2"/>
                              </a:cxn>
                              <a:cxn ang="0">
                                <a:pos x="T3" y="T5"/>
                              </a:cxn>
                              <a:cxn ang="0">
                                <a:pos x="T6" y="T8"/>
                              </a:cxn>
                              <a:cxn ang="0">
                                <a:pos x="T9" y="T11"/>
                              </a:cxn>
                              <a:cxn ang="0">
                                <a:pos x="T12" y="T14"/>
                              </a:cxn>
                            </a:cxnLst>
                            <a:rect l="0" t="0" r="r" b="b"/>
                            <a:pathLst>
                              <a:path w="5949" h="113">
                                <a:moveTo>
                                  <a:pt x="5949" y="0"/>
                                </a:moveTo>
                                <a:lnTo>
                                  <a:pt x="0" y="0"/>
                                </a:lnTo>
                                <a:lnTo>
                                  <a:pt x="0" y="113"/>
                                </a:lnTo>
                                <a:lnTo>
                                  <a:pt x="5872" y="112"/>
                                </a:lnTo>
                                <a:lnTo>
                                  <a:pt x="5949" y="0"/>
                                </a:lnTo>
                                <a:close/>
                              </a:path>
                            </a:pathLst>
                          </a:custGeom>
                          <a:solidFill>
                            <a:srgbClr val="ED1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C868B2" id="docshapegroup23" o:spid="_x0000_s1026" style="position:absolute;margin-left:0;margin-top:794.4pt;width:551.3pt;height:11.3pt;z-index:251689984;mso-position-horizontal-relative:margin;mso-position-vertical-relative:page" coordorigin=",14655" coordsize="1190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">
                <v:shape id="docshape24" o:spid="_x0000_s1027" style="position:absolute;left:5948;top:14655;width:5957;height:113;visibility:visible;mso-wrap-style:square;v-text-anchor:top" coordsize="595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" path="m5957,l75,,,113r5957,l5957,xe" fillcolor="#001845" stroked="f">
                  <v:path arrowok="t" o:connecttype="custom" o:connectlocs="5957,14655;75,14655;0,14768;5957,14768;5957,14655" o:connectangles="0,0,0,0,0"/>
                </v:shape>
                <v:shape id="docshape25" o:spid="_x0000_s1028" style="position:absolute;top:14767;width:5949;height:113;visibility:visible;mso-wrap-style:square;v-text-anchor:top" coordsize="594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" path="m5949,l,,,113r5872,-1l5949,xe" fillcolor="#ed1b34" stroked="f">
                  <v:path arrowok="t" o:connecttype="custom" o:connectlocs="5949,14768;0,14768;0,14881;5872,14880;5949,14768" o:connectangles="0,0,0,0,0"/>
                </v:shape>
                <w10:wrap anchorx="margin" anchory="page"/>
              </v:group>
            </w:pict>
          </mc:Fallback>
        </mc:AlternateContent>
      </w:r>
      <w:r w:rsidR="001E705B">
        <w:rPr>
          <w:noProof/>
          <w:lang w:val="el-GR" w:eastAsia="el-GR"/>
        </w:rPr>
        <w:drawing>
          <wp:inline distT="0" distB="0" distL="0" distR="0" wp14:anchorId="24F567FD" wp14:editId="68FD51AD">
            <wp:extent cx="190500" cy="132080"/>
            <wp:effectExtent l="0" t="0" r="0" b="1270"/>
            <wp:docPr id="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32080"/>
                    </a:xfrm>
                    <a:prstGeom prst="rect">
                      <a:avLst/>
                    </a:prstGeom>
                    <a:noFill/>
                    <a:ln>
                      <a:noFill/>
                    </a:ln>
                  </pic:spPr>
                </pic:pic>
              </a:graphicData>
            </a:graphic>
          </wp:inline>
        </w:drawing>
      </w:r>
      <w:r w:rsidR="005511E3" w:rsidRPr="005511E3">
        <w:rPr>
          <w:rFonts w:ascii="Times New Roman" w:hAnsi="Times New Roman"/>
          <w:sz w:val="20"/>
          <w:lang w:val="el-GR"/>
        </w:rPr>
        <w:tab/>
      </w:r>
    </w:p>
    <w:p w14:paraId="1B39C02B" w14:textId="457F3C09" w:rsidR="000C2953" w:rsidRPr="000C2953" w:rsidRDefault="001B7DEB" w:rsidP="000C2953">
      <w:pPr>
        <w:spacing w:before="100" w:beforeAutospacing="1" w:after="100" w:afterAutospacing="1"/>
        <w:ind w:left="284"/>
        <w:jc w:val="both"/>
        <w:rPr>
          <w:rFonts w:cs="Times New Roman"/>
          <w:color w:val="021142"/>
          <w:lang w:val="el-GR"/>
        </w:rPr>
      </w:pPr>
      <w:r w:rsidRPr="000C2953">
        <w:rPr>
          <w:color w:val="021142"/>
          <w:lang w:val="el-GR"/>
        </w:rPr>
        <w:t>«</w:t>
      </w:r>
      <w:r w:rsidR="00A21999" w:rsidRPr="000C2953">
        <w:rPr>
          <w:color w:val="021142"/>
          <w:lang w:val="el-GR"/>
        </w:rPr>
        <w:t xml:space="preserve"> </w:t>
      </w:r>
      <w:r w:rsidR="000C2953" w:rsidRPr="000C2953">
        <w:rPr>
          <w:color w:val="021142"/>
          <w:lang w:val="en-GB"/>
        </w:rPr>
        <w:t>T</w:t>
      </w:r>
      <w:r w:rsidR="000C2953" w:rsidRPr="000C2953">
        <w:rPr>
          <w:rFonts w:cs="Times New Roman"/>
          <w:color w:val="021142"/>
          <w:lang w:val="el-GR"/>
        </w:rPr>
        <w:t xml:space="preserve">ο 2025, ξεπεράσαμε όλους τους στόχους που είχαμε θέσει για το έτος, επιτυγχάνοντας ισχυρή οργανική ανάπτυξη σε δάνεια, καταθέσεις και περιουσιακά στοιχεία υπό διαχείριση. Οι χορηγήσεις αυξήθηκαν κατά €5,3δις, οι καταθέσεις άνω των €4δις και τα κεφάλαια υπό διαχείριση κατά 30%. </w:t>
      </w:r>
    </w:p>
    <w:p w14:paraId="118DEE8A" w14:textId="066F7BED" w:rsidR="000C2953" w:rsidRPr="000C2953" w:rsidRDefault="000C2953" w:rsidP="000C2953">
      <w:pPr>
        <w:spacing w:before="100" w:beforeAutospacing="1" w:after="100" w:afterAutospacing="1"/>
        <w:ind w:left="284"/>
        <w:jc w:val="both"/>
        <w:rPr>
          <w:rFonts w:cs="Times New Roman"/>
          <w:color w:val="021142"/>
          <w:lang w:val="el-GR"/>
        </w:rPr>
      </w:pPr>
      <w:r w:rsidRPr="000C2953">
        <w:rPr>
          <w:rFonts w:cs="Times New Roman"/>
          <w:color w:val="021142"/>
          <w:lang w:val="el-GR"/>
        </w:rPr>
        <w:t xml:space="preserve">Οι στρατηγικές μας πρωτοβουλίες μας είχαν αξιοσημείωτο αποτύπωμα: ενισχύσαμε τη θέση μας στην Κύπρο μέσω της νομικής συγχώνευσης των τραπεζών και των ασφαλιστικών εταιρειών μας. Περαιτέρω, η απόκτηση της Eurolife </w:t>
      </w:r>
      <w:r w:rsidR="007E4EC6">
        <w:rPr>
          <w:rFonts w:cs="Times New Roman"/>
          <w:color w:val="021142"/>
          <w:lang w:val="el-GR"/>
        </w:rPr>
        <w:t xml:space="preserve">ενδυναμώνει </w:t>
      </w:r>
      <w:r w:rsidRPr="000C2953">
        <w:rPr>
          <w:rFonts w:cs="Times New Roman"/>
          <w:color w:val="021142"/>
          <w:lang w:val="el-GR"/>
        </w:rPr>
        <w:t>τις δραστηριότητες μας στην Ελλάδα. Οι κινήσεις αυτές συνάδουν πλήρως με τη στρατηγική μας για διαφοροποίηση των εσόδων μας τόσο γεωγραφικά</w:t>
      </w:r>
      <w:r w:rsidR="007E4EC6">
        <w:rPr>
          <w:rFonts w:cs="Times New Roman"/>
          <w:color w:val="021142"/>
          <w:lang w:val="el-GR"/>
        </w:rPr>
        <w:t xml:space="preserve">, </w:t>
      </w:r>
      <w:r w:rsidRPr="000C2953">
        <w:rPr>
          <w:rFonts w:cs="Times New Roman"/>
          <w:color w:val="021142"/>
          <w:lang w:val="el-GR"/>
        </w:rPr>
        <w:t xml:space="preserve">όσο </w:t>
      </w:r>
      <w:r w:rsidR="007E4EC6">
        <w:rPr>
          <w:rFonts w:cs="Times New Roman"/>
          <w:color w:val="021142"/>
          <w:lang w:val="el-GR"/>
        </w:rPr>
        <w:t xml:space="preserve">και </w:t>
      </w:r>
      <w:r w:rsidRPr="000C2953">
        <w:rPr>
          <w:rFonts w:cs="Times New Roman"/>
          <w:color w:val="021142"/>
          <w:lang w:val="el-GR"/>
        </w:rPr>
        <w:t>ανά δραστηριότητα στους τομείς της τραπεζικής, των ασφαλειών και της διαχείρισης περιουσίας.</w:t>
      </w:r>
    </w:p>
    <w:p w14:paraId="0D04F176" w14:textId="718893E1" w:rsidR="000C2953" w:rsidRPr="000C2953" w:rsidRDefault="000C2953" w:rsidP="000C2953">
      <w:pPr>
        <w:spacing w:before="100" w:beforeAutospacing="1" w:after="100" w:afterAutospacing="1"/>
        <w:ind w:left="284"/>
        <w:jc w:val="both"/>
        <w:rPr>
          <w:rFonts w:cs="Times New Roman"/>
          <w:color w:val="021142"/>
          <w:lang w:val="el-GR"/>
        </w:rPr>
      </w:pPr>
      <w:r w:rsidRPr="000C2953">
        <w:rPr>
          <w:rFonts w:cs="Times New Roman"/>
          <w:color w:val="021142"/>
          <w:lang w:val="el-GR"/>
        </w:rPr>
        <w:t xml:space="preserve">Τα καθαρά κέρδη ανά μετοχή ανήλθαν σε €0,37, εκ των οποίων τα μισά περίπου προήλθαν από τις δραστηριότητές μας εκτός Ελλάδος. Ο δείκτης απόδοσης ιδίων κεφαλαίων αυξήθηκε στο 16%, υπερβαίνοντας τις αρχικές μας εκτιμήσεις. </w:t>
      </w:r>
      <w:r w:rsidR="007E4EC6" w:rsidRPr="000C2953">
        <w:rPr>
          <w:rFonts w:cs="Times New Roman"/>
          <w:color w:val="021142"/>
          <w:lang w:val="el-GR"/>
        </w:rPr>
        <w:t>Τέλος, διανέμουμε στους μετόχους μας το 55% των κερδών.</w:t>
      </w:r>
    </w:p>
    <w:p w14:paraId="11B000BB" w14:textId="6EAADD0D" w:rsidR="000C2953" w:rsidRPr="000C2953" w:rsidRDefault="000C2953" w:rsidP="000C2953">
      <w:pPr>
        <w:spacing w:before="100" w:beforeAutospacing="1" w:after="100" w:afterAutospacing="1"/>
        <w:ind w:left="284"/>
        <w:jc w:val="both"/>
        <w:rPr>
          <w:rFonts w:cs="Times New Roman"/>
          <w:color w:val="021142"/>
          <w:lang w:val="el-GR"/>
        </w:rPr>
      </w:pPr>
      <w:r w:rsidRPr="000C2953">
        <w:rPr>
          <w:rFonts w:cs="Times New Roman"/>
          <w:color w:val="021142"/>
          <w:lang w:val="el-GR"/>
        </w:rPr>
        <w:t xml:space="preserve">Τα ισχυρά οικονομικά αποτελέσματα μας επιτρέπουν να αναλάβουμε πρωτοβουλίες εταιρικής κοινωνικής ευθύνης.  Επεκτείνουμε την πρωτοβουλία μας για το Δημογραφικό, ενισχύουμε τον κορυφαίο επιταχυντή νεοφυών επιχειρήσεων </w:t>
      </w:r>
      <w:r w:rsidRPr="000C2953">
        <w:rPr>
          <w:rFonts w:cs="Times New Roman"/>
          <w:color w:val="021142"/>
          <w:lang w:val="en-GB"/>
        </w:rPr>
        <w:t>EGG</w:t>
      </w:r>
      <w:r w:rsidRPr="000C2953">
        <w:rPr>
          <w:rFonts w:cs="Times New Roman"/>
          <w:color w:val="021142"/>
          <w:lang w:val="el-GR"/>
        </w:rPr>
        <w:t xml:space="preserve"> και συνεισφέρουμε σημαντικά στην ανακαίνιση των δημόσιων σχολείων στην Ελλάδα. </w:t>
      </w:r>
      <w:r w:rsidR="007E4EC6">
        <w:rPr>
          <w:rFonts w:cs="Times New Roman"/>
          <w:color w:val="021142"/>
          <w:lang w:val="el-GR"/>
        </w:rPr>
        <w:t xml:space="preserve">Επιπλέον, προβαίνουμε σε </w:t>
      </w:r>
      <w:r w:rsidRPr="000C2953">
        <w:rPr>
          <w:rFonts w:cs="Times New Roman"/>
          <w:color w:val="021142"/>
          <w:lang w:val="el-GR"/>
        </w:rPr>
        <w:t>κοινωνικ</w:t>
      </w:r>
      <w:r w:rsidR="007E4EC6">
        <w:rPr>
          <w:rFonts w:cs="Times New Roman"/>
          <w:color w:val="021142"/>
          <w:lang w:val="el-GR"/>
        </w:rPr>
        <w:t xml:space="preserve">ές δράσεις σε </w:t>
      </w:r>
      <w:r w:rsidRPr="000C2953">
        <w:rPr>
          <w:rFonts w:cs="Times New Roman"/>
          <w:color w:val="021142"/>
          <w:lang w:val="el-GR"/>
        </w:rPr>
        <w:t xml:space="preserve">Βουλγαρία και Κύπρο. </w:t>
      </w:r>
    </w:p>
    <w:p w14:paraId="2818B6A4" w14:textId="3FD9403C" w:rsidR="000C2953" w:rsidRPr="000C2953" w:rsidRDefault="000C2953" w:rsidP="000C2953">
      <w:pPr>
        <w:spacing w:before="100" w:beforeAutospacing="1" w:after="100" w:afterAutospacing="1"/>
        <w:ind w:left="284"/>
        <w:jc w:val="both"/>
        <w:rPr>
          <w:rFonts w:cs="Times New Roman"/>
          <w:color w:val="021142"/>
          <w:lang w:val="el-GR"/>
        </w:rPr>
      </w:pPr>
      <w:r w:rsidRPr="000C2953">
        <w:rPr>
          <w:rFonts w:cs="Times New Roman"/>
          <w:color w:val="021142"/>
          <w:lang w:val="el-GR"/>
        </w:rPr>
        <w:t>Είμαστε ιδιαίτερα αισιόδοξοι για τις προοπτικές του περιφερειακού τραπεζικού μας μοντέλου</w:t>
      </w:r>
      <w:r w:rsidR="007E4EC6">
        <w:rPr>
          <w:rFonts w:cs="Times New Roman"/>
          <w:color w:val="021142"/>
          <w:lang w:val="el-GR"/>
        </w:rPr>
        <w:t>,</w:t>
      </w:r>
      <w:r w:rsidRPr="000C2953">
        <w:rPr>
          <w:rFonts w:cs="Times New Roman"/>
          <w:color w:val="021142"/>
          <w:lang w:val="el-GR"/>
        </w:rPr>
        <w:t xml:space="preserve"> όπως </w:t>
      </w:r>
      <w:r w:rsidR="007E4EC6">
        <w:rPr>
          <w:rFonts w:cs="Times New Roman"/>
          <w:color w:val="021142"/>
          <w:lang w:val="el-GR"/>
        </w:rPr>
        <w:t xml:space="preserve">αυτές </w:t>
      </w:r>
      <w:r w:rsidRPr="000C2953">
        <w:rPr>
          <w:rFonts w:cs="Times New Roman"/>
          <w:color w:val="021142"/>
          <w:lang w:val="el-GR"/>
        </w:rPr>
        <w:t>αντικατοπτρίζ</w:t>
      </w:r>
      <w:r w:rsidR="007E4EC6">
        <w:rPr>
          <w:rFonts w:cs="Times New Roman"/>
          <w:color w:val="021142"/>
          <w:lang w:val="el-GR"/>
        </w:rPr>
        <w:t xml:space="preserve">ονται </w:t>
      </w:r>
      <w:r w:rsidRPr="000C2953">
        <w:rPr>
          <w:rFonts w:cs="Times New Roman"/>
          <w:color w:val="021142"/>
          <w:lang w:val="el-GR"/>
        </w:rPr>
        <w:t>στο 3-ετές επιχειρηματικό μας πλάνο για το 2026-2028. Στους παράγοντες ανάπτυξης εργασιών περιλαμβάνονται η πιστωτική επέκταση κατά περίπου 8%</w:t>
      </w:r>
      <w:r w:rsidR="007E4EC6" w:rsidRPr="003560F0">
        <w:rPr>
          <w:rFonts w:cs="Times New Roman"/>
          <w:color w:val="021142"/>
          <w:lang w:val="el-GR"/>
        </w:rPr>
        <w:t xml:space="preserve"> </w:t>
      </w:r>
      <w:r w:rsidR="007E4EC6">
        <w:rPr>
          <w:rFonts w:cs="Times New Roman"/>
          <w:color w:val="021142"/>
          <w:lang w:val="el-GR"/>
        </w:rPr>
        <w:t>ετησίως</w:t>
      </w:r>
      <w:r w:rsidRPr="000C2953">
        <w:rPr>
          <w:rFonts w:cs="Times New Roman"/>
          <w:color w:val="021142"/>
          <w:lang w:val="el-GR"/>
        </w:rPr>
        <w:t xml:space="preserve">, η περαιτέρω αύξηση </w:t>
      </w:r>
      <w:r w:rsidR="007E4EC6">
        <w:rPr>
          <w:rFonts w:cs="Times New Roman"/>
          <w:color w:val="021142"/>
          <w:lang w:val="el-GR"/>
        </w:rPr>
        <w:t xml:space="preserve">των </w:t>
      </w:r>
      <w:r w:rsidRPr="000C2953">
        <w:rPr>
          <w:rFonts w:cs="Times New Roman"/>
          <w:color w:val="021142"/>
          <w:lang w:val="el-GR"/>
        </w:rPr>
        <w:t xml:space="preserve">υπό διαχείριση κεφαλαίων,  οι συνέργειες από την ισχυρή μας παρουσία στην Κύπρο, οι προοπτικές που προκύπτουν από την ένταξη της Βουλγαρίας στην Ευρωζώνη και η εξαγορά της </w:t>
      </w:r>
      <w:r w:rsidRPr="000C2953">
        <w:rPr>
          <w:rFonts w:cs="Times New Roman"/>
          <w:color w:val="021142"/>
        </w:rPr>
        <w:t>Eurolife</w:t>
      </w:r>
      <w:r w:rsidRPr="000C2953">
        <w:rPr>
          <w:rFonts w:cs="Times New Roman"/>
          <w:color w:val="021142"/>
          <w:lang w:val="el-GR"/>
        </w:rPr>
        <w:t>. Αναμένουμε μια μέση ετήσια αύξηση στα κέρδη ανά μετοχή κατά 10% και τον δείκτη απόδοσης ιδίων κεφαλαίων να ενισχύεται σε 17% έως το 2028.</w:t>
      </w:r>
    </w:p>
    <w:p w14:paraId="5723679A" w14:textId="0FF9B903" w:rsidR="000C2953" w:rsidRPr="000C2953" w:rsidRDefault="000C2953" w:rsidP="000C2953">
      <w:pPr>
        <w:spacing w:before="100" w:beforeAutospacing="1" w:after="100" w:afterAutospacing="1"/>
        <w:ind w:left="284"/>
        <w:jc w:val="both"/>
        <w:rPr>
          <w:rFonts w:cs="Times New Roman"/>
          <w:color w:val="021142"/>
          <w:lang w:val="el-GR"/>
        </w:rPr>
      </w:pPr>
      <w:r w:rsidRPr="000C2953">
        <w:rPr>
          <w:rFonts w:cs="Times New Roman"/>
          <w:color w:val="021142"/>
          <w:lang w:val="el-GR"/>
        </w:rPr>
        <w:t>Θα ήθελα να ευχαριστήσω τους ανθρώπους μας για τη δέσμευση τους και την ομαδική τους εργασία, τους πελάτες μας για την εμπιστοσύνη</w:t>
      </w:r>
      <w:r w:rsidR="009F0C11" w:rsidRPr="009F0C11">
        <w:rPr>
          <w:rFonts w:cs="Times New Roman"/>
          <w:color w:val="021142"/>
          <w:lang w:val="el-GR"/>
        </w:rPr>
        <w:t xml:space="preserve"> </w:t>
      </w:r>
      <w:r w:rsidR="009F0C11">
        <w:rPr>
          <w:rFonts w:cs="Times New Roman"/>
          <w:color w:val="021142"/>
          <w:lang w:val="el-GR"/>
        </w:rPr>
        <w:t xml:space="preserve">τους </w:t>
      </w:r>
      <w:r w:rsidRPr="000C2953">
        <w:rPr>
          <w:rFonts w:cs="Times New Roman"/>
          <w:color w:val="021142"/>
          <w:lang w:val="el-GR"/>
        </w:rPr>
        <w:t>και τους μετόχους μας για την διαχρονική υποστήριξή τους.»</w:t>
      </w:r>
    </w:p>
    <w:p w14:paraId="5A3C520E" w14:textId="22A71E5E" w:rsidR="00BC63A3" w:rsidRPr="003C6B94" w:rsidRDefault="00BC63A3" w:rsidP="00586B48">
      <w:pPr>
        <w:spacing w:before="1"/>
        <w:ind w:left="6654"/>
        <w:rPr>
          <w:b/>
          <w:color w:val="021142"/>
          <w:lang w:val="el-GR"/>
        </w:rPr>
      </w:pPr>
    </w:p>
    <w:p w14:paraId="5724BD73" w14:textId="1D45E9D0" w:rsidR="00852D18" w:rsidRPr="00165625" w:rsidRDefault="005511E3" w:rsidP="00586B48">
      <w:pPr>
        <w:spacing w:before="1"/>
        <w:ind w:left="6654"/>
        <w:rPr>
          <w:b/>
          <w:lang w:val="el-GR"/>
        </w:rPr>
      </w:pPr>
      <w:r w:rsidRPr="00165625">
        <w:rPr>
          <w:b/>
          <w:color w:val="021142"/>
          <w:lang w:val="el-GR"/>
        </w:rPr>
        <w:t>Φωκίων</w:t>
      </w:r>
      <w:r w:rsidRPr="00165625">
        <w:rPr>
          <w:b/>
          <w:color w:val="021142"/>
          <w:spacing w:val="-12"/>
          <w:lang w:val="el-GR"/>
        </w:rPr>
        <w:t xml:space="preserve"> </w:t>
      </w:r>
      <w:r w:rsidRPr="00165625">
        <w:rPr>
          <w:b/>
          <w:color w:val="021142"/>
          <w:lang w:val="el-GR"/>
        </w:rPr>
        <w:t>Καραβίας,</w:t>
      </w:r>
      <w:r w:rsidRPr="00165625">
        <w:rPr>
          <w:b/>
          <w:color w:val="021142"/>
          <w:spacing w:val="-12"/>
          <w:lang w:val="el-GR"/>
        </w:rPr>
        <w:t xml:space="preserve"> </w:t>
      </w:r>
      <w:r w:rsidRPr="00165625">
        <w:rPr>
          <w:b/>
          <w:color w:val="021142"/>
          <w:lang w:val="el-GR"/>
        </w:rPr>
        <w:t>Διευθύνων</w:t>
      </w:r>
      <w:r w:rsidRPr="00165625">
        <w:rPr>
          <w:b/>
          <w:color w:val="021142"/>
          <w:spacing w:val="-11"/>
          <w:lang w:val="el-GR"/>
        </w:rPr>
        <w:t xml:space="preserve"> </w:t>
      </w:r>
      <w:r w:rsidRPr="00165625">
        <w:rPr>
          <w:b/>
          <w:color w:val="021142"/>
          <w:lang w:val="el-GR"/>
        </w:rPr>
        <w:t>Σύμβουλος</w:t>
      </w:r>
    </w:p>
    <w:p w14:paraId="3784C0DD" w14:textId="053F0A6A" w:rsidR="00852D18" w:rsidRDefault="00852D18" w:rsidP="00586B48">
      <w:pPr>
        <w:rPr>
          <w:b/>
          <w:color w:val="021142"/>
          <w:lang w:val="el-GR"/>
        </w:rPr>
      </w:pPr>
    </w:p>
    <w:p w14:paraId="7AE7C130" w14:textId="7F2CEE20" w:rsidR="005A7F2C" w:rsidRPr="005A7F2C" w:rsidRDefault="005A7F2C" w:rsidP="00586B48">
      <w:pPr>
        <w:rPr>
          <w:lang w:val="el-GR"/>
        </w:rPr>
      </w:pPr>
    </w:p>
    <w:p w14:paraId="27EB45A6" w14:textId="3F2D12C1" w:rsidR="005A7F2C" w:rsidRPr="005A7F2C" w:rsidRDefault="005A7F2C" w:rsidP="00586B48">
      <w:pPr>
        <w:rPr>
          <w:lang w:val="el-GR"/>
        </w:rPr>
      </w:pPr>
    </w:p>
    <w:p w14:paraId="07DBCAD9" w14:textId="78330CB2" w:rsidR="005A7F2C" w:rsidRPr="005A7F2C" w:rsidRDefault="005A7F2C" w:rsidP="005A7F2C">
      <w:pPr>
        <w:rPr>
          <w:lang w:val="el-GR"/>
        </w:rPr>
      </w:pPr>
    </w:p>
    <w:p w14:paraId="0D492E54" w14:textId="4904C35D" w:rsidR="005A7F2C" w:rsidRPr="005A7F2C" w:rsidRDefault="005A7F2C" w:rsidP="005A7F2C">
      <w:pPr>
        <w:rPr>
          <w:lang w:val="el-GR"/>
        </w:rPr>
      </w:pPr>
    </w:p>
    <w:p w14:paraId="4B82FE45" w14:textId="333BC5E5" w:rsidR="005A7F2C" w:rsidRPr="005A7F2C" w:rsidRDefault="005A7F2C" w:rsidP="005A7F2C">
      <w:pPr>
        <w:rPr>
          <w:lang w:val="el-GR"/>
        </w:rPr>
      </w:pPr>
    </w:p>
    <w:p w14:paraId="7B6167EB" w14:textId="42C7A9A6" w:rsidR="005A7F2C" w:rsidRPr="005A7F2C" w:rsidRDefault="005A7F2C" w:rsidP="005A7F2C">
      <w:pPr>
        <w:rPr>
          <w:lang w:val="el-GR"/>
        </w:rPr>
      </w:pPr>
    </w:p>
    <w:p w14:paraId="62DC8DD1" w14:textId="3C5866D4" w:rsidR="005A7F2C" w:rsidRPr="005A7F2C" w:rsidRDefault="005A7F2C" w:rsidP="005A7F2C">
      <w:pPr>
        <w:tabs>
          <w:tab w:val="center" w:pos="5515"/>
        </w:tabs>
        <w:rPr>
          <w:lang w:val="el-GR"/>
        </w:rPr>
        <w:sectPr w:rsidR="005A7F2C" w:rsidRPr="005A7F2C" w:rsidSect="00BA4EBC">
          <w:headerReference w:type="default" r:id="rId9"/>
          <w:footerReference w:type="default" r:id="rId10"/>
          <w:pgSz w:w="11910" w:h="16840"/>
          <w:pgMar w:top="1542" w:right="420" w:bottom="278" w:left="459" w:header="709" w:footer="0" w:gutter="0"/>
          <w:cols w:space="720"/>
        </w:sectPr>
      </w:pPr>
    </w:p>
    <w:p w14:paraId="4239770C" w14:textId="77777777" w:rsidR="00852D18" w:rsidRPr="00913FF3" w:rsidRDefault="00852D18">
      <w:pPr>
        <w:pStyle w:val="BodyText"/>
        <w:spacing w:before="10"/>
        <w:rPr>
          <w:b/>
          <w:sz w:val="11"/>
          <w:lang w:val="el-GR"/>
        </w:rPr>
      </w:pPr>
    </w:p>
    <w:p w14:paraId="1C3CC8BE" w14:textId="77777777" w:rsidR="006F607C" w:rsidRPr="00913FF3" w:rsidRDefault="006F607C">
      <w:pPr>
        <w:pStyle w:val="BodyText"/>
        <w:spacing w:before="10"/>
        <w:rPr>
          <w:b/>
          <w:sz w:val="11"/>
          <w:lang w:val="el-GR"/>
        </w:rPr>
      </w:pPr>
    </w:p>
    <w:p w14:paraId="5CBE18FA" w14:textId="77777777" w:rsidR="006F607C" w:rsidRPr="00913FF3" w:rsidRDefault="006F607C">
      <w:pPr>
        <w:pStyle w:val="BodyText"/>
        <w:spacing w:before="10"/>
        <w:rPr>
          <w:b/>
          <w:sz w:val="11"/>
          <w:lang w:val="el-GR"/>
        </w:rPr>
      </w:pPr>
    </w:p>
    <w:p w14:paraId="05E705D4" w14:textId="77777777" w:rsidR="006F607C" w:rsidRPr="00913FF3" w:rsidRDefault="006F607C">
      <w:pPr>
        <w:pStyle w:val="BodyText"/>
        <w:spacing w:before="10"/>
        <w:rPr>
          <w:b/>
          <w:sz w:val="11"/>
          <w:lang w:val="el-GR"/>
        </w:rPr>
      </w:pPr>
    </w:p>
    <w:p w14:paraId="3198E552" w14:textId="77777777" w:rsidR="00852D18" w:rsidRDefault="00852D18">
      <w:pPr>
        <w:pStyle w:val="BodyText"/>
        <w:spacing w:line="231" w:lineRule="exact"/>
        <w:ind w:left="8131"/>
        <w:rPr>
          <w:sz w:val="20"/>
          <w:lang w:val="el-GR"/>
        </w:rPr>
      </w:pPr>
    </w:p>
    <w:p w14:paraId="7487B4BF" w14:textId="2D054E6D" w:rsidR="00852D18" w:rsidRPr="005511E3" w:rsidRDefault="005511E3">
      <w:pPr>
        <w:pStyle w:val="Heading1"/>
        <w:tabs>
          <w:tab w:val="left" w:pos="10725"/>
        </w:tabs>
        <w:jc w:val="both"/>
        <w:rPr>
          <w:lang w:val="el-GR"/>
        </w:rPr>
      </w:pPr>
      <w:bookmarkStart w:id="0" w:name="_Hlk157162458"/>
      <w:r w:rsidRPr="004A50A0">
        <w:rPr>
          <w:rFonts w:ascii="Times New Roman" w:hAnsi="Times New Roman"/>
          <w:b w:val="0"/>
          <w:color w:val="021142"/>
          <w:shd w:val="clear" w:color="auto" w:fill="E6E7E8"/>
          <w:lang w:val="el-GR"/>
        </w:rPr>
        <w:t xml:space="preserve">  </w:t>
      </w:r>
      <w:bookmarkStart w:id="1" w:name="_Hlk157162485"/>
      <w:r w:rsidRPr="005511E3">
        <w:rPr>
          <w:color w:val="021142"/>
          <w:shd w:val="clear" w:color="auto" w:fill="E6E7E8"/>
          <w:lang w:val="el-GR"/>
        </w:rPr>
        <w:t>Ανάλυση</w:t>
      </w:r>
      <w:r w:rsidRPr="005511E3">
        <w:rPr>
          <w:color w:val="021142"/>
          <w:spacing w:val="-18"/>
          <w:shd w:val="clear" w:color="auto" w:fill="E6E7E8"/>
          <w:lang w:val="el-GR"/>
        </w:rPr>
        <w:t xml:space="preserve"> </w:t>
      </w:r>
      <w:r w:rsidRPr="005511E3">
        <w:rPr>
          <w:color w:val="021142"/>
          <w:shd w:val="clear" w:color="auto" w:fill="E6E7E8"/>
          <w:lang w:val="el-GR"/>
        </w:rPr>
        <w:t>Αποτελεσμάτων</w:t>
      </w:r>
      <w:r w:rsidR="00364250" w:rsidRPr="00364250">
        <w:rPr>
          <w:color w:val="021142"/>
          <w:shd w:val="clear" w:color="auto" w:fill="E6E7E8"/>
          <w:lang w:val="el-GR"/>
        </w:rPr>
        <w:t xml:space="preserve"> </w:t>
      </w:r>
      <w:r w:rsidR="00D56F06">
        <w:rPr>
          <w:color w:val="021142"/>
          <w:shd w:val="clear" w:color="auto" w:fill="E6E7E8"/>
          <w:lang w:val="el-GR"/>
        </w:rPr>
        <w:t>2025</w:t>
      </w:r>
      <w:r w:rsidRPr="005511E3">
        <w:rPr>
          <w:color w:val="021142"/>
          <w:shd w:val="clear" w:color="auto" w:fill="E6E7E8"/>
          <w:lang w:val="el-GR"/>
        </w:rPr>
        <w:tab/>
      </w:r>
      <w:bookmarkEnd w:id="0"/>
      <w:bookmarkEnd w:id="1"/>
    </w:p>
    <w:p w14:paraId="1EE8453A" w14:textId="1D1B5BA4" w:rsidR="00852D18" w:rsidRPr="00CE5C45" w:rsidRDefault="005E2BEC" w:rsidP="0040283B">
      <w:pPr>
        <w:spacing w:before="233"/>
        <w:ind w:left="720" w:right="397"/>
        <w:jc w:val="both"/>
        <w:rPr>
          <w:color w:val="021142"/>
          <w:lang w:val="el-GR"/>
        </w:rPr>
      </w:pPr>
      <w:r w:rsidRPr="0030399A">
        <w:rPr>
          <w:color w:val="021142"/>
          <w:lang w:val="el-GR"/>
        </w:rPr>
        <w:t>Θετικές ήταν οι επιδόσεις της</w:t>
      </w:r>
      <w:r>
        <w:rPr>
          <w:color w:val="021142"/>
          <w:lang w:val="el-GR"/>
        </w:rPr>
        <w:t xml:space="preserve"> </w:t>
      </w:r>
      <w:r>
        <w:rPr>
          <w:color w:val="021142"/>
        </w:rPr>
        <w:t>Eurobank</w:t>
      </w:r>
      <w:r w:rsidRPr="005E2BEC">
        <w:rPr>
          <w:color w:val="021142"/>
          <w:lang w:val="el-GR"/>
        </w:rPr>
        <w:t xml:space="preserve"> </w:t>
      </w:r>
      <w:r>
        <w:rPr>
          <w:color w:val="021142"/>
          <w:lang w:val="el-GR"/>
        </w:rPr>
        <w:t>το</w:t>
      </w:r>
      <w:r w:rsidR="00C557AE">
        <w:rPr>
          <w:color w:val="021142"/>
          <w:lang w:val="el-GR"/>
        </w:rPr>
        <w:t xml:space="preserve"> </w:t>
      </w:r>
      <w:r>
        <w:rPr>
          <w:color w:val="021142"/>
          <w:lang w:val="el-GR"/>
        </w:rPr>
        <w:t>2025.</w:t>
      </w:r>
      <w:r w:rsidR="0040283B">
        <w:rPr>
          <w:color w:val="021142"/>
          <w:lang w:val="el-GR"/>
        </w:rPr>
        <w:t xml:space="preserve"> </w:t>
      </w:r>
      <w:r w:rsidR="00971A4C">
        <w:rPr>
          <w:color w:val="021142"/>
          <w:lang w:val="el-GR"/>
        </w:rPr>
        <w:t>Πιο αναλυτικά</w:t>
      </w:r>
      <w:r w:rsidR="00971A4C" w:rsidRPr="003C350F">
        <w:rPr>
          <w:color w:val="021142"/>
          <w:lang w:val="el-GR"/>
        </w:rPr>
        <w:t>:</w:t>
      </w:r>
    </w:p>
    <w:p w14:paraId="4FB47E76" w14:textId="77777777" w:rsidR="00852D18" w:rsidRPr="00A404AB" w:rsidRDefault="00852D18" w:rsidP="00AD0ED4">
      <w:pPr>
        <w:pStyle w:val="BodyText"/>
        <w:spacing w:before="1"/>
        <w:ind w:right="397"/>
        <w:rPr>
          <w:sz w:val="21"/>
          <w:lang w:val="el-GR"/>
        </w:rPr>
      </w:pPr>
    </w:p>
    <w:p w14:paraId="5A645E24" w14:textId="1B08C06C" w:rsidR="00852D18" w:rsidRPr="00950E8F" w:rsidRDefault="005511E3" w:rsidP="005442A7">
      <w:pPr>
        <w:pStyle w:val="ListParagraph"/>
        <w:numPr>
          <w:ilvl w:val="0"/>
          <w:numId w:val="14"/>
        </w:numPr>
        <w:tabs>
          <w:tab w:val="left" w:pos="697"/>
        </w:tabs>
        <w:spacing w:before="1"/>
        <w:ind w:right="397"/>
        <w:rPr>
          <w:color w:val="021142"/>
          <w:lang w:val="el-GR"/>
        </w:rPr>
      </w:pPr>
      <w:r w:rsidRPr="005442A7">
        <w:rPr>
          <w:color w:val="021142"/>
        </w:rPr>
        <w:t>T</w:t>
      </w:r>
      <w:r w:rsidRPr="005442A7">
        <w:rPr>
          <w:color w:val="021142"/>
          <w:lang w:val="el-GR"/>
        </w:rPr>
        <w:t xml:space="preserve">α </w:t>
      </w:r>
      <w:r w:rsidRPr="005442A7">
        <w:rPr>
          <w:b/>
          <w:color w:val="021142"/>
          <w:lang w:val="el-GR"/>
        </w:rPr>
        <w:t xml:space="preserve">καθαρά έσοδα από τόκους </w:t>
      </w:r>
      <w:r w:rsidR="00F010A5" w:rsidRPr="005442A7">
        <w:rPr>
          <w:color w:val="021142"/>
          <w:lang w:val="el-GR"/>
        </w:rPr>
        <w:t>αυξήθηκαν</w:t>
      </w:r>
      <w:r w:rsidR="00195AAC" w:rsidRPr="005442A7">
        <w:rPr>
          <w:color w:val="021142"/>
          <w:lang w:val="el-GR"/>
        </w:rPr>
        <w:t xml:space="preserve"> </w:t>
      </w:r>
      <w:r w:rsidR="0040283B" w:rsidRPr="005442A7">
        <w:rPr>
          <w:color w:val="021142"/>
          <w:lang w:val="el-GR"/>
        </w:rPr>
        <w:t xml:space="preserve">σε ετήσια βάση </w:t>
      </w:r>
      <w:r w:rsidR="00195AAC" w:rsidRPr="005442A7">
        <w:rPr>
          <w:color w:val="021142"/>
          <w:lang w:val="el-GR"/>
        </w:rPr>
        <w:t xml:space="preserve">κατά </w:t>
      </w:r>
      <w:r w:rsidR="001A13D1" w:rsidRPr="005E2BE9">
        <w:rPr>
          <w:color w:val="021142"/>
          <w:lang w:val="el-GR"/>
        </w:rPr>
        <w:t>1</w:t>
      </w:r>
      <w:r w:rsidR="0030399A" w:rsidRPr="00950E8F">
        <w:rPr>
          <w:color w:val="021142"/>
          <w:lang w:val="el-GR"/>
        </w:rPr>
        <w:t>,</w:t>
      </w:r>
      <w:r w:rsidR="001A13D1" w:rsidRPr="005E2BE9">
        <w:rPr>
          <w:color w:val="021142"/>
          <w:lang w:val="el-GR"/>
        </w:rPr>
        <w:t>7</w:t>
      </w:r>
      <w:r w:rsidR="00950CB3" w:rsidRPr="005442A7">
        <w:rPr>
          <w:color w:val="021142"/>
          <w:lang w:val="el-GR"/>
        </w:rPr>
        <w:t>%</w:t>
      </w:r>
      <w:r w:rsidR="0040283B" w:rsidRPr="005442A7">
        <w:rPr>
          <w:color w:val="021142"/>
          <w:lang w:val="el-GR"/>
        </w:rPr>
        <w:t xml:space="preserve"> </w:t>
      </w:r>
      <w:r w:rsidRPr="005442A7">
        <w:rPr>
          <w:color w:val="021142"/>
          <w:lang w:val="el-GR"/>
        </w:rPr>
        <w:t>σε €</w:t>
      </w:r>
      <w:r w:rsidR="001A13D1" w:rsidRPr="005E2BE9">
        <w:rPr>
          <w:color w:val="021142"/>
          <w:lang w:val="el-GR"/>
        </w:rPr>
        <w:t>2</w:t>
      </w:r>
      <w:r w:rsidR="0030399A" w:rsidRPr="00950E8F">
        <w:rPr>
          <w:color w:val="021142"/>
          <w:lang w:val="el-GR"/>
        </w:rPr>
        <w:t>.</w:t>
      </w:r>
      <w:r w:rsidR="001A13D1" w:rsidRPr="005E2BE9">
        <w:rPr>
          <w:color w:val="021142"/>
          <w:lang w:val="el-GR"/>
        </w:rPr>
        <w:t>549</w:t>
      </w:r>
      <w:r w:rsidR="002474E0" w:rsidRPr="005442A7">
        <w:rPr>
          <w:color w:val="021142"/>
          <w:lang w:val="el-GR"/>
        </w:rPr>
        <w:t>εκ</w:t>
      </w:r>
      <w:r w:rsidR="00E92A4A" w:rsidRPr="005442A7">
        <w:rPr>
          <w:color w:val="021142"/>
          <w:lang w:val="el-GR"/>
        </w:rPr>
        <w:t xml:space="preserve">. </w:t>
      </w:r>
      <w:r w:rsidR="002474E0" w:rsidRPr="005442A7">
        <w:rPr>
          <w:color w:val="021142"/>
          <w:lang w:val="el-GR"/>
        </w:rPr>
        <w:t xml:space="preserve">Το </w:t>
      </w:r>
      <w:r w:rsidR="002474E0" w:rsidRPr="005442A7">
        <w:rPr>
          <w:b/>
          <w:bCs/>
          <w:color w:val="021142"/>
          <w:lang w:val="el-GR"/>
        </w:rPr>
        <w:t>καθαρό περιθώριο επιτοκίου</w:t>
      </w:r>
      <w:r w:rsidR="002474E0" w:rsidRPr="005442A7">
        <w:rPr>
          <w:color w:val="021142"/>
          <w:lang w:val="el-GR"/>
        </w:rPr>
        <w:t xml:space="preserve"> </w:t>
      </w:r>
      <w:r w:rsidR="00EF750F" w:rsidRPr="005442A7">
        <w:rPr>
          <w:color w:val="021142"/>
          <w:lang w:val="el-GR"/>
        </w:rPr>
        <w:t xml:space="preserve">υποχώρησε κατά </w:t>
      </w:r>
      <w:r w:rsidR="001A13D1" w:rsidRPr="005E2BE9">
        <w:rPr>
          <w:color w:val="021142"/>
          <w:lang w:val="el-GR"/>
        </w:rPr>
        <w:t>25</w:t>
      </w:r>
      <w:r w:rsidR="00EF750F" w:rsidRPr="005442A7">
        <w:rPr>
          <w:color w:val="021142"/>
          <w:lang w:val="el-GR"/>
        </w:rPr>
        <w:t xml:space="preserve"> μονάδες βάσης </w:t>
      </w:r>
      <w:r w:rsidR="00A87B01">
        <w:rPr>
          <w:color w:val="021142"/>
          <w:lang w:val="el-GR"/>
        </w:rPr>
        <w:t xml:space="preserve">σε ετήσια βάση </w:t>
      </w:r>
      <w:r w:rsidR="00EF750F" w:rsidRPr="005442A7">
        <w:rPr>
          <w:color w:val="021142"/>
          <w:lang w:val="el-GR"/>
        </w:rPr>
        <w:t xml:space="preserve"> σε </w:t>
      </w:r>
      <w:r w:rsidR="005442A7" w:rsidRPr="00950E8F">
        <w:rPr>
          <w:color w:val="021142"/>
          <w:lang w:val="el-GR"/>
        </w:rPr>
        <w:t>2</w:t>
      </w:r>
      <w:r w:rsidR="00C557AE" w:rsidRPr="005442A7">
        <w:rPr>
          <w:color w:val="021142"/>
          <w:lang w:val="el-GR"/>
        </w:rPr>
        <w:t>,</w:t>
      </w:r>
      <w:r w:rsidR="003906FD">
        <w:rPr>
          <w:color w:val="021142"/>
          <w:lang w:val="el-GR"/>
        </w:rPr>
        <w:t>4</w:t>
      </w:r>
      <w:r w:rsidR="009B64DE" w:rsidRPr="005E2BE9">
        <w:rPr>
          <w:color w:val="021142"/>
          <w:lang w:val="el-GR"/>
        </w:rPr>
        <w:t>8</w:t>
      </w:r>
      <w:r w:rsidR="00C557AE" w:rsidRPr="005442A7">
        <w:rPr>
          <w:color w:val="021142"/>
          <w:lang w:val="el-GR"/>
        </w:rPr>
        <w:t>%</w:t>
      </w:r>
      <w:r w:rsidR="005442A7" w:rsidRPr="00950E8F">
        <w:rPr>
          <w:color w:val="021142"/>
          <w:lang w:val="el-GR"/>
        </w:rPr>
        <w:t xml:space="preserve">, </w:t>
      </w:r>
      <w:r w:rsidR="005442A7" w:rsidRPr="005442A7">
        <w:rPr>
          <w:color w:val="021142"/>
          <w:lang w:val="el-GR"/>
        </w:rPr>
        <w:t>αντικατοπτρίζοντας την μείωση των επιτοκίων από την ΕΚΤ (</w:t>
      </w:r>
      <w:r w:rsidR="005442A7">
        <w:rPr>
          <w:color w:val="021142"/>
          <w:lang w:val="el-GR"/>
        </w:rPr>
        <w:t>το μέσο επιτόκιο δ</w:t>
      </w:r>
      <w:r w:rsidR="005442A7" w:rsidRPr="005442A7">
        <w:rPr>
          <w:color w:val="021142"/>
          <w:lang w:val="el-GR"/>
        </w:rPr>
        <w:t>ιευκόλυνση</w:t>
      </w:r>
      <w:r w:rsidR="005442A7">
        <w:rPr>
          <w:color w:val="021142"/>
          <w:lang w:val="el-GR"/>
        </w:rPr>
        <w:t>ς</w:t>
      </w:r>
      <w:r w:rsidR="005442A7" w:rsidRPr="005442A7">
        <w:rPr>
          <w:color w:val="021142"/>
          <w:lang w:val="el-GR"/>
        </w:rPr>
        <w:t xml:space="preserve"> αποδοχής καταθέσεων</w:t>
      </w:r>
      <w:r w:rsidR="005442A7">
        <w:rPr>
          <w:color w:val="021142"/>
          <w:lang w:val="el-GR"/>
        </w:rPr>
        <w:t xml:space="preserve"> της ΕΚΤ μειώθηκε σε </w:t>
      </w:r>
      <w:r w:rsidR="009B64DE" w:rsidRPr="005E2BE9">
        <w:rPr>
          <w:color w:val="021142"/>
          <w:lang w:val="el-GR"/>
        </w:rPr>
        <w:t>2,26%</w:t>
      </w:r>
      <w:r w:rsidR="005442A7">
        <w:rPr>
          <w:color w:val="021142"/>
          <w:lang w:val="el-GR"/>
        </w:rPr>
        <w:t xml:space="preserve"> </w:t>
      </w:r>
      <w:r w:rsidR="00E734E4">
        <w:rPr>
          <w:color w:val="021142"/>
          <w:lang w:val="el-GR"/>
        </w:rPr>
        <w:t xml:space="preserve">το 2025, έναντι </w:t>
      </w:r>
      <w:r w:rsidR="002F6599">
        <w:rPr>
          <w:color w:val="021142"/>
          <w:lang w:val="el-GR"/>
        </w:rPr>
        <w:t xml:space="preserve">με </w:t>
      </w:r>
      <w:r w:rsidR="002F6599" w:rsidRPr="005E2BE9">
        <w:rPr>
          <w:color w:val="021142"/>
          <w:lang w:val="el-GR"/>
        </w:rPr>
        <w:t>3,73%</w:t>
      </w:r>
      <w:r w:rsidR="002F6599">
        <w:rPr>
          <w:color w:val="021142"/>
          <w:lang w:val="el-GR"/>
        </w:rPr>
        <w:t xml:space="preserve"> </w:t>
      </w:r>
      <w:r w:rsidR="00E734E4">
        <w:rPr>
          <w:color w:val="021142"/>
          <w:lang w:val="el-GR"/>
        </w:rPr>
        <w:t>το 2024</w:t>
      </w:r>
      <w:r w:rsidR="00BB0E7C" w:rsidRPr="00950E8F">
        <w:rPr>
          <w:color w:val="021142"/>
          <w:lang w:val="el-GR"/>
        </w:rPr>
        <w:t>)</w:t>
      </w:r>
      <w:r w:rsidR="00E734E4">
        <w:rPr>
          <w:color w:val="021142"/>
          <w:lang w:val="el-GR"/>
        </w:rPr>
        <w:t>.</w:t>
      </w:r>
    </w:p>
    <w:p w14:paraId="577C6CC9" w14:textId="77777777" w:rsidR="00852D18" w:rsidRPr="005511E3" w:rsidRDefault="00852D18" w:rsidP="000F5589">
      <w:pPr>
        <w:pStyle w:val="BodyText"/>
        <w:spacing w:before="5"/>
        <w:ind w:right="397"/>
        <w:rPr>
          <w:lang w:val="el-GR"/>
        </w:rPr>
      </w:pPr>
    </w:p>
    <w:p w14:paraId="5B662F76" w14:textId="3016497F" w:rsidR="00852D18" w:rsidRPr="00E734E4" w:rsidRDefault="005511E3" w:rsidP="000F5589">
      <w:pPr>
        <w:pStyle w:val="ListParagraph"/>
        <w:numPr>
          <w:ilvl w:val="0"/>
          <w:numId w:val="14"/>
        </w:numPr>
        <w:tabs>
          <w:tab w:val="left" w:pos="725"/>
        </w:tabs>
        <w:spacing w:line="252" w:lineRule="auto"/>
        <w:ind w:right="397"/>
        <w:rPr>
          <w:lang w:val="el-GR"/>
        </w:rPr>
      </w:pPr>
      <w:r w:rsidRPr="00E734E4">
        <w:rPr>
          <w:color w:val="021142"/>
          <w:lang w:val="el-GR"/>
        </w:rPr>
        <w:t xml:space="preserve">Τα </w:t>
      </w:r>
      <w:r w:rsidRPr="00E734E4">
        <w:rPr>
          <w:b/>
          <w:color w:val="021142"/>
          <w:lang w:val="el-GR"/>
        </w:rPr>
        <w:t>καθαρά έσοδα από αμοιβές και προμήθειες</w:t>
      </w:r>
      <w:r w:rsidR="005E051C" w:rsidRPr="00E734E4">
        <w:rPr>
          <w:b/>
          <w:color w:val="021142"/>
          <w:lang w:val="el-GR"/>
        </w:rPr>
        <w:t xml:space="preserve"> </w:t>
      </w:r>
      <w:r w:rsidRPr="00E734E4">
        <w:rPr>
          <w:color w:val="021142"/>
          <w:lang w:val="el-GR"/>
        </w:rPr>
        <w:t>ενισχύθηκαν κατά</w:t>
      </w:r>
      <w:r w:rsidR="00A57D11" w:rsidRPr="00E734E4">
        <w:rPr>
          <w:color w:val="021142"/>
          <w:lang w:val="el-GR"/>
        </w:rPr>
        <w:t xml:space="preserve"> </w:t>
      </w:r>
      <w:r w:rsidR="008D429B">
        <w:rPr>
          <w:color w:val="021142"/>
          <w:lang w:val="el-GR"/>
        </w:rPr>
        <w:t>15,7</w:t>
      </w:r>
      <w:r w:rsidRPr="00E734E4">
        <w:rPr>
          <w:color w:val="021142"/>
          <w:lang w:val="el-GR"/>
        </w:rPr>
        <w:t>%</w:t>
      </w:r>
      <w:r w:rsidR="007A5D75" w:rsidRPr="00E734E4">
        <w:rPr>
          <w:color w:val="021142"/>
          <w:lang w:val="el-GR"/>
        </w:rPr>
        <w:t xml:space="preserve"> </w:t>
      </w:r>
      <w:r w:rsidR="00BF6698">
        <w:rPr>
          <w:color w:val="021142"/>
          <w:lang w:val="el-GR"/>
        </w:rPr>
        <w:t xml:space="preserve">σε ετήσια βάση </w:t>
      </w:r>
      <w:r w:rsidR="002474E0" w:rsidRPr="00E734E4">
        <w:rPr>
          <w:color w:val="021142"/>
          <w:lang w:val="el-GR"/>
        </w:rPr>
        <w:t>και ανήλθαν</w:t>
      </w:r>
      <w:r w:rsidRPr="00E734E4">
        <w:rPr>
          <w:color w:val="021142"/>
          <w:lang w:val="el-GR"/>
        </w:rPr>
        <w:t xml:space="preserve"> </w:t>
      </w:r>
      <w:r w:rsidR="00195AAC" w:rsidRPr="00E734E4">
        <w:rPr>
          <w:color w:val="021142"/>
          <w:lang w:val="el-GR"/>
        </w:rPr>
        <w:t>σε €</w:t>
      </w:r>
      <w:r w:rsidR="00BF6698">
        <w:rPr>
          <w:color w:val="021142"/>
          <w:lang w:val="el-GR"/>
        </w:rPr>
        <w:t>770</w:t>
      </w:r>
      <w:r w:rsidR="00B36593">
        <w:rPr>
          <w:color w:val="021142"/>
          <w:lang w:val="el-GR"/>
        </w:rPr>
        <w:t>ε</w:t>
      </w:r>
      <w:r w:rsidR="00B36593" w:rsidRPr="00E734E4">
        <w:rPr>
          <w:color w:val="021142"/>
          <w:lang w:val="el-GR"/>
        </w:rPr>
        <w:t>κ</w:t>
      </w:r>
      <w:r w:rsidRPr="00E734E4">
        <w:rPr>
          <w:color w:val="021142"/>
          <w:lang w:val="el-GR"/>
        </w:rPr>
        <w:t xml:space="preserve">., κυρίως λόγω των εσόδων από </w:t>
      </w:r>
      <w:r w:rsidR="007A5D75" w:rsidRPr="00E734E4">
        <w:rPr>
          <w:color w:val="021142"/>
          <w:lang w:val="el-GR"/>
        </w:rPr>
        <w:t>τις εργασίες του Δικτύου</w:t>
      </w:r>
      <w:r w:rsidR="00EF750F" w:rsidRPr="00E734E4">
        <w:rPr>
          <w:color w:val="021142"/>
          <w:lang w:val="el-GR"/>
        </w:rPr>
        <w:t xml:space="preserve"> και </w:t>
      </w:r>
      <w:r w:rsidR="00BB0E7C">
        <w:rPr>
          <w:color w:val="021142"/>
          <w:lang w:val="el-GR"/>
        </w:rPr>
        <w:t xml:space="preserve">της </w:t>
      </w:r>
      <w:r w:rsidR="007A5D75" w:rsidRPr="00E734E4">
        <w:rPr>
          <w:color w:val="021142"/>
          <w:lang w:val="el-GR"/>
        </w:rPr>
        <w:t>Διαχείριση</w:t>
      </w:r>
      <w:r w:rsidR="00BB0E7C">
        <w:rPr>
          <w:color w:val="021142"/>
          <w:lang w:val="el-GR"/>
        </w:rPr>
        <w:t>ς</w:t>
      </w:r>
      <w:r w:rsidR="007A5D75" w:rsidRPr="00E734E4">
        <w:rPr>
          <w:color w:val="021142"/>
          <w:lang w:val="el-GR"/>
        </w:rPr>
        <w:t xml:space="preserve"> Περιουσίας</w:t>
      </w:r>
      <w:r w:rsidR="00E734E4">
        <w:rPr>
          <w:color w:val="021142"/>
          <w:lang w:val="el-GR"/>
        </w:rPr>
        <w:t xml:space="preserve"> και των εσόδων από ασφαλιστικές δραστηριότητες μετά την απόκτηση της </w:t>
      </w:r>
      <w:r w:rsidR="00E734E4">
        <w:rPr>
          <w:color w:val="021142"/>
          <w:lang w:val="en-GB"/>
        </w:rPr>
        <w:t>CNP</w:t>
      </w:r>
      <w:r w:rsidR="00064144" w:rsidRPr="00050896">
        <w:rPr>
          <w:color w:val="021142"/>
          <w:lang w:val="el-GR"/>
        </w:rPr>
        <w:t xml:space="preserve"> </w:t>
      </w:r>
      <w:r w:rsidR="00064144">
        <w:rPr>
          <w:color w:val="021142"/>
          <w:lang w:val="en-GB"/>
        </w:rPr>
        <w:t>Cyprus</w:t>
      </w:r>
      <w:r w:rsidR="00E734E4" w:rsidRPr="00950E8F">
        <w:rPr>
          <w:color w:val="021142"/>
          <w:lang w:val="el-GR"/>
        </w:rPr>
        <w:t xml:space="preserve"> </w:t>
      </w:r>
      <w:r w:rsidR="00E734E4">
        <w:rPr>
          <w:color w:val="021142"/>
          <w:lang w:val="en-GB"/>
        </w:rPr>
        <w:t>Insurance</w:t>
      </w:r>
      <w:r w:rsidR="00E734E4">
        <w:rPr>
          <w:color w:val="021142"/>
          <w:lang w:val="el-GR"/>
        </w:rPr>
        <w:t>,</w:t>
      </w:r>
      <w:r w:rsidR="00021135" w:rsidRPr="00E734E4">
        <w:rPr>
          <w:color w:val="021142"/>
          <w:lang w:val="el-GR"/>
        </w:rPr>
        <w:t xml:space="preserve"> </w:t>
      </w:r>
      <w:r w:rsidR="00BB0E7C">
        <w:rPr>
          <w:color w:val="021142"/>
          <w:lang w:val="el-GR"/>
        </w:rPr>
        <w:t xml:space="preserve">και </w:t>
      </w:r>
      <w:r w:rsidR="00BB0E7C" w:rsidRPr="00E734E4">
        <w:rPr>
          <w:color w:val="021142"/>
          <w:lang w:val="el-GR"/>
        </w:rPr>
        <w:t>αντιστοιχ</w:t>
      </w:r>
      <w:r w:rsidR="00BB0E7C">
        <w:rPr>
          <w:color w:val="021142"/>
          <w:lang w:val="el-GR"/>
        </w:rPr>
        <w:t xml:space="preserve">ούσαν </w:t>
      </w:r>
      <w:r w:rsidRPr="00E734E4">
        <w:rPr>
          <w:color w:val="021142"/>
          <w:lang w:val="el-GR"/>
        </w:rPr>
        <w:t xml:space="preserve">σε </w:t>
      </w:r>
      <w:r w:rsidR="00E734E4">
        <w:rPr>
          <w:color w:val="021142"/>
          <w:lang w:val="el-GR"/>
        </w:rPr>
        <w:t>7</w:t>
      </w:r>
      <w:r w:rsidR="00C2040A">
        <w:rPr>
          <w:color w:val="021142"/>
          <w:lang w:val="el-GR"/>
        </w:rPr>
        <w:t>5</w:t>
      </w:r>
      <w:r w:rsidRPr="00E734E4">
        <w:rPr>
          <w:color w:val="021142"/>
          <w:lang w:val="el-GR"/>
        </w:rPr>
        <w:t xml:space="preserve"> μονάδες βάσης επί του συνολικού ενεργητικού</w:t>
      </w:r>
      <w:r w:rsidR="00021135" w:rsidRPr="00E734E4">
        <w:rPr>
          <w:color w:val="021142"/>
          <w:lang w:val="el-GR"/>
        </w:rPr>
        <w:t>.</w:t>
      </w:r>
    </w:p>
    <w:p w14:paraId="7A37B6E7" w14:textId="77777777" w:rsidR="00852D18" w:rsidRPr="005511E3" w:rsidRDefault="00852D18" w:rsidP="000F5589">
      <w:pPr>
        <w:pStyle w:val="BodyText"/>
        <w:spacing w:before="3"/>
        <w:ind w:right="397"/>
        <w:rPr>
          <w:sz w:val="21"/>
          <w:lang w:val="el-GR"/>
        </w:rPr>
      </w:pPr>
    </w:p>
    <w:p w14:paraId="4670B17B" w14:textId="4DEB63F2" w:rsidR="00852D18" w:rsidRPr="000F5589" w:rsidRDefault="00F67963" w:rsidP="000F5589">
      <w:pPr>
        <w:pStyle w:val="ListParagraph"/>
        <w:numPr>
          <w:ilvl w:val="0"/>
          <w:numId w:val="14"/>
        </w:numPr>
        <w:tabs>
          <w:tab w:val="left" w:pos="667"/>
        </w:tabs>
        <w:spacing w:line="237" w:lineRule="auto"/>
        <w:ind w:right="397"/>
        <w:rPr>
          <w:lang w:val="el-GR"/>
        </w:rPr>
      </w:pPr>
      <w:r>
        <w:rPr>
          <w:color w:val="021142"/>
          <w:spacing w:val="-3"/>
          <w:lang w:val="el-GR"/>
        </w:rPr>
        <w:t>Τ</w:t>
      </w:r>
      <w:r w:rsidR="005511E3" w:rsidRPr="000F5589">
        <w:rPr>
          <w:color w:val="021142"/>
          <w:spacing w:val="-2"/>
          <w:lang w:val="el-GR"/>
        </w:rPr>
        <w:t>α</w:t>
      </w:r>
      <w:r w:rsidR="005511E3" w:rsidRPr="000F5589">
        <w:rPr>
          <w:color w:val="021142"/>
          <w:spacing w:val="-25"/>
          <w:lang w:val="el-GR"/>
        </w:rPr>
        <w:t xml:space="preserve"> </w:t>
      </w:r>
      <w:r w:rsidR="005511E3" w:rsidRPr="000F5589">
        <w:rPr>
          <w:b/>
          <w:color w:val="021142"/>
          <w:spacing w:val="-2"/>
          <w:lang w:val="el-GR"/>
        </w:rPr>
        <w:t>οργανικά</w:t>
      </w:r>
      <w:r w:rsidR="000F187C" w:rsidRPr="000F5589">
        <w:rPr>
          <w:b/>
          <w:color w:val="021142"/>
          <w:spacing w:val="-2"/>
          <w:lang w:val="el-GR"/>
        </w:rPr>
        <w:t xml:space="preserve"> </w:t>
      </w:r>
      <w:r w:rsidR="005511E3" w:rsidRPr="000F5589">
        <w:rPr>
          <w:b/>
          <w:color w:val="021142"/>
          <w:spacing w:val="-50"/>
          <w:lang w:val="el-GR"/>
        </w:rPr>
        <w:t xml:space="preserve"> </w:t>
      </w:r>
      <w:r w:rsidR="005511E3" w:rsidRPr="000F5589">
        <w:rPr>
          <w:b/>
          <w:color w:val="021142"/>
          <w:lang w:val="el-GR"/>
        </w:rPr>
        <w:t>έσοδα</w:t>
      </w:r>
      <w:r w:rsidR="005511E3" w:rsidRPr="000F5589">
        <w:rPr>
          <w:b/>
          <w:color w:val="021142"/>
          <w:spacing w:val="-4"/>
          <w:lang w:val="el-GR"/>
        </w:rPr>
        <w:t xml:space="preserve"> </w:t>
      </w:r>
      <w:r w:rsidR="0030612E">
        <w:rPr>
          <w:bCs/>
          <w:color w:val="021142"/>
          <w:spacing w:val="-4"/>
          <w:lang w:val="el-GR"/>
        </w:rPr>
        <w:t>αυξήθ</w:t>
      </w:r>
      <w:r w:rsidR="000D2D2C" w:rsidRPr="000D2D2C">
        <w:rPr>
          <w:bCs/>
          <w:color w:val="021142"/>
          <w:spacing w:val="-4"/>
          <w:lang w:val="el-GR"/>
        </w:rPr>
        <w:t>ηκαν</w:t>
      </w:r>
      <w:r w:rsidR="000D2D2C">
        <w:rPr>
          <w:bCs/>
          <w:color w:val="021142"/>
          <w:spacing w:val="-4"/>
          <w:lang w:val="el-GR"/>
        </w:rPr>
        <w:t xml:space="preserve"> </w:t>
      </w:r>
      <w:r w:rsidR="002B4A24">
        <w:rPr>
          <w:color w:val="021142"/>
          <w:lang w:val="el-GR"/>
        </w:rPr>
        <w:t xml:space="preserve">σε ετήσια βάση </w:t>
      </w:r>
      <w:r w:rsidR="005511E3" w:rsidRPr="000F5589">
        <w:rPr>
          <w:color w:val="021142"/>
          <w:lang w:val="el-GR"/>
        </w:rPr>
        <w:t>κατά</w:t>
      </w:r>
      <w:r w:rsidR="005511E3" w:rsidRPr="000F5589">
        <w:rPr>
          <w:color w:val="021142"/>
          <w:spacing w:val="-5"/>
          <w:lang w:val="el-GR"/>
        </w:rPr>
        <w:t xml:space="preserve"> </w:t>
      </w:r>
      <w:r>
        <w:rPr>
          <w:color w:val="021142"/>
          <w:spacing w:val="-5"/>
          <w:lang w:val="el-GR"/>
        </w:rPr>
        <w:t>4</w:t>
      </w:r>
      <w:r w:rsidR="005744B0">
        <w:rPr>
          <w:color w:val="021142"/>
          <w:spacing w:val="-5"/>
          <w:lang w:val="el-GR"/>
        </w:rPr>
        <w:t>,</w:t>
      </w:r>
      <w:r>
        <w:rPr>
          <w:color w:val="021142"/>
          <w:spacing w:val="-5"/>
          <w:lang w:val="el-GR"/>
        </w:rPr>
        <w:t>6</w:t>
      </w:r>
      <w:r w:rsidR="005511E3" w:rsidRPr="000F5589">
        <w:rPr>
          <w:color w:val="021142"/>
          <w:lang w:val="el-GR"/>
        </w:rPr>
        <w:t>%</w:t>
      </w:r>
      <w:r w:rsidR="00292633">
        <w:rPr>
          <w:color w:val="021142"/>
          <w:lang w:val="el-GR"/>
        </w:rPr>
        <w:t xml:space="preserve"> </w:t>
      </w:r>
      <w:r w:rsidR="005511E3" w:rsidRPr="000F5589">
        <w:rPr>
          <w:color w:val="021142"/>
          <w:lang w:val="el-GR"/>
        </w:rPr>
        <w:t>σε</w:t>
      </w:r>
      <w:r w:rsidR="005511E3" w:rsidRPr="000F5589">
        <w:rPr>
          <w:color w:val="021142"/>
          <w:spacing w:val="-5"/>
          <w:lang w:val="el-GR"/>
        </w:rPr>
        <w:t xml:space="preserve"> </w:t>
      </w:r>
      <w:r w:rsidR="005511E3" w:rsidRPr="000F5589">
        <w:rPr>
          <w:color w:val="021142"/>
          <w:lang w:val="el-GR"/>
        </w:rPr>
        <w:t>€</w:t>
      </w:r>
      <w:r>
        <w:rPr>
          <w:color w:val="021142"/>
          <w:lang w:val="el-GR"/>
        </w:rPr>
        <w:t>3,319</w:t>
      </w:r>
      <w:r w:rsidR="00F8747F">
        <w:rPr>
          <w:color w:val="021142"/>
          <w:lang w:val="el-GR"/>
        </w:rPr>
        <w:t>εκ</w:t>
      </w:r>
      <w:r w:rsidR="005511E3" w:rsidRPr="000F5589">
        <w:rPr>
          <w:color w:val="021142"/>
          <w:lang w:val="el-GR"/>
        </w:rPr>
        <w:t>.</w:t>
      </w:r>
      <w:r w:rsidR="00C56999" w:rsidRPr="00C56999">
        <w:rPr>
          <w:color w:val="021142"/>
          <w:lang w:val="el-GR"/>
        </w:rPr>
        <w:t xml:space="preserve"> </w:t>
      </w:r>
      <w:r w:rsidR="00C56999">
        <w:rPr>
          <w:color w:val="021142"/>
          <w:lang w:val="el-GR"/>
        </w:rPr>
        <w:t>και τ</w:t>
      </w:r>
      <w:r w:rsidR="005511E3" w:rsidRPr="000F5589">
        <w:rPr>
          <w:color w:val="021142"/>
          <w:lang w:val="el-GR"/>
        </w:rPr>
        <w:t>α</w:t>
      </w:r>
      <w:r w:rsidR="005511E3" w:rsidRPr="000F5589">
        <w:rPr>
          <w:color w:val="021142"/>
          <w:spacing w:val="-4"/>
          <w:lang w:val="el-GR"/>
        </w:rPr>
        <w:t xml:space="preserve"> </w:t>
      </w:r>
      <w:r w:rsidR="005511E3" w:rsidRPr="000F5589">
        <w:rPr>
          <w:b/>
          <w:color w:val="021142"/>
          <w:lang w:val="el-GR"/>
        </w:rPr>
        <w:t>συνολικά</w:t>
      </w:r>
      <w:r w:rsidR="005511E3" w:rsidRPr="000F5589">
        <w:rPr>
          <w:b/>
          <w:color w:val="021142"/>
          <w:spacing w:val="-6"/>
          <w:lang w:val="el-GR"/>
        </w:rPr>
        <w:t xml:space="preserve"> </w:t>
      </w:r>
      <w:r w:rsidR="005511E3" w:rsidRPr="000F5589">
        <w:rPr>
          <w:b/>
          <w:color w:val="021142"/>
          <w:lang w:val="el-GR"/>
        </w:rPr>
        <w:t>έσοδα</w:t>
      </w:r>
      <w:r w:rsidR="005511E3" w:rsidRPr="000F5589">
        <w:rPr>
          <w:b/>
          <w:color w:val="021142"/>
          <w:spacing w:val="-6"/>
          <w:lang w:val="el-GR"/>
        </w:rPr>
        <w:t xml:space="preserve"> </w:t>
      </w:r>
      <w:r w:rsidR="003767C7">
        <w:rPr>
          <w:color w:val="021142"/>
          <w:lang w:val="el-GR"/>
        </w:rPr>
        <w:t>ενισχύθηκα</w:t>
      </w:r>
      <w:r w:rsidR="00CB7D3A">
        <w:rPr>
          <w:color w:val="021142"/>
          <w:lang w:val="el-GR"/>
        </w:rPr>
        <w:t>ν</w:t>
      </w:r>
      <w:r w:rsidR="00F8747F">
        <w:rPr>
          <w:color w:val="021142"/>
          <w:lang w:val="el-GR"/>
        </w:rPr>
        <w:t xml:space="preserve"> </w:t>
      </w:r>
      <w:r w:rsidR="005E051C">
        <w:rPr>
          <w:color w:val="021142"/>
          <w:lang w:val="el-GR"/>
        </w:rPr>
        <w:t xml:space="preserve">κατά </w:t>
      </w:r>
      <w:r>
        <w:rPr>
          <w:color w:val="021142"/>
          <w:lang w:val="el-GR"/>
        </w:rPr>
        <w:t>4,0</w:t>
      </w:r>
      <w:r w:rsidR="005E051C">
        <w:rPr>
          <w:color w:val="021142"/>
          <w:lang w:val="el-GR"/>
        </w:rPr>
        <w:t>%</w:t>
      </w:r>
      <w:r w:rsidR="00292633">
        <w:rPr>
          <w:color w:val="021142"/>
          <w:lang w:val="el-GR"/>
        </w:rPr>
        <w:t xml:space="preserve"> </w:t>
      </w:r>
      <w:r w:rsidR="00C91D9C">
        <w:rPr>
          <w:color w:val="021142"/>
          <w:lang w:val="el-GR"/>
        </w:rPr>
        <w:t xml:space="preserve">σε ετήσια βάση </w:t>
      </w:r>
      <w:r w:rsidR="00292633">
        <w:rPr>
          <w:color w:val="021142"/>
          <w:lang w:val="el-GR"/>
        </w:rPr>
        <w:t>σε €</w:t>
      </w:r>
      <w:r w:rsidR="00C91D9C">
        <w:rPr>
          <w:color w:val="021142"/>
          <w:lang w:val="el-GR"/>
        </w:rPr>
        <w:t>3,372</w:t>
      </w:r>
      <w:r w:rsidR="00621D7E">
        <w:rPr>
          <w:color w:val="021142"/>
          <w:lang w:val="el-GR"/>
        </w:rPr>
        <w:t>ε</w:t>
      </w:r>
      <w:r w:rsidR="00292633">
        <w:rPr>
          <w:color w:val="021142"/>
          <w:lang w:val="el-GR"/>
        </w:rPr>
        <w:t>κ.</w:t>
      </w:r>
    </w:p>
    <w:p w14:paraId="6C55955F" w14:textId="77777777" w:rsidR="00852D18" w:rsidRPr="005511E3" w:rsidRDefault="00852D18" w:rsidP="000F5589">
      <w:pPr>
        <w:pStyle w:val="BodyText"/>
        <w:spacing w:before="10"/>
        <w:ind w:right="397"/>
        <w:rPr>
          <w:lang w:val="el-GR"/>
        </w:rPr>
      </w:pPr>
    </w:p>
    <w:p w14:paraId="2A50479D" w14:textId="2A1FCC36" w:rsidR="00852D18" w:rsidRPr="00E036F6" w:rsidRDefault="005511E3" w:rsidP="000F5589">
      <w:pPr>
        <w:pStyle w:val="ListParagraph"/>
        <w:numPr>
          <w:ilvl w:val="0"/>
          <w:numId w:val="14"/>
        </w:numPr>
        <w:tabs>
          <w:tab w:val="left" w:pos="676"/>
        </w:tabs>
        <w:spacing w:line="244" w:lineRule="auto"/>
        <w:ind w:right="397"/>
        <w:rPr>
          <w:bCs/>
          <w:lang w:val="el-GR"/>
        </w:rPr>
      </w:pPr>
      <w:r w:rsidRPr="000F5589">
        <w:rPr>
          <w:color w:val="021142"/>
          <w:spacing w:val="-2"/>
          <w:lang w:val="el-GR"/>
        </w:rPr>
        <w:t>Οι</w:t>
      </w:r>
      <w:r w:rsidRPr="000F5589">
        <w:rPr>
          <w:color w:val="021142"/>
          <w:spacing w:val="-16"/>
          <w:lang w:val="el-GR"/>
        </w:rPr>
        <w:t xml:space="preserve"> </w:t>
      </w:r>
      <w:r w:rsidR="00671F8B">
        <w:rPr>
          <w:b/>
          <w:color w:val="021142"/>
          <w:spacing w:val="-2"/>
          <w:lang w:val="el-GR"/>
        </w:rPr>
        <w:t>λ</w:t>
      </w:r>
      <w:r w:rsidRPr="000F5589">
        <w:rPr>
          <w:b/>
          <w:color w:val="021142"/>
          <w:spacing w:val="-2"/>
          <w:lang w:val="el-GR"/>
        </w:rPr>
        <w:t>ειτουργικές</w:t>
      </w:r>
      <w:r w:rsidRPr="000F5589">
        <w:rPr>
          <w:b/>
          <w:color w:val="021142"/>
          <w:spacing w:val="-16"/>
          <w:lang w:val="el-GR"/>
        </w:rPr>
        <w:t xml:space="preserve"> </w:t>
      </w:r>
      <w:r w:rsidRPr="000F5589">
        <w:rPr>
          <w:b/>
          <w:color w:val="021142"/>
          <w:spacing w:val="-2"/>
          <w:lang w:val="el-GR"/>
        </w:rPr>
        <w:t>δαπάνες</w:t>
      </w:r>
      <w:r w:rsidRPr="000F5589">
        <w:rPr>
          <w:color w:val="021142"/>
          <w:spacing w:val="-16"/>
          <w:lang w:val="el-GR"/>
        </w:rPr>
        <w:t xml:space="preserve"> </w:t>
      </w:r>
      <w:r w:rsidR="00A479CF">
        <w:rPr>
          <w:color w:val="021142"/>
          <w:spacing w:val="-16"/>
          <w:lang w:val="el-GR"/>
        </w:rPr>
        <w:t>αυξήθηκαν</w:t>
      </w:r>
      <w:r w:rsidR="001427D3">
        <w:rPr>
          <w:color w:val="021142"/>
          <w:spacing w:val="-16"/>
          <w:lang w:val="el-GR"/>
        </w:rPr>
        <w:t xml:space="preserve"> </w:t>
      </w:r>
      <w:r w:rsidR="006C5E75">
        <w:rPr>
          <w:color w:val="021142"/>
          <w:spacing w:val="-16"/>
          <w:lang w:val="el-GR"/>
        </w:rPr>
        <w:t xml:space="preserve">σε ετήσια βάση </w:t>
      </w:r>
      <w:r w:rsidR="001427D3">
        <w:rPr>
          <w:color w:val="021142"/>
          <w:spacing w:val="-16"/>
          <w:lang w:val="el-GR"/>
        </w:rPr>
        <w:t xml:space="preserve">κατά </w:t>
      </w:r>
      <w:r w:rsidR="00481D67">
        <w:rPr>
          <w:color w:val="021142"/>
          <w:spacing w:val="-16"/>
          <w:lang w:val="el-GR"/>
        </w:rPr>
        <w:t>17,4</w:t>
      </w:r>
      <w:r w:rsidR="001427D3">
        <w:rPr>
          <w:color w:val="021142"/>
          <w:spacing w:val="-16"/>
          <w:lang w:val="el-GR"/>
        </w:rPr>
        <w:t xml:space="preserve">% </w:t>
      </w:r>
      <w:r w:rsidR="00481D67">
        <w:rPr>
          <w:color w:val="021142"/>
          <w:lang w:val="el-GR"/>
        </w:rPr>
        <w:t xml:space="preserve">σε </w:t>
      </w:r>
      <w:r w:rsidRPr="000F5589">
        <w:rPr>
          <w:color w:val="021142"/>
          <w:lang w:val="el-GR"/>
        </w:rPr>
        <w:t>€</w:t>
      </w:r>
      <w:r w:rsidR="00481D67">
        <w:rPr>
          <w:color w:val="021142"/>
          <w:lang w:val="el-GR"/>
        </w:rPr>
        <w:t>1,258</w:t>
      </w:r>
      <w:r w:rsidRPr="000F5589">
        <w:rPr>
          <w:color w:val="021142"/>
          <w:lang w:val="el-GR"/>
        </w:rPr>
        <w:t>εκ.</w:t>
      </w:r>
      <w:r w:rsidR="001427D3">
        <w:rPr>
          <w:color w:val="021142"/>
          <w:lang w:val="el-GR"/>
        </w:rPr>
        <w:t xml:space="preserve"> </w:t>
      </w:r>
      <w:r w:rsidR="00BC3A6A">
        <w:rPr>
          <w:color w:val="021142"/>
          <w:lang w:val="el-GR"/>
        </w:rPr>
        <w:t>Οι</w:t>
      </w:r>
      <w:r w:rsidR="0008220A" w:rsidRPr="000F5589">
        <w:rPr>
          <w:color w:val="021142"/>
          <w:lang w:val="el-GR"/>
        </w:rPr>
        <w:t xml:space="preserve"> </w:t>
      </w:r>
      <w:r w:rsidR="00DB5D51" w:rsidRPr="009D265D">
        <w:rPr>
          <w:b/>
          <w:bCs/>
          <w:color w:val="021142"/>
          <w:lang w:val="el-GR"/>
        </w:rPr>
        <w:t>δείκτ</w:t>
      </w:r>
      <w:r w:rsidR="00BC3A6A">
        <w:rPr>
          <w:b/>
          <w:bCs/>
          <w:color w:val="021142"/>
          <w:lang w:val="el-GR"/>
        </w:rPr>
        <w:t>ες</w:t>
      </w:r>
      <w:r w:rsidR="00DB5D51" w:rsidRPr="009D265D">
        <w:rPr>
          <w:b/>
          <w:bCs/>
          <w:color w:val="021142"/>
          <w:lang w:val="el-GR"/>
        </w:rPr>
        <w:t xml:space="preserve"> κόστους – οργανικών εσόδων</w:t>
      </w:r>
      <w:r w:rsidR="00DB5D51">
        <w:rPr>
          <w:color w:val="021142"/>
          <w:lang w:val="el-GR"/>
        </w:rPr>
        <w:t xml:space="preserve"> </w:t>
      </w:r>
      <w:r w:rsidR="00BC3A6A">
        <w:rPr>
          <w:color w:val="021142"/>
          <w:lang w:val="el-GR"/>
        </w:rPr>
        <w:t xml:space="preserve">και </w:t>
      </w:r>
      <w:r w:rsidR="00BC3A6A" w:rsidRPr="00BC3A6A">
        <w:rPr>
          <w:b/>
          <w:bCs/>
          <w:color w:val="021142"/>
          <w:lang w:val="el-GR"/>
        </w:rPr>
        <w:t>κόστους – συνολικών εσόδων</w:t>
      </w:r>
      <w:r w:rsidR="00BC3A6A">
        <w:rPr>
          <w:color w:val="021142"/>
          <w:lang w:val="el-GR"/>
        </w:rPr>
        <w:t xml:space="preserve"> διαμορφώθηκαν σε </w:t>
      </w:r>
      <w:r w:rsidR="00F408F4" w:rsidRPr="00950E8F">
        <w:rPr>
          <w:color w:val="021142"/>
          <w:lang w:val="el-GR"/>
        </w:rPr>
        <w:t>37</w:t>
      </w:r>
      <w:r w:rsidR="00A31D61">
        <w:rPr>
          <w:color w:val="021142"/>
          <w:lang w:val="el-GR"/>
        </w:rPr>
        <w:t>,9</w:t>
      </w:r>
      <w:r w:rsidR="00BC3A6A">
        <w:rPr>
          <w:color w:val="021142"/>
          <w:lang w:val="el-GR"/>
        </w:rPr>
        <w:t xml:space="preserve">% και </w:t>
      </w:r>
      <w:r w:rsidR="00F408F4" w:rsidRPr="00950E8F">
        <w:rPr>
          <w:color w:val="021142"/>
          <w:lang w:val="el-GR"/>
        </w:rPr>
        <w:t>37</w:t>
      </w:r>
      <w:r w:rsidR="00A31D61">
        <w:rPr>
          <w:color w:val="021142"/>
          <w:lang w:val="el-GR"/>
        </w:rPr>
        <w:t>,3</w:t>
      </w:r>
      <w:r w:rsidR="00BC3A6A">
        <w:rPr>
          <w:color w:val="021142"/>
          <w:lang w:val="el-GR"/>
        </w:rPr>
        <w:t>% αντίστοιχα το 2025.</w:t>
      </w:r>
    </w:p>
    <w:p w14:paraId="64D80D4D" w14:textId="77777777" w:rsidR="00852D18" w:rsidRPr="00E62223" w:rsidRDefault="00852D18" w:rsidP="000F5589">
      <w:pPr>
        <w:pStyle w:val="BodyText"/>
        <w:spacing w:before="3"/>
        <w:ind w:right="397"/>
        <w:rPr>
          <w:sz w:val="21"/>
          <w:lang w:val="el-GR"/>
        </w:rPr>
      </w:pPr>
    </w:p>
    <w:p w14:paraId="4F8336D0" w14:textId="2A3251F0" w:rsidR="00852D18" w:rsidRPr="00FC11B6" w:rsidRDefault="005511E3" w:rsidP="000F5589">
      <w:pPr>
        <w:pStyle w:val="ListParagraph"/>
        <w:numPr>
          <w:ilvl w:val="0"/>
          <w:numId w:val="14"/>
        </w:numPr>
        <w:tabs>
          <w:tab w:val="left" w:pos="686"/>
        </w:tabs>
        <w:spacing w:before="6"/>
        <w:ind w:right="397"/>
        <w:rPr>
          <w:bCs/>
          <w:lang w:val="el-GR"/>
        </w:rPr>
      </w:pPr>
      <w:r w:rsidRPr="006A61D8">
        <w:rPr>
          <w:color w:val="021142"/>
          <w:spacing w:val="-1"/>
          <w:lang w:val="el-GR"/>
        </w:rPr>
        <w:t>Τα</w:t>
      </w:r>
      <w:r w:rsidRPr="006A61D8">
        <w:rPr>
          <w:color w:val="021142"/>
          <w:spacing w:val="-13"/>
          <w:lang w:val="el-GR"/>
        </w:rPr>
        <w:t xml:space="preserve"> </w:t>
      </w:r>
      <w:r w:rsidRPr="006A61D8">
        <w:rPr>
          <w:b/>
          <w:color w:val="021142"/>
          <w:spacing w:val="-1"/>
          <w:lang w:val="el-GR"/>
        </w:rPr>
        <w:t>οργανικά</w:t>
      </w:r>
      <w:r w:rsidRPr="006A61D8">
        <w:rPr>
          <w:b/>
          <w:color w:val="021142"/>
          <w:spacing w:val="-11"/>
          <w:lang w:val="el-GR"/>
        </w:rPr>
        <w:t xml:space="preserve"> </w:t>
      </w:r>
      <w:r w:rsidRPr="006A61D8">
        <w:rPr>
          <w:b/>
          <w:color w:val="021142"/>
          <w:spacing w:val="-1"/>
          <w:lang w:val="el-GR"/>
        </w:rPr>
        <w:t>κέρδη</w:t>
      </w:r>
      <w:r w:rsidRPr="006A61D8">
        <w:rPr>
          <w:b/>
          <w:color w:val="021142"/>
          <w:spacing w:val="-10"/>
          <w:lang w:val="el-GR"/>
        </w:rPr>
        <w:t xml:space="preserve"> </w:t>
      </w:r>
      <w:r w:rsidRPr="006A61D8">
        <w:rPr>
          <w:b/>
          <w:color w:val="021142"/>
          <w:spacing w:val="-1"/>
          <w:lang w:val="el-GR"/>
        </w:rPr>
        <w:t>προ</w:t>
      </w:r>
      <w:r w:rsidRPr="006A61D8">
        <w:rPr>
          <w:b/>
          <w:color w:val="021142"/>
          <w:spacing w:val="-11"/>
          <w:lang w:val="el-GR"/>
        </w:rPr>
        <w:t xml:space="preserve"> </w:t>
      </w:r>
      <w:r w:rsidRPr="006A61D8">
        <w:rPr>
          <w:b/>
          <w:color w:val="021142"/>
          <w:spacing w:val="-1"/>
          <w:lang w:val="el-GR"/>
        </w:rPr>
        <w:t>προβλέψεων</w:t>
      </w:r>
      <w:r w:rsidRPr="006A61D8">
        <w:rPr>
          <w:b/>
          <w:color w:val="021142"/>
          <w:spacing w:val="-11"/>
          <w:lang w:val="el-GR"/>
        </w:rPr>
        <w:t xml:space="preserve"> </w:t>
      </w:r>
      <w:r w:rsidR="004D5083">
        <w:rPr>
          <w:bCs/>
          <w:color w:val="021142"/>
          <w:spacing w:val="-11"/>
          <w:lang w:val="el-GR"/>
        </w:rPr>
        <w:t xml:space="preserve">μειώθηκαν </w:t>
      </w:r>
      <w:r w:rsidR="009F4AB7">
        <w:rPr>
          <w:color w:val="021142"/>
          <w:lang w:val="el-GR"/>
        </w:rPr>
        <w:t>σε ετήσια βάση</w:t>
      </w:r>
      <w:r w:rsidR="009F4AB7" w:rsidRPr="006A61D8">
        <w:rPr>
          <w:color w:val="021142"/>
          <w:spacing w:val="-12"/>
          <w:lang w:val="el-GR"/>
        </w:rPr>
        <w:t xml:space="preserve"> </w:t>
      </w:r>
      <w:r w:rsidRPr="006A61D8">
        <w:rPr>
          <w:color w:val="021142"/>
          <w:spacing w:val="-1"/>
          <w:lang w:val="el-GR"/>
        </w:rPr>
        <w:t>κατά</w:t>
      </w:r>
      <w:r w:rsidRPr="006A61D8">
        <w:rPr>
          <w:color w:val="021142"/>
          <w:spacing w:val="-13"/>
          <w:lang w:val="el-GR"/>
        </w:rPr>
        <w:t xml:space="preserve"> </w:t>
      </w:r>
      <w:r w:rsidR="004D5083">
        <w:rPr>
          <w:color w:val="021142"/>
          <w:spacing w:val="-13"/>
          <w:lang w:val="el-GR"/>
        </w:rPr>
        <w:t>1</w:t>
      </w:r>
      <w:r w:rsidR="00F408F4" w:rsidRPr="00950E8F">
        <w:rPr>
          <w:color w:val="021142"/>
          <w:spacing w:val="-13"/>
          <w:lang w:val="el-GR"/>
        </w:rPr>
        <w:t>,</w:t>
      </w:r>
      <w:r w:rsidR="004D5083">
        <w:rPr>
          <w:color w:val="021142"/>
          <w:spacing w:val="-13"/>
          <w:lang w:val="el-GR"/>
        </w:rPr>
        <w:t>9</w:t>
      </w:r>
      <w:r w:rsidRPr="006A61D8">
        <w:rPr>
          <w:color w:val="021142"/>
          <w:lang w:val="el-GR"/>
        </w:rPr>
        <w:t>%</w:t>
      </w:r>
      <w:r w:rsidR="00E22222">
        <w:rPr>
          <w:color w:val="021142"/>
          <w:lang w:val="el-GR"/>
        </w:rPr>
        <w:t xml:space="preserve"> </w:t>
      </w:r>
      <w:r w:rsidR="00BC3A6A">
        <w:rPr>
          <w:color w:val="021142"/>
          <w:lang w:val="el-GR"/>
        </w:rPr>
        <w:t>σε €</w:t>
      </w:r>
      <w:r w:rsidR="004D5083">
        <w:rPr>
          <w:color w:val="021142"/>
          <w:lang w:val="el-GR"/>
        </w:rPr>
        <w:t>2.061</w:t>
      </w:r>
      <w:r w:rsidR="00BC3A6A">
        <w:rPr>
          <w:color w:val="021142"/>
          <w:lang w:val="el-GR"/>
        </w:rPr>
        <w:t>εκ</w:t>
      </w:r>
      <w:r w:rsidR="00F408F4">
        <w:rPr>
          <w:color w:val="021142"/>
          <w:lang w:val="el-GR"/>
        </w:rPr>
        <w:t xml:space="preserve">, ενώ τα </w:t>
      </w:r>
      <w:r w:rsidRPr="006A61D8">
        <w:rPr>
          <w:b/>
          <w:color w:val="021142"/>
          <w:spacing w:val="-1"/>
          <w:lang w:val="el-GR"/>
        </w:rPr>
        <w:t>συνολικά</w:t>
      </w:r>
      <w:r w:rsidRPr="006A61D8">
        <w:rPr>
          <w:b/>
          <w:color w:val="021142"/>
          <w:spacing w:val="-12"/>
          <w:lang w:val="el-GR"/>
        </w:rPr>
        <w:t xml:space="preserve"> </w:t>
      </w:r>
      <w:r w:rsidRPr="006A61D8">
        <w:rPr>
          <w:b/>
          <w:color w:val="021142"/>
          <w:spacing w:val="-1"/>
          <w:lang w:val="el-GR"/>
        </w:rPr>
        <w:t>κέρδη</w:t>
      </w:r>
      <w:r w:rsidRPr="006A61D8">
        <w:rPr>
          <w:b/>
          <w:color w:val="021142"/>
          <w:spacing w:val="-12"/>
          <w:lang w:val="el-GR"/>
        </w:rPr>
        <w:t xml:space="preserve"> </w:t>
      </w:r>
      <w:r w:rsidRPr="006A61D8">
        <w:rPr>
          <w:b/>
          <w:color w:val="021142"/>
          <w:spacing w:val="-1"/>
          <w:lang w:val="el-GR"/>
        </w:rPr>
        <w:t>προ</w:t>
      </w:r>
      <w:r w:rsidRPr="006A61D8">
        <w:rPr>
          <w:b/>
          <w:color w:val="021142"/>
          <w:spacing w:val="-11"/>
          <w:lang w:val="el-GR"/>
        </w:rPr>
        <w:t xml:space="preserve"> </w:t>
      </w:r>
      <w:r w:rsidRPr="006A61D8">
        <w:rPr>
          <w:b/>
          <w:color w:val="021142"/>
          <w:spacing w:val="-1"/>
          <w:lang w:val="el-GR"/>
        </w:rPr>
        <w:t>προβλέψεων</w:t>
      </w:r>
      <w:r w:rsidRPr="006A61D8">
        <w:rPr>
          <w:b/>
          <w:color w:val="021142"/>
          <w:spacing w:val="-11"/>
          <w:lang w:val="el-GR"/>
        </w:rPr>
        <w:t xml:space="preserve"> </w:t>
      </w:r>
      <w:r w:rsidR="00B85452">
        <w:rPr>
          <w:bCs/>
          <w:color w:val="021142"/>
          <w:spacing w:val="-11"/>
          <w:lang w:val="el-GR"/>
        </w:rPr>
        <w:t xml:space="preserve">μειώθηκαν </w:t>
      </w:r>
      <w:r w:rsidR="004D5083">
        <w:rPr>
          <w:bCs/>
          <w:color w:val="021142"/>
          <w:spacing w:val="-11"/>
          <w:lang w:val="el-GR"/>
        </w:rPr>
        <w:t xml:space="preserve">σε ετήσια βάση </w:t>
      </w:r>
      <w:r w:rsidR="003D46C2" w:rsidRPr="003D46C2">
        <w:rPr>
          <w:bCs/>
          <w:color w:val="021142"/>
          <w:spacing w:val="-11"/>
          <w:lang w:val="el-GR"/>
        </w:rPr>
        <w:t xml:space="preserve">κατά </w:t>
      </w:r>
      <w:r w:rsidR="006B0CA6">
        <w:rPr>
          <w:bCs/>
          <w:color w:val="021142"/>
          <w:spacing w:val="-11"/>
          <w:lang w:val="el-GR"/>
        </w:rPr>
        <w:t>2</w:t>
      </w:r>
      <w:r w:rsidR="00F408F4">
        <w:rPr>
          <w:bCs/>
          <w:color w:val="021142"/>
          <w:spacing w:val="-11"/>
          <w:lang w:val="el-GR"/>
        </w:rPr>
        <w:t>,</w:t>
      </w:r>
      <w:r w:rsidR="006B0CA6">
        <w:rPr>
          <w:bCs/>
          <w:color w:val="021142"/>
          <w:spacing w:val="-11"/>
          <w:lang w:val="el-GR"/>
        </w:rPr>
        <w:t>6</w:t>
      </w:r>
      <w:r w:rsidR="003D46C2" w:rsidRPr="003D46C2">
        <w:rPr>
          <w:bCs/>
          <w:color w:val="021142"/>
          <w:spacing w:val="-11"/>
          <w:lang w:val="el-GR"/>
        </w:rPr>
        <w:t>%</w:t>
      </w:r>
      <w:r w:rsidR="004F63FA">
        <w:rPr>
          <w:bCs/>
          <w:color w:val="021142"/>
          <w:spacing w:val="-11"/>
          <w:lang w:val="el-GR"/>
        </w:rPr>
        <w:t xml:space="preserve"> </w:t>
      </w:r>
      <w:r w:rsidR="00CD13BC" w:rsidRPr="00FC11B6">
        <w:rPr>
          <w:bCs/>
          <w:color w:val="021142"/>
          <w:spacing w:val="-11"/>
          <w:lang w:val="el-GR"/>
        </w:rPr>
        <w:t>σε €</w:t>
      </w:r>
      <w:r w:rsidR="006B0CA6">
        <w:rPr>
          <w:bCs/>
          <w:color w:val="021142"/>
          <w:spacing w:val="-11"/>
          <w:lang w:val="el-GR"/>
        </w:rPr>
        <w:t>2.114</w:t>
      </w:r>
      <w:r w:rsidR="00CD13BC" w:rsidRPr="00FC11B6">
        <w:rPr>
          <w:bCs/>
          <w:color w:val="021142"/>
          <w:spacing w:val="-11"/>
          <w:lang w:val="el-GR"/>
        </w:rPr>
        <w:t>εκ</w:t>
      </w:r>
      <w:r w:rsidR="00CD13BC">
        <w:rPr>
          <w:color w:val="021142"/>
          <w:lang w:val="el-GR"/>
        </w:rPr>
        <w:t>.</w:t>
      </w:r>
      <w:r w:rsidR="009F4AB7">
        <w:rPr>
          <w:color w:val="021142"/>
          <w:lang w:val="el-GR"/>
        </w:rPr>
        <w:t xml:space="preserve"> </w:t>
      </w:r>
    </w:p>
    <w:p w14:paraId="77DA9C5B" w14:textId="77777777" w:rsidR="006A61D8" w:rsidRPr="006A61D8" w:rsidRDefault="006A61D8" w:rsidP="006A61D8">
      <w:pPr>
        <w:tabs>
          <w:tab w:val="left" w:pos="686"/>
        </w:tabs>
        <w:spacing w:before="6"/>
        <w:ind w:right="397"/>
        <w:rPr>
          <w:lang w:val="el-GR"/>
        </w:rPr>
      </w:pPr>
    </w:p>
    <w:p w14:paraId="18AD4440" w14:textId="67DF758C" w:rsidR="00403DE3" w:rsidRPr="000F5589" w:rsidRDefault="005511E3" w:rsidP="000F5589">
      <w:pPr>
        <w:pStyle w:val="ListParagraph"/>
        <w:numPr>
          <w:ilvl w:val="0"/>
          <w:numId w:val="14"/>
        </w:numPr>
        <w:tabs>
          <w:tab w:val="left" w:pos="660"/>
        </w:tabs>
        <w:spacing w:line="242" w:lineRule="auto"/>
        <w:ind w:right="397"/>
        <w:rPr>
          <w:lang w:val="el-GR"/>
        </w:rPr>
      </w:pPr>
      <w:r w:rsidRPr="000F5589">
        <w:rPr>
          <w:b/>
          <w:color w:val="021142"/>
          <w:spacing w:val="-2"/>
          <w:lang w:val="el-GR"/>
        </w:rPr>
        <w:t>Οι</w:t>
      </w:r>
      <w:r w:rsidRPr="000F5589">
        <w:rPr>
          <w:b/>
          <w:color w:val="021142"/>
          <w:spacing w:val="-8"/>
          <w:lang w:val="el-GR"/>
        </w:rPr>
        <w:t xml:space="preserve"> </w:t>
      </w:r>
      <w:r w:rsidRPr="000F5589">
        <w:rPr>
          <w:b/>
          <w:color w:val="021142"/>
          <w:spacing w:val="-2"/>
          <w:lang w:val="el-GR"/>
        </w:rPr>
        <w:t>προβλέψεις</w:t>
      </w:r>
      <w:r w:rsidRPr="000F5589">
        <w:rPr>
          <w:b/>
          <w:color w:val="021142"/>
          <w:spacing w:val="-31"/>
          <w:lang w:val="el-GR"/>
        </w:rPr>
        <w:t xml:space="preserve"> </w:t>
      </w:r>
      <w:r w:rsidRPr="000F5589">
        <w:rPr>
          <w:b/>
          <w:color w:val="021142"/>
          <w:spacing w:val="-2"/>
          <w:lang w:val="el-GR"/>
        </w:rPr>
        <w:t>επισφαλών</w:t>
      </w:r>
      <w:r w:rsidRPr="000F5589">
        <w:rPr>
          <w:b/>
          <w:color w:val="021142"/>
          <w:spacing w:val="-31"/>
          <w:lang w:val="el-GR"/>
        </w:rPr>
        <w:t xml:space="preserve"> </w:t>
      </w:r>
      <w:r w:rsidRPr="000F5589">
        <w:rPr>
          <w:b/>
          <w:color w:val="021142"/>
          <w:spacing w:val="-2"/>
          <w:lang w:val="el-GR"/>
        </w:rPr>
        <w:t>απαιτήσεων</w:t>
      </w:r>
      <w:r w:rsidRPr="000F5589">
        <w:rPr>
          <w:b/>
          <w:color w:val="021142"/>
          <w:spacing w:val="-30"/>
          <w:lang w:val="el-GR"/>
        </w:rPr>
        <w:t xml:space="preserve"> </w:t>
      </w:r>
      <w:r w:rsidR="00A528D6">
        <w:rPr>
          <w:color w:val="021142"/>
          <w:spacing w:val="-2"/>
          <w:lang w:val="el-GR"/>
        </w:rPr>
        <w:t>μει</w:t>
      </w:r>
      <w:r w:rsidR="00293432">
        <w:rPr>
          <w:color w:val="021142"/>
          <w:spacing w:val="-2"/>
          <w:lang w:val="el-GR"/>
        </w:rPr>
        <w:t xml:space="preserve">ώθηκαν σε ετήσια βάση κατά </w:t>
      </w:r>
      <w:r w:rsidR="009C7F26">
        <w:rPr>
          <w:color w:val="021142"/>
          <w:spacing w:val="-2"/>
          <w:lang w:val="el-GR"/>
        </w:rPr>
        <w:t>3</w:t>
      </w:r>
      <w:r w:rsidR="007E54FF">
        <w:rPr>
          <w:color w:val="021142"/>
          <w:spacing w:val="-2"/>
          <w:lang w:val="el-GR"/>
        </w:rPr>
        <w:t>,</w:t>
      </w:r>
      <w:r w:rsidR="00A37331">
        <w:rPr>
          <w:color w:val="021142"/>
          <w:spacing w:val="-2"/>
          <w:lang w:val="el-GR"/>
        </w:rPr>
        <w:t>6</w:t>
      </w:r>
      <w:r w:rsidR="00FC11B6">
        <w:rPr>
          <w:color w:val="021142"/>
          <w:spacing w:val="-2"/>
          <w:lang w:val="el-GR"/>
        </w:rPr>
        <w:t>%</w:t>
      </w:r>
      <w:r w:rsidR="0039063F" w:rsidRPr="0039063F">
        <w:rPr>
          <w:color w:val="021142"/>
          <w:spacing w:val="-2"/>
          <w:lang w:val="el-GR"/>
        </w:rPr>
        <w:t xml:space="preserve"> </w:t>
      </w:r>
      <w:r w:rsidR="0039063F">
        <w:rPr>
          <w:color w:val="021142"/>
          <w:spacing w:val="-2"/>
          <w:lang w:val="el-GR"/>
        </w:rPr>
        <w:t>σε €</w:t>
      </w:r>
      <w:r w:rsidR="00A37331">
        <w:rPr>
          <w:color w:val="021142"/>
          <w:spacing w:val="-2"/>
          <w:lang w:val="el-GR"/>
        </w:rPr>
        <w:t>308</w:t>
      </w:r>
      <w:r w:rsidR="0039063F">
        <w:rPr>
          <w:color w:val="021142"/>
          <w:spacing w:val="-2"/>
          <w:lang w:val="el-GR"/>
        </w:rPr>
        <w:t>εκ.</w:t>
      </w:r>
      <w:r w:rsidR="00FC11B6">
        <w:rPr>
          <w:color w:val="021142"/>
          <w:spacing w:val="-2"/>
          <w:lang w:val="el-GR"/>
        </w:rPr>
        <w:t xml:space="preserve"> </w:t>
      </w:r>
      <w:r w:rsidRPr="000F5589">
        <w:rPr>
          <w:color w:val="021142"/>
          <w:spacing w:val="-1"/>
          <w:lang w:val="el-GR"/>
        </w:rPr>
        <w:t>και</w:t>
      </w:r>
      <w:r w:rsidRPr="000F5589">
        <w:rPr>
          <w:color w:val="021142"/>
          <w:spacing w:val="-32"/>
          <w:lang w:val="el-GR"/>
        </w:rPr>
        <w:t xml:space="preserve"> </w:t>
      </w:r>
      <w:r w:rsidR="00403DE3" w:rsidRPr="000F5589">
        <w:rPr>
          <w:color w:val="021142"/>
          <w:spacing w:val="-1"/>
          <w:lang w:val="el-GR"/>
        </w:rPr>
        <w:t xml:space="preserve">αντιστοιχούσαν </w:t>
      </w:r>
      <w:r w:rsidRPr="000F5589">
        <w:rPr>
          <w:color w:val="021142"/>
          <w:lang w:val="el-GR"/>
        </w:rPr>
        <w:t>σε</w:t>
      </w:r>
      <w:r w:rsidR="00403DE3" w:rsidRPr="000F5589">
        <w:rPr>
          <w:color w:val="021142"/>
          <w:spacing w:val="-1"/>
          <w:lang w:val="el-GR"/>
        </w:rPr>
        <w:t xml:space="preserve"> </w:t>
      </w:r>
      <w:r w:rsidR="00A37331">
        <w:rPr>
          <w:color w:val="021142"/>
          <w:spacing w:val="-1"/>
          <w:lang w:val="el-GR"/>
        </w:rPr>
        <w:t>59</w:t>
      </w:r>
      <w:r w:rsidR="005F2727" w:rsidRPr="000F5589">
        <w:rPr>
          <w:color w:val="021142"/>
          <w:spacing w:val="-2"/>
          <w:vertAlign w:val="superscript"/>
          <w:lang w:val="el-GR"/>
        </w:rPr>
        <w:t xml:space="preserve"> </w:t>
      </w:r>
      <w:r w:rsidRPr="000F5589">
        <w:rPr>
          <w:color w:val="021142"/>
          <w:lang w:val="el-GR"/>
        </w:rPr>
        <w:t>μονάδες</w:t>
      </w:r>
      <w:r w:rsidRPr="000F5589">
        <w:rPr>
          <w:color w:val="021142"/>
          <w:spacing w:val="-1"/>
          <w:lang w:val="el-GR"/>
        </w:rPr>
        <w:t xml:space="preserve"> </w:t>
      </w:r>
      <w:r w:rsidRPr="000F5589">
        <w:rPr>
          <w:color w:val="021142"/>
          <w:lang w:val="el-GR"/>
        </w:rPr>
        <w:t>βάσης</w:t>
      </w:r>
      <w:r w:rsidRPr="000F5589">
        <w:rPr>
          <w:color w:val="021142"/>
          <w:spacing w:val="-1"/>
          <w:lang w:val="el-GR"/>
        </w:rPr>
        <w:t xml:space="preserve"> </w:t>
      </w:r>
      <w:r w:rsidRPr="000F5589">
        <w:rPr>
          <w:color w:val="021142"/>
          <w:lang w:val="el-GR"/>
        </w:rPr>
        <w:t>επί</w:t>
      </w:r>
      <w:r w:rsidRPr="000F5589">
        <w:rPr>
          <w:color w:val="021142"/>
          <w:spacing w:val="-1"/>
          <w:lang w:val="el-GR"/>
        </w:rPr>
        <w:t xml:space="preserve"> </w:t>
      </w:r>
      <w:r w:rsidRPr="000F5589">
        <w:rPr>
          <w:color w:val="021142"/>
          <w:lang w:val="el-GR"/>
        </w:rPr>
        <w:t>των μέσων</w:t>
      </w:r>
      <w:r w:rsidRPr="000F5589">
        <w:rPr>
          <w:color w:val="021142"/>
          <w:spacing w:val="-1"/>
          <w:lang w:val="el-GR"/>
        </w:rPr>
        <w:t xml:space="preserve"> </w:t>
      </w:r>
      <w:r w:rsidRPr="000F5589">
        <w:rPr>
          <w:color w:val="021142"/>
          <w:lang w:val="el-GR"/>
        </w:rPr>
        <w:t>χορηγήσεων</w:t>
      </w:r>
      <w:r w:rsidR="005F2727" w:rsidRPr="000F5589">
        <w:rPr>
          <w:color w:val="021142"/>
          <w:lang w:val="el-GR"/>
        </w:rPr>
        <w:t xml:space="preserve">. </w:t>
      </w:r>
    </w:p>
    <w:p w14:paraId="4A200206" w14:textId="77777777" w:rsidR="00403DE3" w:rsidRPr="00403DE3" w:rsidRDefault="00403DE3" w:rsidP="000F5589">
      <w:pPr>
        <w:pStyle w:val="ListParagraph"/>
        <w:ind w:left="-560" w:right="397"/>
        <w:rPr>
          <w:color w:val="021142"/>
          <w:lang w:val="el-GR"/>
        </w:rPr>
      </w:pPr>
    </w:p>
    <w:p w14:paraId="48FA718D" w14:textId="54CA7979" w:rsidR="00403B1C" w:rsidRPr="00476CA9" w:rsidRDefault="00A37331" w:rsidP="000F5589">
      <w:pPr>
        <w:pStyle w:val="ListParagraph"/>
        <w:numPr>
          <w:ilvl w:val="0"/>
          <w:numId w:val="14"/>
        </w:numPr>
        <w:tabs>
          <w:tab w:val="left" w:pos="660"/>
        </w:tabs>
        <w:spacing w:line="242" w:lineRule="auto"/>
        <w:ind w:right="397"/>
        <w:rPr>
          <w:lang w:val="el-GR"/>
        </w:rPr>
      </w:pPr>
      <w:r w:rsidRPr="00476CA9">
        <w:rPr>
          <w:color w:val="021142"/>
          <w:lang w:val="el-GR"/>
        </w:rPr>
        <w:t>Τ</w:t>
      </w:r>
      <w:r w:rsidR="00403DE3" w:rsidRPr="00476CA9">
        <w:rPr>
          <w:color w:val="021142"/>
          <w:lang w:val="el-GR"/>
        </w:rPr>
        <w:t xml:space="preserve">α </w:t>
      </w:r>
      <w:r w:rsidR="00403DE3" w:rsidRPr="00476CA9">
        <w:rPr>
          <w:b/>
          <w:color w:val="021142"/>
          <w:lang w:val="el-GR"/>
        </w:rPr>
        <w:t>οργανικά λειτουργικά κέρδη</w:t>
      </w:r>
      <w:r w:rsidR="00ED228D" w:rsidRPr="00476CA9">
        <w:rPr>
          <w:b/>
          <w:color w:val="021142"/>
          <w:lang w:val="el-GR"/>
        </w:rPr>
        <w:t xml:space="preserve"> προ φόρων</w:t>
      </w:r>
      <w:r w:rsidR="00403DE3" w:rsidRPr="00476CA9">
        <w:rPr>
          <w:color w:val="021142"/>
          <w:lang w:val="el-GR"/>
        </w:rPr>
        <w:t xml:space="preserve"> </w:t>
      </w:r>
      <w:r w:rsidR="003C4DCE" w:rsidRPr="00476CA9">
        <w:rPr>
          <w:color w:val="021142"/>
          <w:lang w:val="el-GR"/>
        </w:rPr>
        <w:t xml:space="preserve">μειώθηκαν σε </w:t>
      </w:r>
      <w:r w:rsidR="0012420A" w:rsidRPr="00476CA9">
        <w:rPr>
          <w:color w:val="021142"/>
          <w:lang w:val="el-GR"/>
        </w:rPr>
        <w:t xml:space="preserve">ετήσια βάση </w:t>
      </w:r>
      <w:r w:rsidR="003D46C2" w:rsidRPr="00476CA9">
        <w:rPr>
          <w:color w:val="021142"/>
          <w:lang w:val="el-GR"/>
        </w:rPr>
        <w:t xml:space="preserve">κατά </w:t>
      </w:r>
      <w:r w:rsidR="00EA0025" w:rsidRPr="00476CA9">
        <w:rPr>
          <w:color w:val="021142"/>
          <w:lang w:val="el-GR"/>
        </w:rPr>
        <w:t>1</w:t>
      </w:r>
      <w:r w:rsidR="007E54FF" w:rsidRPr="00476CA9">
        <w:rPr>
          <w:color w:val="021142"/>
          <w:lang w:val="el-GR"/>
        </w:rPr>
        <w:t>,</w:t>
      </w:r>
      <w:r w:rsidR="00EA0025" w:rsidRPr="00476CA9">
        <w:rPr>
          <w:color w:val="021142"/>
          <w:lang w:val="el-GR"/>
        </w:rPr>
        <w:t>6</w:t>
      </w:r>
      <w:r w:rsidR="003D46C2" w:rsidRPr="00476CA9">
        <w:rPr>
          <w:color w:val="021142"/>
          <w:lang w:val="el-GR"/>
        </w:rPr>
        <w:t>%</w:t>
      </w:r>
      <w:r w:rsidR="00351A8D" w:rsidRPr="00476CA9">
        <w:rPr>
          <w:color w:val="021142"/>
          <w:lang w:val="el-GR"/>
        </w:rPr>
        <w:t xml:space="preserve"> </w:t>
      </w:r>
      <w:r w:rsidR="00A73A65" w:rsidRPr="00476CA9">
        <w:rPr>
          <w:color w:val="021142"/>
          <w:lang w:val="el-GR"/>
        </w:rPr>
        <w:t xml:space="preserve">σε </w:t>
      </w:r>
      <w:r w:rsidR="00A73A65" w:rsidRPr="00CF5FAF">
        <w:rPr>
          <w:color w:val="021142"/>
          <w:lang w:val="el-GR"/>
        </w:rPr>
        <w:t>€</w:t>
      </w:r>
      <w:r w:rsidR="003C4DCE" w:rsidRPr="00CF5FAF">
        <w:rPr>
          <w:color w:val="021142"/>
          <w:lang w:val="el-GR"/>
        </w:rPr>
        <w:t>1.</w:t>
      </w:r>
      <w:r w:rsidR="009F006B" w:rsidRPr="00CF5FAF">
        <w:rPr>
          <w:color w:val="021142"/>
          <w:lang w:val="el-GR"/>
        </w:rPr>
        <w:t>75</w:t>
      </w:r>
      <w:r w:rsidR="00476CA9" w:rsidRPr="00CF5FAF">
        <w:rPr>
          <w:color w:val="021142"/>
          <w:lang w:val="el-GR"/>
        </w:rPr>
        <w:t>3</w:t>
      </w:r>
      <w:r w:rsidR="00A73A65" w:rsidRPr="00CF5FAF">
        <w:rPr>
          <w:color w:val="021142"/>
          <w:lang w:val="el-GR"/>
        </w:rPr>
        <w:t>εκ</w:t>
      </w:r>
      <w:r w:rsidR="00A73A65" w:rsidRPr="00476CA9">
        <w:rPr>
          <w:color w:val="021142"/>
          <w:lang w:val="el-GR"/>
        </w:rPr>
        <w:t>.</w:t>
      </w:r>
      <w:r w:rsidR="00AD439D" w:rsidRPr="00476CA9">
        <w:rPr>
          <w:color w:val="021142"/>
          <w:lang w:val="el-GR"/>
        </w:rPr>
        <w:t xml:space="preserve"> </w:t>
      </w:r>
    </w:p>
    <w:p w14:paraId="4AE3121A" w14:textId="77777777" w:rsidR="00403B1C" w:rsidRPr="00403B1C" w:rsidRDefault="00403B1C" w:rsidP="000F5589">
      <w:pPr>
        <w:pStyle w:val="ListParagraph"/>
        <w:ind w:left="-560"/>
        <w:rPr>
          <w:color w:val="021142"/>
          <w:lang w:val="el-GR"/>
        </w:rPr>
      </w:pPr>
    </w:p>
    <w:p w14:paraId="043A4E29" w14:textId="11A2F320" w:rsidR="00403DE3" w:rsidRPr="0047723F" w:rsidRDefault="00403B1C" w:rsidP="0047723F">
      <w:pPr>
        <w:pStyle w:val="ListParagraph"/>
        <w:numPr>
          <w:ilvl w:val="0"/>
          <w:numId w:val="14"/>
        </w:numPr>
        <w:tabs>
          <w:tab w:val="left" w:pos="660"/>
        </w:tabs>
        <w:spacing w:line="242" w:lineRule="auto"/>
        <w:ind w:right="397"/>
        <w:rPr>
          <w:color w:val="021142"/>
          <w:lang w:val="el-GR"/>
        </w:rPr>
      </w:pPr>
      <w:r w:rsidRPr="000F5589">
        <w:rPr>
          <w:b/>
          <w:bCs/>
          <w:color w:val="021142"/>
          <w:lang w:val="el-GR"/>
        </w:rPr>
        <w:t xml:space="preserve">Τα προσαρμοσμένα </w:t>
      </w:r>
      <w:r w:rsidR="00351A8D" w:rsidRPr="000F5589">
        <w:rPr>
          <w:b/>
          <w:bCs/>
          <w:color w:val="021142"/>
          <w:lang w:val="el-GR"/>
        </w:rPr>
        <w:t xml:space="preserve">καθαρά </w:t>
      </w:r>
      <w:r w:rsidRPr="000F5589">
        <w:rPr>
          <w:b/>
          <w:bCs/>
          <w:color w:val="021142"/>
          <w:lang w:val="el-GR"/>
        </w:rPr>
        <w:t xml:space="preserve">κέρδη </w:t>
      </w:r>
      <w:r w:rsidR="00A73A65" w:rsidRPr="00A73A65">
        <w:rPr>
          <w:color w:val="021142"/>
          <w:lang w:val="el-GR"/>
        </w:rPr>
        <w:t xml:space="preserve">διαμορφώθηκαν </w:t>
      </w:r>
      <w:r w:rsidR="00A73A65">
        <w:rPr>
          <w:color w:val="021142"/>
          <w:lang w:val="el-GR"/>
        </w:rPr>
        <w:t xml:space="preserve">σε </w:t>
      </w:r>
      <w:r w:rsidR="00A73A65" w:rsidRPr="000F5589">
        <w:rPr>
          <w:color w:val="021142"/>
          <w:lang w:val="el-GR"/>
        </w:rPr>
        <w:t>€</w:t>
      </w:r>
      <w:r w:rsidR="00E3688A">
        <w:rPr>
          <w:color w:val="021142"/>
          <w:lang w:val="el-GR"/>
        </w:rPr>
        <w:t>1.</w:t>
      </w:r>
      <w:r w:rsidR="00F159DB" w:rsidRPr="005E2BE9">
        <w:rPr>
          <w:color w:val="021142"/>
          <w:lang w:val="el-GR"/>
        </w:rPr>
        <w:t>412</w:t>
      </w:r>
      <w:r w:rsidR="00A73A65">
        <w:rPr>
          <w:color w:val="021142"/>
          <w:lang w:val="el-GR"/>
        </w:rPr>
        <w:t>εκ</w:t>
      </w:r>
      <w:r w:rsidR="00A73A65" w:rsidRPr="000F5589">
        <w:rPr>
          <w:color w:val="021142"/>
          <w:lang w:val="el-GR"/>
        </w:rPr>
        <w:t>.</w:t>
      </w:r>
      <w:r w:rsidR="00623A6B" w:rsidRPr="00950E8F">
        <w:rPr>
          <w:color w:val="021142"/>
          <w:lang w:val="el-GR"/>
        </w:rPr>
        <w:t xml:space="preserve">, </w:t>
      </w:r>
      <w:r w:rsidR="00A73A65">
        <w:rPr>
          <w:color w:val="021142"/>
          <w:lang w:val="el-GR"/>
        </w:rPr>
        <w:t xml:space="preserve">μειωμένα </w:t>
      </w:r>
      <w:r w:rsidR="00351A8D">
        <w:rPr>
          <w:color w:val="021142"/>
          <w:lang w:val="el-GR"/>
        </w:rPr>
        <w:t xml:space="preserve">κατά </w:t>
      </w:r>
      <w:r w:rsidR="00F159DB" w:rsidRPr="005E2BE9">
        <w:rPr>
          <w:color w:val="021142"/>
          <w:lang w:val="el-GR"/>
        </w:rPr>
        <w:t>4</w:t>
      </w:r>
      <w:r w:rsidR="007E54FF">
        <w:rPr>
          <w:color w:val="021142"/>
          <w:lang w:val="el-GR"/>
        </w:rPr>
        <w:t>,</w:t>
      </w:r>
      <w:r w:rsidR="00F159DB" w:rsidRPr="005E2BE9">
        <w:rPr>
          <w:color w:val="021142"/>
          <w:lang w:val="el-GR"/>
        </w:rPr>
        <w:t>9</w:t>
      </w:r>
      <w:r w:rsidR="00351A8D">
        <w:rPr>
          <w:color w:val="021142"/>
          <w:lang w:val="el-GR"/>
        </w:rPr>
        <w:t xml:space="preserve">% </w:t>
      </w:r>
      <w:r w:rsidR="00623A6B">
        <w:rPr>
          <w:color w:val="021142"/>
          <w:lang w:val="el-GR"/>
        </w:rPr>
        <w:t>σε ετήσια βάση</w:t>
      </w:r>
      <w:r w:rsidR="00623A6B" w:rsidRPr="00950E8F">
        <w:rPr>
          <w:color w:val="021142"/>
          <w:lang w:val="el-GR"/>
        </w:rPr>
        <w:t>.</w:t>
      </w:r>
      <w:r w:rsidR="00623A6B">
        <w:rPr>
          <w:color w:val="021142"/>
          <w:lang w:val="el-GR"/>
        </w:rPr>
        <w:t xml:space="preserve"> </w:t>
      </w:r>
      <w:r w:rsidR="00FB6AC1">
        <w:rPr>
          <w:color w:val="021142"/>
          <w:lang w:val="el-GR"/>
        </w:rPr>
        <w:t xml:space="preserve">Τα </w:t>
      </w:r>
      <w:r w:rsidR="00FB6AC1" w:rsidRPr="0047723F">
        <w:rPr>
          <w:b/>
          <w:bCs/>
          <w:color w:val="021142"/>
          <w:lang w:val="el-GR"/>
        </w:rPr>
        <w:t>συνολικά καθαρά κέρδη</w:t>
      </w:r>
      <w:r w:rsidR="00FB6AC1">
        <w:rPr>
          <w:color w:val="021142"/>
          <w:lang w:val="el-GR"/>
        </w:rPr>
        <w:t xml:space="preserve"> </w:t>
      </w:r>
      <w:r w:rsidR="007E54FF">
        <w:rPr>
          <w:color w:val="021142"/>
          <w:lang w:val="el-GR"/>
        </w:rPr>
        <w:t xml:space="preserve">μειώθηκαν </w:t>
      </w:r>
      <w:r w:rsidR="00A73A65" w:rsidRPr="002A002D">
        <w:rPr>
          <w:color w:val="021142"/>
          <w:lang w:val="el-GR"/>
        </w:rPr>
        <w:t xml:space="preserve">σε </w:t>
      </w:r>
      <w:r w:rsidR="00A73A65" w:rsidRPr="00CF5FAF">
        <w:rPr>
          <w:color w:val="021142"/>
          <w:lang w:val="el-GR"/>
        </w:rPr>
        <w:t>€</w:t>
      </w:r>
      <w:r w:rsidR="00B1097C" w:rsidRPr="00CF5FAF">
        <w:rPr>
          <w:color w:val="021142"/>
          <w:lang w:val="el-GR"/>
        </w:rPr>
        <w:t>1.</w:t>
      </w:r>
      <w:r w:rsidR="001E7493" w:rsidRPr="00CF5FAF">
        <w:rPr>
          <w:color w:val="021142"/>
          <w:lang w:val="el-GR"/>
        </w:rPr>
        <w:t>36</w:t>
      </w:r>
      <w:r w:rsidR="00F91EB7" w:rsidRPr="00F91EB7">
        <w:rPr>
          <w:color w:val="021142"/>
          <w:lang w:val="el-GR"/>
        </w:rPr>
        <w:t>2</w:t>
      </w:r>
      <w:r w:rsidR="001E7493" w:rsidRPr="00CF5FAF">
        <w:rPr>
          <w:color w:val="021142"/>
          <w:lang w:val="el-GR"/>
        </w:rPr>
        <w:t>εκ.</w:t>
      </w:r>
      <w:r w:rsidR="00811F15">
        <w:rPr>
          <w:color w:val="021142"/>
          <w:lang w:val="el-GR"/>
        </w:rPr>
        <w:t xml:space="preserve"> και συμπεριλαμβάνουν</w:t>
      </w:r>
      <w:r w:rsidR="00B1097C">
        <w:rPr>
          <w:color w:val="021142"/>
          <w:lang w:val="el-GR"/>
        </w:rPr>
        <w:t xml:space="preserve">, μεταξύ άλλων, </w:t>
      </w:r>
      <w:r w:rsidR="00811F15">
        <w:rPr>
          <w:color w:val="021142"/>
          <w:lang w:val="el-GR"/>
        </w:rPr>
        <w:t xml:space="preserve">το κόστος εθελούσιας εξόδου </w:t>
      </w:r>
      <w:r w:rsidR="000B2486">
        <w:rPr>
          <w:color w:val="021142"/>
          <w:lang w:val="el-GR"/>
        </w:rPr>
        <w:t>ύψους</w:t>
      </w:r>
      <w:r w:rsidR="00811F15">
        <w:rPr>
          <w:color w:val="021142"/>
          <w:lang w:val="el-GR"/>
        </w:rPr>
        <w:t xml:space="preserve"> </w:t>
      </w:r>
      <w:r w:rsidR="00811F15" w:rsidRPr="000F5589">
        <w:rPr>
          <w:color w:val="021142"/>
          <w:lang w:val="el-GR"/>
        </w:rPr>
        <w:t>€</w:t>
      </w:r>
      <w:r w:rsidR="002C14DC">
        <w:rPr>
          <w:color w:val="021142"/>
          <w:lang w:val="el-GR"/>
        </w:rPr>
        <w:t>2</w:t>
      </w:r>
      <w:r w:rsidR="00132310" w:rsidRPr="001118F2">
        <w:rPr>
          <w:color w:val="021142"/>
          <w:lang w:val="el-GR"/>
        </w:rPr>
        <w:t>7</w:t>
      </w:r>
      <w:r w:rsidR="002C14DC">
        <w:rPr>
          <w:color w:val="021142"/>
          <w:lang w:val="el-GR"/>
        </w:rPr>
        <w:t>εκ</w:t>
      </w:r>
      <w:r w:rsidR="00811F15" w:rsidRPr="000F5589">
        <w:rPr>
          <w:color w:val="021142"/>
          <w:lang w:val="el-GR"/>
        </w:rPr>
        <w:t>.</w:t>
      </w:r>
      <w:r w:rsidR="00811F15">
        <w:rPr>
          <w:color w:val="021142"/>
          <w:lang w:val="el-GR"/>
        </w:rPr>
        <w:t xml:space="preserve"> στην Ελληνική Τράπεζα</w:t>
      </w:r>
      <w:r w:rsidR="00B1097C">
        <w:rPr>
          <w:color w:val="021142"/>
          <w:lang w:val="el-GR"/>
        </w:rPr>
        <w:t xml:space="preserve">, </w:t>
      </w:r>
      <w:r w:rsidR="00811F15">
        <w:rPr>
          <w:color w:val="021142"/>
          <w:lang w:val="el-GR"/>
        </w:rPr>
        <w:t xml:space="preserve">την αρνητική υπεραξία ύψους </w:t>
      </w:r>
      <w:r w:rsidR="000B2486" w:rsidRPr="000F5589">
        <w:rPr>
          <w:color w:val="021142"/>
          <w:lang w:val="el-GR"/>
        </w:rPr>
        <w:t>€</w:t>
      </w:r>
      <w:r w:rsidR="00B1097C">
        <w:rPr>
          <w:color w:val="021142"/>
          <w:lang w:val="el-GR"/>
        </w:rPr>
        <w:t>5</w:t>
      </w:r>
      <w:r w:rsidR="000B2486">
        <w:rPr>
          <w:color w:val="021142"/>
          <w:lang w:val="el-GR"/>
        </w:rPr>
        <w:t>8εκ</w:t>
      </w:r>
      <w:r w:rsidR="000B2486" w:rsidRPr="000F5589">
        <w:rPr>
          <w:color w:val="021142"/>
          <w:lang w:val="el-GR"/>
        </w:rPr>
        <w:t>.</w:t>
      </w:r>
      <w:r w:rsidR="000B2486">
        <w:rPr>
          <w:color w:val="021142"/>
          <w:lang w:val="el-GR"/>
        </w:rPr>
        <w:t xml:space="preserve"> </w:t>
      </w:r>
      <w:r w:rsidR="00796416">
        <w:rPr>
          <w:color w:val="021142"/>
          <w:lang w:val="el-GR"/>
        </w:rPr>
        <w:t xml:space="preserve">από </w:t>
      </w:r>
      <w:r w:rsidR="000B2486">
        <w:rPr>
          <w:color w:val="021142"/>
          <w:lang w:val="el-GR"/>
        </w:rPr>
        <w:t xml:space="preserve">την εξαγορά της </w:t>
      </w:r>
      <w:r w:rsidR="000B2486">
        <w:rPr>
          <w:color w:val="021142"/>
          <w:lang w:val="en-GB"/>
        </w:rPr>
        <w:t>CNP</w:t>
      </w:r>
      <w:r w:rsidR="000B2486" w:rsidRPr="00950E8F">
        <w:rPr>
          <w:color w:val="021142"/>
          <w:lang w:val="el-GR"/>
        </w:rPr>
        <w:t xml:space="preserve"> </w:t>
      </w:r>
      <w:r w:rsidR="00064144">
        <w:rPr>
          <w:color w:val="021142"/>
          <w:lang w:val="en-GB"/>
        </w:rPr>
        <w:t>Cyprus</w:t>
      </w:r>
      <w:r w:rsidR="00064144" w:rsidRPr="00050896">
        <w:rPr>
          <w:color w:val="021142"/>
          <w:lang w:val="el-GR"/>
        </w:rPr>
        <w:t xml:space="preserve"> </w:t>
      </w:r>
      <w:r w:rsidR="000B2486">
        <w:rPr>
          <w:color w:val="021142"/>
          <w:lang w:val="en-GB"/>
        </w:rPr>
        <w:t>Insurance</w:t>
      </w:r>
      <w:r w:rsidR="00B1097C">
        <w:rPr>
          <w:color w:val="021142"/>
          <w:lang w:val="el-GR"/>
        </w:rPr>
        <w:t xml:space="preserve"> και </w:t>
      </w:r>
      <w:r w:rsidR="005D1C26">
        <w:rPr>
          <w:color w:val="021142"/>
          <w:lang w:val="el-GR"/>
        </w:rPr>
        <w:t>εισφορά σε κυβερνητικά έργα ύψους €19εκ.</w:t>
      </w:r>
      <w:r w:rsidR="00A73A65">
        <w:rPr>
          <w:color w:val="021142"/>
          <w:lang w:val="el-GR"/>
        </w:rPr>
        <w:t xml:space="preserve"> </w:t>
      </w:r>
      <w:r w:rsidR="00AD439D">
        <w:rPr>
          <w:color w:val="021142"/>
          <w:lang w:val="el-GR"/>
        </w:rPr>
        <w:t xml:space="preserve">Τα </w:t>
      </w:r>
      <w:r w:rsidR="00AD439D" w:rsidRPr="00971A4C">
        <w:rPr>
          <w:b/>
          <w:bCs/>
          <w:color w:val="021142"/>
          <w:lang w:val="el-GR"/>
        </w:rPr>
        <w:t>κέρδη ανά μετοχή</w:t>
      </w:r>
      <w:r w:rsidR="00AD439D">
        <w:rPr>
          <w:color w:val="021142"/>
          <w:lang w:val="el-GR"/>
        </w:rPr>
        <w:t xml:space="preserve"> </w:t>
      </w:r>
      <w:r w:rsidR="00FB6AC1">
        <w:rPr>
          <w:color w:val="021142"/>
          <w:lang w:val="el-GR"/>
        </w:rPr>
        <w:t xml:space="preserve">και η </w:t>
      </w:r>
      <w:r w:rsidR="00FB6AC1" w:rsidRPr="004D1E8A">
        <w:rPr>
          <w:b/>
          <w:bCs/>
          <w:color w:val="021142"/>
          <w:lang w:val="el-GR"/>
        </w:rPr>
        <w:t>απόδοση των ενσώματων ιδίων κεφαλαίων</w:t>
      </w:r>
      <w:r w:rsidR="00FB6AC1" w:rsidRPr="00AF3914">
        <w:rPr>
          <w:color w:val="021142"/>
          <w:vertAlign w:val="superscript"/>
          <w:lang w:val="el-GR"/>
        </w:rPr>
        <w:t xml:space="preserve"> </w:t>
      </w:r>
      <w:r w:rsidR="00541A0B">
        <w:rPr>
          <w:color w:val="021142"/>
          <w:lang w:val="el-GR"/>
        </w:rPr>
        <w:t>διαμορφώθηκαν</w:t>
      </w:r>
      <w:r w:rsidR="00AD439D">
        <w:rPr>
          <w:color w:val="021142"/>
          <w:lang w:val="el-GR"/>
        </w:rPr>
        <w:t xml:space="preserve"> </w:t>
      </w:r>
      <w:r w:rsidR="00AD439D" w:rsidRPr="00B66B55">
        <w:rPr>
          <w:color w:val="021142"/>
          <w:lang w:val="el-GR"/>
        </w:rPr>
        <w:t>σε €</w:t>
      </w:r>
      <w:r w:rsidR="007E54FF">
        <w:rPr>
          <w:color w:val="021142"/>
          <w:lang w:val="el-GR"/>
        </w:rPr>
        <w:t>0,</w:t>
      </w:r>
      <w:r w:rsidR="009B3829" w:rsidRPr="005E2BE9">
        <w:rPr>
          <w:color w:val="021142"/>
          <w:lang w:val="el-GR"/>
        </w:rPr>
        <w:t>3</w:t>
      </w:r>
      <w:r w:rsidR="00C2040A">
        <w:rPr>
          <w:color w:val="021142"/>
          <w:lang w:val="el-GR"/>
        </w:rPr>
        <w:t>7</w:t>
      </w:r>
      <w:r w:rsidR="00A71C1B" w:rsidRPr="00CD0CB8">
        <w:rPr>
          <w:color w:val="021142"/>
          <w:vertAlign w:val="superscript"/>
          <w:lang w:val="el-GR"/>
        </w:rPr>
        <w:t xml:space="preserve"> </w:t>
      </w:r>
      <w:r w:rsidR="00AD439D" w:rsidRPr="00CD0CB8">
        <w:rPr>
          <w:color w:val="021142"/>
          <w:lang w:val="el-GR"/>
        </w:rPr>
        <w:t>και</w:t>
      </w:r>
      <w:r w:rsidR="00AD439D" w:rsidRPr="00D615CE">
        <w:rPr>
          <w:color w:val="021142"/>
          <w:lang w:val="el-GR"/>
        </w:rPr>
        <w:t xml:space="preserve"> </w:t>
      </w:r>
      <w:r w:rsidR="007E54FF">
        <w:rPr>
          <w:color w:val="021142"/>
          <w:lang w:val="el-GR"/>
        </w:rPr>
        <w:t>16,</w:t>
      </w:r>
      <w:r w:rsidR="009B3829" w:rsidRPr="005E2BE9">
        <w:rPr>
          <w:color w:val="021142"/>
          <w:lang w:val="el-GR"/>
        </w:rPr>
        <w:t>0</w:t>
      </w:r>
      <w:r w:rsidR="00AD439D" w:rsidRPr="00D615CE">
        <w:rPr>
          <w:color w:val="021142"/>
          <w:lang w:val="el-GR"/>
        </w:rPr>
        <w:t>%</w:t>
      </w:r>
      <w:r w:rsidR="00FB6AC1" w:rsidRPr="00D615CE">
        <w:rPr>
          <w:color w:val="021142"/>
          <w:lang w:val="el-GR"/>
        </w:rPr>
        <w:t xml:space="preserve"> αντίστοιχα</w:t>
      </w:r>
      <w:r w:rsidR="00623A6B" w:rsidRPr="00950E8F">
        <w:rPr>
          <w:color w:val="021142"/>
          <w:lang w:val="el-GR"/>
        </w:rPr>
        <w:t xml:space="preserve">. </w:t>
      </w:r>
      <w:r w:rsidR="006F7B76" w:rsidRPr="006F7B76">
        <w:rPr>
          <w:color w:val="021142"/>
          <w:lang w:val="el-GR"/>
        </w:rPr>
        <w:t xml:space="preserve"> </w:t>
      </w:r>
    </w:p>
    <w:p w14:paraId="4BD51EC9" w14:textId="77777777" w:rsidR="00403B1C" w:rsidRPr="00403B1C" w:rsidRDefault="00403B1C" w:rsidP="000F5589">
      <w:pPr>
        <w:tabs>
          <w:tab w:val="left" w:pos="660"/>
        </w:tabs>
        <w:spacing w:line="242" w:lineRule="auto"/>
        <w:ind w:right="397"/>
        <w:rPr>
          <w:lang w:val="el-GR"/>
        </w:rPr>
      </w:pPr>
    </w:p>
    <w:p w14:paraId="4A0ADF15" w14:textId="2DF2F1B9" w:rsidR="00026243" w:rsidRPr="00950E8F" w:rsidRDefault="00DB5F2D" w:rsidP="000841E4">
      <w:pPr>
        <w:pStyle w:val="ListParagraph"/>
        <w:numPr>
          <w:ilvl w:val="0"/>
          <w:numId w:val="14"/>
        </w:numPr>
        <w:tabs>
          <w:tab w:val="left" w:pos="660"/>
        </w:tabs>
        <w:spacing w:line="242" w:lineRule="auto"/>
        <w:ind w:right="397"/>
        <w:rPr>
          <w:color w:val="021142"/>
          <w:lang w:val="el-GR"/>
        </w:rPr>
      </w:pPr>
      <w:r>
        <w:rPr>
          <w:color w:val="021142"/>
          <w:lang w:val="en-GB"/>
        </w:rPr>
        <w:t>T</w:t>
      </w:r>
      <w:r w:rsidR="005511E3" w:rsidRPr="000F5589">
        <w:rPr>
          <w:color w:val="021142"/>
          <w:lang w:val="el-GR"/>
        </w:rPr>
        <w:t>α</w:t>
      </w:r>
      <w:r w:rsidR="005511E3" w:rsidRPr="00950E8F">
        <w:rPr>
          <w:color w:val="021142"/>
          <w:lang w:val="el-GR"/>
        </w:rPr>
        <w:t xml:space="preserve"> </w:t>
      </w:r>
      <w:r w:rsidR="005511E3" w:rsidRPr="003570AB">
        <w:rPr>
          <w:b/>
          <w:bCs/>
          <w:color w:val="021142"/>
          <w:lang w:val="el-GR"/>
        </w:rPr>
        <w:t>προσαρμοσμένα</w:t>
      </w:r>
      <w:r w:rsidR="005511E3" w:rsidRPr="00950E8F">
        <w:rPr>
          <w:b/>
          <w:bCs/>
          <w:color w:val="021142"/>
          <w:lang w:val="el-GR"/>
        </w:rPr>
        <w:t xml:space="preserve"> </w:t>
      </w:r>
      <w:r w:rsidR="005511E3" w:rsidRPr="003570AB">
        <w:rPr>
          <w:b/>
          <w:bCs/>
          <w:color w:val="021142"/>
          <w:lang w:val="el-GR"/>
        </w:rPr>
        <w:t>καθαρά</w:t>
      </w:r>
      <w:r w:rsidR="005511E3" w:rsidRPr="00950E8F">
        <w:rPr>
          <w:b/>
          <w:bCs/>
          <w:color w:val="021142"/>
          <w:lang w:val="el-GR"/>
        </w:rPr>
        <w:t xml:space="preserve"> </w:t>
      </w:r>
      <w:r w:rsidR="005511E3" w:rsidRPr="003570AB">
        <w:rPr>
          <w:b/>
          <w:bCs/>
          <w:color w:val="021142"/>
          <w:lang w:val="el-GR"/>
        </w:rPr>
        <w:t>κέρδη</w:t>
      </w:r>
      <w:r w:rsidR="005511E3" w:rsidRPr="00950E8F">
        <w:rPr>
          <w:color w:val="021142"/>
          <w:lang w:val="el-GR"/>
        </w:rPr>
        <w:t xml:space="preserve"> </w:t>
      </w:r>
      <w:r>
        <w:rPr>
          <w:color w:val="021142"/>
          <w:lang w:val="el-GR"/>
        </w:rPr>
        <w:t>των δραστηριοτήτων στο εξωτερικό αυ</w:t>
      </w:r>
      <w:r w:rsidR="00F56300">
        <w:rPr>
          <w:color w:val="021142"/>
          <w:lang w:val="el-GR"/>
        </w:rPr>
        <w:t xml:space="preserve">ξήθηκαν σε </w:t>
      </w:r>
      <w:r w:rsidR="00C16609" w:rsidRPr="00950E8F">
        <w:rPr>
          <w:color w:val="021142"/>
          <w:lang w:val="el-GR"/>
        </w:rPr>
        <w:t xml:space="preserve">ετήσια βάση </w:t>
      </w:r>
      <w:r w:rsidR="00814997" w:rsidRPr="00950E8F">
        <w:rPr>
          <w:color w:val="021142"/>
          <w:lang w:val="el-GR"/>
        </w:rPr>
        <w:t xml:space="preserve">κατά </w:t>
      </w:r>
      <w:r w:rsidR="00F56300">
        <w:rPr>
          <w:color w:val="021142"/>
          <w:lang w:val="el-GR"/>
        </w:rPr>
        <w:t>4</w:t>
      </w:r>
      <w:r w:rsidR="00811F15" w:rsidRPr="00950E8F">
        <w:rPr>
          <w:color w:val="021142"/>
          <w:lang w:val="el-GR"/>
        </w:rPr>
        <w:t>,</w:t>
      </w:r>
      <w:r w:rsidR="00F56300">
        <w:rPr>
          <w:color w:val="021142"/>
          <w:lang w:val="el-GR"/>
        </w:rPr>
        <w:t>5</w:t>
      </w:r>
      <w:r w:rsidR="00814997" w:rsidRPr="00950E8F">
        <w:rPr>
          <w:color w:val="021142"/>
          <w:lang w:val="el-GR"/>
        </w:rPr>
        <w:t>%</w:t>
      </w:r>
      <w:r w:rsidR="00020F0D" w:rsidRPr="00950E8F">
        <w:rPr>
          <w:color w:val="021142"/>
          <w:lang w:val="el-GR"/>
        </w:rPr>
        <w:t xml:space="preserve"> </w:t>
      </w:r>
      <w:r w:rsidR="005511E3" w:rsidRPr="00950E8F">
        <w:rPr>
          <w:color w:val="021142"/>
          <w:lang w:val="el-GR"/>
        </w:rPr>
        <w:t xml:space="preserve">σε </w:t>
      </w:r>
      <w:r w:rsidR="00D576A5" w:rsidRPr="00950E8F">
        <w:rPr>
          <w:color w:val="021142"/>
          <w:lang w:val="el-GR"/>
        </w:rPr>
        <w:t>€</w:t>
      </w:r>
      <w:r w:rsidR="00EE4BCE">
        <w:rPr>
          <w:color w:val="021142"/>
          <w:lang w:val="el-GR"/>
        </w:rPr>
        <w:t>741</w:t>
      </w:r>
      <w:r w:rsidR="005511E3" w:rsidRPr="00950E8F">
        <w:rPr>
          <w:color w:val="021142"/>
          <w:lang w:val="el-GR"/>
        </w:rPr>
        <w:t>εκ</w:t>
      </w:r>
      <w:r w:rsidR="006A61D8" w:rsidRPr="00950E8F">
        <w:rPr>
          <w:color w:val="021142"/>
          <w:lang w:val="el-GR"/>
        </w:rPr>
        <w:t>.</w:t>
      </w:r>
      <w:r w:rsidR="006A613B" w:rsidRPr="00950E8F">
        <w:rPr>
          <w:color w:val="021142"/>
          <w:lang w:val="el-GR"/>
        </w:rPr>
        <w:t xml:space="preserve"> </w:t>
      </w:r>
      <w:r w:rsidR="00EE4BCE">
        <w:rPr>
          <w:color w:val="021142"/>
          <w:lang w:val="el-GR"/>
        </w:rPr>
        <w:t xml:space="preserve">το </w:t>
      </w:r>
      <w:r w:rsidR="00D56F06" w:rsidRPr="00950E8F">
        <w:rPr>
          <w:color w:val="021142"/>
          <w:lang w:val="el-GR"/>
        </w:rPr>
        <w:t>2025</w:t>
      </w:r>
      <w:r w:rsidR="00814997" w:rsidRPr="00950E8F">
        <w:rPr>
          <w:color w:val="021142"/>
          <w:lang w:val="el-GR"/>
        </w:rPr>
        <w:t xml:space="preserve"> </w:t>
      </w:r>
      <w:r w:rsidR="00A04D95">
        <w:rPr>
          <w:color w:val="021142"/>
          <w:lang w:val="el-GR"/>
        </w:rPr>
        <w:t>και συνεισ</w:t>
      </w:r>
      <w:r w:rsidR="00C2040A">
        <w:rPr>
          <w:color w:val="021142"/>
          <w:lang w:val="el-GR"/>
        </w:rPr>
        <w:t>έ</w:t>
      </w:r>
      <w:r w:rsidR="00A04D95">
        <w:rPr>
          <w:color w:val="021142"/>
          <w:lang w:val="el-GR"/>
        </w:rPr>
        <w:t>φ</w:t>
      </w:r>
      <w:r w:rsidR="00C2040A">
        <w:rPr>
          <w:color w:val="021142"/>
          <w:lang w:val="el-GR"/>
        </w:rPr>
        <w:t>ε</w:t>
      </w:r>
      <w:r w:rsidR="00A04D95">
        <w:rPr>
          <w:color w:val="021142"/>
          <w:lang w:val="el-GR"/>
        </w:rPr>
        <w:t>ρ</w:t>
      </w:r>
      <w:r w:rsidR="00C2040A">
        <w:rPr>
          <w:color w:val="021142"/>
          <w:lang w:val="el-GR"/>
        </w:rPr>
        <w:t xml:space="preserve">αν </w:t>
      </w:r>
      <w:r w:rsidR="000B2486">
        <w:rPr>
          <w:color w:val="021142"/>
          <w:lang w:val="el-GR"/>
        </w:rPr>
        <w:t>52,</w:t>
      </w:r>
      <w:r w:rsidR="00EE4BCE">
        <w:rPr>
          <w:color w:val="021142"/>
          <w:lang w:val="el-GR"/>
        </w:rPr>
        <w:t>5</w:t>
      </w:r>
      <w:r w:rsidR="00A04D95">
        <w:rPr>
          <w:color w:val="021142"/>
          <w:lang w:val="el-GR"/>
        </w:rPr>
        <w:t>% στη κερδοφορία του Ομίλου</w:t>
      </w:r>
      <w:r w:rsidR="006A61D8" w:rsidRPr="00950E8F">
        <w:rPr>
          <w:color w:val="021142"/>
          <w:lang w:val="el-GR"/>
        </w:rPr>
        <w:t>.</w:t>
      </w:r>
      <w:r w:rsidR="00D576A5" w:rsidRPr="000F5589">
        <w:rPr>
          <w:color w:val="021142"/>
          <w:lang w:val="el-GR"/>
        </w:rPr>
        <w:t xml:space="preserve"> </w:t>
      </w:r>
      <w:r w:rsidR="006A613B">
        <w:rPr>
          <w:color w:val="021142"/>
          <w:lang w:val="el-GR"/>
        </w:rPr>
        <w:t>Ειδικότερα, τ</w:t>
      </w:r>
      <w:r w:rsidR="006A613B" w:rsidRPr="00950E8F">
        <w:rPr>
          <w:color w:val="021142"/>
          <w:lang w:val="el-GR"/>
        </w:rPr>
        <w:t xml:space="preserve">α προσαρμοσμένα καθαρά κέρδη </w:t>
      </w:r>
      <w:r w:rsidR="00EF7292" w:rsidRPr="00950E8F">
        <w:rPr>
          <w:color w:val="021142"/>
          <w:lang w:val="el-GR"/>
        </w:rPr>
        <w:t xml:space="preserve">στην Κύπρο </w:t>
      </w:r>
      <w:r w:rsidR="0049653A" w:rsidRPr="00950E8F">
        <w:rPr>
          <w:color w:val="021142"/>
          <w:lang w:val="el-GR"/>
        </w:rPr>
        <w:t xml:space="preserve">ενισχύθηκαν κατά </w:t>
      </w:r>
      <w:r w:rsidR="00472F15" w:rsidRPr="001118F2">
        <w:rPr>
          <w:color w:val="021142"/>
          <w:lang w:val="el-GR"/>
        </w:rPr>
        <w:t>1</w:t>
      </w:r>
      <w:r w:rsidR="00EF7292">
        <w:rPr>
          <w:color w:val="021142"/>
          <w:lang w:val="el-GR"/>
        </w:rPr>
        <w:t>,</w:t>
      </w:r>
      <w:r w:rsidR="00472F15" w:rsidRPr="001118F2">
        <w:rPr>
          <w:color w:val="021142"/>
          <w:lang w:val="el-GR"/>
        </w:rPr>
        <w:t>4</w:t>
      </w:r>
      <w:r w:rsidR="0049653A" w:rsidRPr="00950E8F">
        <w:rPr>
          <w:color w:val="021142"/>
          <w:lang w:val="el-GR"/>
        </w:rPr>
        <w:t xml:space="preserve">% </w:t>
      </w:r>
      <w:r w:rsidR="00EF7292">
        <w:rPr>
          <w:color w:val="021142"/>
          <w:lang w:val="el-GR"/>
        </w:rPr>
        <w:t xml:space="preserve">σε ετήσια βάση </w:t>
      </w:r>
      <w:r w:rsidR="008B3F2D">
        <w:rPr>
          <w:color w:val="021142"/>
          <w:lang w:val="el-GR"/>
        </w:rPr>
        <w:t xml:space="preserve">σε </w:t>
      </w:r>
      <w:r w:rsidR="0049653A" w:rsidRPr="00950E8F">
        <w:rPr>
          <w:color w:val="021142"/>
          <w:lang w:val="el-GR"/>
        </w:rPr>
        <w:t>€</w:t>
      </w:r>
      <w:r w:rsidR="008B3F2D">
        <w:rPr>
          <w:color w:val="021142"/>
          <w:lang w:val="el-GR"/>
        </w:rPr>
        <w:t>49</w:t>
      </w:r>
      <w:r w:rsidR="000A23BA" w:rsidRPr="001118F2">
        <w:rPr>
          <w:color w:val="021142"/>
          <w:lang w:val="el-GR"/>
        </w:rPr>
        <w:t>1</w:t>
      </w:r>
      <w:r w:rsidR="0049653A" w:rsidRPr="00950E8F">
        <w:rPr>
          <w:color w:val="021142"/>
          <w:lang w:val="el-GR"/>
        </w:rPr>
        <w:t xml:space="preserve">εκ. και </w:t>
      </w:r>
      <w:r w:rsidR="006A613B" w:rsidRPr="00950E8F">
        <w:rPr>
          <w:color w:val="021142"/>
          <w:lang w:val="el-GR"/>
        </w:rPr>
        <w:t xml:space="preserve">στη Βουλγαρία </w:t>
      </w:r>
      <w:r w:rsidR="00B417F5" w:rsidRPr="00950E8F">
        <w:rPr>
          <w:color w:val="021142"/>
          <w:lang w:val="el-GR"/>
        </w:rPr>
        <w:t xml:space="preserve">αυξήθηκαν </w:t>
      </w:r>
      <w:r w:rsidR="006A613B" w:rsidRPr="00950E8F">
        <w:rPr>
          <w:color w:val="021142"/>
          <w:lang w:val="el-GR"/>
        </w:rPr>
        <w:t xml:space="preserve">κατά </w:t>
      </w:r>
      <w:r w:rsidR="005312E9" w:rsidRPr="001118F2">
        <w:rPr>
          <w:color w:val="021142"/>
          <w:lang w:val="el-GR"/>
        </w:rPr>
        <w:t>8,0</w:t>
      </w:r>
      <w:r w:rsidR="006A613B" w:rsidRPr="00950E8F">
        <w:rPr>
          <w:color w:val="021142"/>
          <w:lang w:val="el-GR"/>
        </w:rPr>
        <w:t>%</w:t>
      </w:r>
      <w:r w:rsidR="00707FEB" w:rsidRPr="00950E8F">
        <w:rPr>
          <w:color w:val="021142"/>
          <w:lang w:val="el-GR"/>
        </w:rPr>
        <w:t xml:space="preserve"> </w:t>
      </w:r>
      <w:r w:rsidR="00B417F5" w:rsidRPr="00950E8F">
        <w:rPr>
          <w:color w:val="021142"/>
          <w:lang w:val="el-GR"/>
        </w:rPr>
        <w:t xml:space="preserve">σε ετήσια βάση </w:t>
      </w:r>
      <w:r w:rsidR="006A613B" w:rsidRPr="00950E8F">
        <w:rPr>
          <w:color w:val="021142"/>
          <w:lang w:val="el-GR"/>
        </w:rPr>
        <w:t>σε €</w:t>
      </w:r>
      <w:r w:rsidR="008B3F2D">
        <w:rPr>
          <w:color w:val="021142"/>
          <w:lang w:val="el-GR"/>
        </w:rPr>
        <w:t>224</w:t>
      </w:r>
      <w:r w:rsidR="00B10FDE">
        <w:rPr>
          <w:color w:val="021142"/>
          <w:lang w:val="el-GR"/>
        </w:rPr>
        <w:t>ε</w:t>
      </w:r>
      <w:r w:rsidR="006A613B" w:rsidRPr="00950E8F">
        <w:rPr>
          <w:color w:val="021142"/>
          <w:lang w:val="el-GR"/>
        </w:rPr>
        <w:t>κ.</w:t>
      </w:r>
      <w:r w:rsidR="004B7D9E" w:rsidRPr="00950E8F">
        <w:rPr>
          <w:color w:val="021142"/>
          <w:lang w:val="el-GR"/>
        </w:rPr>
        <w:t xml:space="preserve"> </w:t>
      </w:r>
    </w:p>
    <w:p w14:paraId="1E1D0F35" w14:textId="77777777" w:rsidR="00F920EB" w:rsidRPr="00201E03" w:rsidRDefault="00F920EB" w:rsidP="00F920EB">
      <w:pPr>
        <w:pStyle w:val="ListParagraph"/>
        <w:rPr>
          <w:lang w:val="el-GR"/>
        </w:rPr>
      </w:pPr>
    </w:p>
    <w:p w14:paraId="7367C918" w14:textId="56682F93" w:rsidR="008A4A67" w:rsidRPr="000F5589" w:rsidRDefault="008A4A67" w:rsidP="008A4A67">
      <w:pPr>
        <w:pStyle w:val="ListParagraph"/>
        <w:numPr>
          <w:ilvl w:val="0"/>
          <w:numId w:val="14"/>
        </w:numPr>
        <w:tabs>
          <w:tab w:val="left" w:pos="660"/>
        </w:tabs>
        <w:spacing w:line="242" w:lineRule="auto"/>
        <w:ind w:right="397"/>
        <w:rPr>
          <w:lang w:val="el-GR"/>
        </w:rPr>
      </w:pPr>
      <w:r w:rsidRPr="000F5589">
        <w:rPr>
          <w:color w:val="021142"/>
          <w:lang w:val="el-GR"/>
        </w:rPr>
        <w:t xml:space="preserve">Ο </w:t>
      </w:r>
      <w:r w:rsidRPr="000F5589">
        <w:rPr>
          <w:b/>
          <w:color w:val="021142"/>
          <w:lang w:val="el-GR"/>
        </w:rPr>
        <w:t>δείκτης των</w:t>
      </w:r>
      <w:r>
        <w:rPr>
          <w:b/>
          <w:color w:val="021142"/>
          <w:lang w:val="el-GR"/>
        </w:rPr>
        <w:t xml:space="preserve"> μη εξυπηρετούμενων ανοιγμάτων (</w:t>
      </w:r>
      <w:r w:rsidRPr="000F5589">
        <w:rPr>
          <w:b/>
          <w:color w:val="021142"/>
        </w:rPr>
        <w:t>NPE</w:t>
      </w:r>
      <w:r w:rsidR="001147D2">
        <w:rPr>
          <w:b/>
          <w:color w:val="021142"/>
        </w:rPr>
        <w:t>s</w:t>
      </w:r>
      <w:r>
        <w:rPr>
          <w:b/>
          <w:color w:val="021142"/>
          <w:lang w:val="el-GR"/>
        </w:rPr>
        <w:t>)</w:t>
      </w:r>
      <w:r w:rsidRPr="000F5589">
        <w:rPr>
          <w:b/>
          <w:color w:val="021142"/>
          <w:lang w:val="el-GR"/>
        </w:rPr>
        <w:t xml:space="preserve"> </w:t>
      </w:r>
      <w:r w:rsidR="004E09F4">
        <w:rPr>
          <w:bCs/>
          <w:color w:val="021142"/>
          <w:lang w:val="el-GR"/>
        </w:rPr>
        <w:t xml:space="preserve">μειώθηκε </w:t>
      </w:r>
      <w:r w:rsidR="00A249EB">
        <w:rPr>
          <w:bCs/>
          <w:color w:val="021142"/>
          <w:lang w:val="el-GR"/>
        </w:rPr>
        <w:t>σε</w:t>
      </w:r>
      <w:r w:rsidR="008F5963" w:rsidRPr="008F5963">
        <w:rPr>
          <w:bCs/>
          <w:color w:val="021142"/>
          <w:lang w:val="el-GR"/>
        </w:rPr>
        <w:t xml:space="preserve"> </w:t>
      </w:r>
      <w:r w:rsidR="005605CB">
        <w:rPr>
          <w:bCs/>
          <w:color w:val="021142"/>
          <w:lang w:val="el-GR"/>
        </w:rPr>
        <w:t>2</w:t>
      </w:r>
      <w:r w:rsidR="008F5963" w:rsidRPr="008F5963">
        <w:rPr>
          <w:bCs/>
          <w:color w:val="021142"/>
          <w:lang w:val="el-GR"/>
        </w:rPr>
        <w:t>,</w:t>
      </w:r>
      <w:r w:rsidR="004E09F4">
        <w:rPr>
          <w:bCs/>
          <w:color w:val="021142"/>
          <w:lang w:val="el-GR"/>
        </w:rPr>
        <w:t>6</w:t>
      </w:r>
      <w:r w:rsidRPr="008F5963">
        <w:rPr>
          <w:bCs/>
          <w:color w:val="021142"/>
          <w:spacing w:val="-2"/>
          <w:lang w:val="el-GR"/>
        </w:rPr>
        <w:t>%</w:t>
      </w:r>
      <w:r w:rsidR="00573171">
        <w:rPr>
          <w:bCs/>
          <w:color w:val="021142"/>
          <w:lang w:val="el-GR"/>
        </w:rPr>
        <w:t xml:space="preserve"> </w:t>
      </w:r>
      <w:r w:rsidR="000841E4">
        <w:rPr>
          <w:bCs/>
          <w:color w:val="021142"/>
          <w:lang w:val="el-GR"/>
        </w:rPr>
        <w:t xml:space="preserve">και </w:t>
      </w:r>
      <w:r w:rsidR="00453883">
        <w:rPr>
          <w:bCs/>
          <w:color w:val="021142"/>
          <w:lang w:val="el-GR"/>
        </w:rPr>
        <w:t xml:space="preserve">ο </w:t>
      </w:r>
      <w:r w:rsidR="00453883" w:rsidRPr="00453883">
        <w:rPr>
          <w:b/>
          <w:color w:val="021142"/>
          <w:lang w:val="el-GR"/>
        </w:rPr>
        <w:t xml:space="preserve">δείκτης κάλυψης </w:t>
      </w:r>
      <w:r w:rsidRPr="00453883">
        <w:rPr>
          <w:b/>
          <w:color w:val="021142"/>
          <w:lang w:val="el-GR"/>
        </w:rPr>
        <w:t xml:space="preserve">των </w:t>
      </w:r>
      <w:r w:rsidRPr="00453883">
        <w:rPr>
          <w:b/>
          <w:color w:val="021142"/>
          <w:spacing w:val="-50"/>
          <w:lang w:val="el-GR"/>
        </w:rPr>
        <w:t xml:space="preserve"> </w:t>
      </w:r>
      <w:r w:rsidRPr="00453883">
        <w:rPr>
          <w:b/>
          <w:color w:val="021142"/>
        </w:rPr>
        <w:t>NPE</w:t>
      </w:r>
      <w:r w:rsidR="001147D2" w:rsidRPr="00453883">
        <w:rPr>
          <w:b/>
          <w:color w:val="021142"/>
        </w:rPr>
        <w:t>s</w:t>
      </w:r>
      <w:r w:rsidRPr="00453883">
        <w:rPr>
          <w:b/>
          <w:color w:val="021142"/>
          <w:spacing w:val="7"/>
          <w:lang w:val="el-GR"/>
        </w:rPr>
        <w:t xml:space="preserve"> </w:t>
      </w:r>
      <w:r w:rsidR="009D63EE">
        <w:rPr>
          <w:color w:val="021142"/>
          <w:spacing w:val="6"/>
          <w:lang w:val="el-GR"/>
        </w:rPr>
        <w:t xml:space="preserve">αυξήθηκε σε </w:t>
      </w:r>
      <w:r w:rsidR="005605CB">
        <w:rPr>
          <w:color w:val="021142"/>
          <w:lang w:val="el-GR"/>
        </w:rPr>
        <w:t>9</w:t>
      </w:r>
      <w:r w:rsidR="009D63EE">
        <w:rPr>
          <w:color w:val="021142"/>
          <w:lang w:val="el-GR"/>
        </w:rPr>
        <w:t>5</w:t>
      </w:r>
      <w:r w:rsidR="005605CB">
        <w:rPr>
          <w:color w:val="021142"/>
          <w:lang w:val="el-GR"/>
        </w:rPr>
        <w:t>,</w:t>
      </w:r>
      <w:r w:rsidR="009D63EE">
        <w:rPr>
          <w:color w:val="021142"/>
          <w:lang w:val="el-GR"/>
        </w:rPr>
        <w:t>2</w:t>
      </w:r>
      <w:r w:rsidR="00D72AE3">
        <w:rPr>
          <w:color w:val="021142"/>
          <w:lang w:val="el-GR"/>
        </w:rPr>
        <w:t>%</w:t>
      </w:r>
      <w:r w:rsidR="00190A52">
        <w:rPr>
          <w:color w:val="021142"/>
          <w:vertAlign w:val="superscript"/>
          <w:lang w:val="el-GR"/>
        </w:rPr>
        <w:t xml:space="preserve"> </w:t>
      </w:r>
      <w:r w:rsidR="00AC5F8D">
        <w:rPr>
          <w:bCs/>
          <w:color w:val="021142"/>
          <w:lang w:val="el-GR"/>
        </w:rPr>
        <w:t>στις 3</w:t>
      </w:r>
      <w:r w:rsidR="009D63EE">
        <w:rPr>
          <w:bCs/>
          <w:color w:val="021142"/>
          <w:lang w:val="el-GR"/>
        </w:rPr>
        <w:t xml:space="preserve">1 Δεκεμβρίου </w:t>
      </w:r>
      <w:r w:rsidR="00AC5F8D">
        <w:rPr>
          <w:bCs/>
          <w:color w:val="021142"/>
          <w:lang w:val="el-GR"/>
        </w:rPr>
        <w:t>2025</w:t>
      </w:r>
      <w:r w:rsidR="000841E4">
        <w:rPr>
          <w:bCs/>
          <w:color w:val="021142"/>
          <w:lang w:val="el-GR"/>
        </w:rPr>
        <w:t>.</w:t>
      </w:r>
    </w:p>
    <w:p w14:paraId="6F9A8F28" w14:textId="77777777" w:rsidR="00F920EB" w:rsidRPr="00391B5C" w:rsidRDefault="00F920EB" w:rsidP="00F920EB">
      <w:pPr>
        <w:pStyle w:val="ListParagraph"/>
        <w:tabs>
          <w:tab w:val="left" w:pos="660"/>
        </w:tabs>
        <w:spacing w:line="242" w:lineRule="auto"/>
        <w:ind w:left="720" w:right="397"/>
        <w:rPr>
          <w:lang w:val="el-GR"/>
        </w:rPr>
      </w:pPr>
    </w:p>
    <w:p w14:paraId="43BFFF4F" w14:textId="78AEC32A" w:rsidR="00020F0D" w:rsidRDefault="00020F0D" w:rsidP="00020F0D">
      <w:pPr>
        <w:pStyle w:val="ListParagraph"/>
        <w:numPr>
          <w:ilvl w:val="0"/>
          <w:numId w:val="14"/>
        </w:numPr>
        <w:tabs>
          <w:tab w:val="left" w:pos="691"/>
        </w:tabs>
        <w:spacing w:line="247" w:lineRule="auto"/>
        <w:ind w:right="397"/>
        <w:rPr>
          <w:color w:val="021142"/>
          <w:lang w:val="el-GR"/>
        </w:rPr>
      </w:pPr>
      <w:r>
        <w:rPr>
          <w:color w:val="021142"/>
          <w:lang w:val="el-GR"/>
        </w:rPr>
        <w:t xml:space="preserve">Η κεφαλαιακή επάρκεια διατηρήθηκε σε ισχυρά επίπεδα, με τον </w:t>
      </w:r>
      <w:r>
        <w:rPr>
          <w:b/>
          <w:color w:val="021142"/>
          <w:lang w:val="el-GR"/>
        </w:rPr>
        <w:t>δείκτη</w:t>
      </w:r>
      <w:r w:rsidRPr="000F5589">
        <w:rPr>
          <w:b/>
          <w:color w:val="021142"/>
          <w:spacing w:val="-7"/>
          <w:lang w:val="el-GR"/>
        </w:rPr>
        <w:t xml:space="preserve"> </w:t>
      </w:r>
      <w:r w:rsidRPr="00A53710">
        <w:rPr>
          <w:b/>
          <w:color w:val="021142"/>
          <w:lang w:val="el-GR"/>
        </w:rPr>
        <w:t>συνολικής</w:t>
      </w:r>
      <w:r w:rsidRPr="00A53710">
        <w:rPr>
          <w:b/>
          <w:color w:val="021142"/>
          <w:spacing w:val="-8"/>
          <w:lang w:val="el-GR"/>
        </w:rPr>
        <w:t xml:space="preserve"> </w:t>
      </w:r>
      <w:r w:rsidRPr="00A53710">
        <w:rPr>
          <w:b/>
          <w:color w:val="021142"/>
          <w:lang w:val="el-GR"/>
        </w:rPr>
        <w:t>επάρκειας</w:t>
      </w:r>
      <w:r w:rsidRPr="00A53710">
        <w:rPr>
          <w:b/>
          <w:color w:val="021142"/>
          <w:spacing w:val="-8"/>
          <w:lang w:val="el-GR"/>
        </w:rPr>
        <w:t xml:space="preserve"> </w:t>
      </w:r>
      <w:r w:rsidRPr="00A53710">
        <w:rPr>
          <w:color w:val="021142"/>
          <w:lang w:val="el-GR"/>
        </w:rPr>
        <w:t>(</w:t>
      </w:r>
      <w:r w:rsidRPr="00A53710">
        <w:rPr>
          <w:color w:val="021142"/>
        </w:rPr>
        <w:t>CAD</w:t>
      </w:r>
      <w:r w:rsidRPr="00A53710">
        <w:rPr>
          <w:color w:val="021142"/>
          <w:lang w:val="el-GR"/>
        </w:rPr>
        <w:t>)</w:t>
      </w:r>
      <w:r>
        <w:rPr>
          <w:color w:val="021142"/>
          <w:lang w:val="el-GR"/>
        </w:rPr>
        <w:t xml:space="preserve"> </w:t>
      </w:r>
      <w:r w:rsidRPr="00A53710">
        <w:rPr>
          <w:color w:val="021142"/>
          <w:lang w:val="el-GR"/>
        </w:rPr>
        <w:t xml:space="preserve">και </w:t>
      </w:r>
      <w:r>
        <w:rPr>
          <w:color w:val="021142"/>
          <w:lang w:val="el-GR"/>
        </w:rPr>
        <w:t>τ</w:t>
      </w:r>
      <w:r w:rsidRPr="00A53710">
        <w:rPr>
          <w:color w:val="021142"/>
          <w:lang w:val="el-GR"/>
        </w:rPr>
        <w:t>ο</w:t>
      </w:r>
      <w:r>
        <w:rPr>
          <w:color w:val="021142"/>
          <w:lang w:val="el-GR"/>
        </w:rPr>
        <w:t>ν</w:t>
      </w:r>
      <w:r w:rsidRPr="00A53710">
        <w:rPr>
          <w:color w:val="021142"/>
          <w:lang w:val="el-GR"/>
        </w:rPr>
        <w:t xml:space="preserve"> δείκτη</w:t>
      </w:r>
      <w:r>
        <w:rPr>
          <w:color w:val="021142"/>
          <w:lang w:val="el-GR"/>
        </w:rPr>
        <w:t xml:space="preserve"> κοινών μετοχών</w:t>
      </w:r>
      <w:r w:rsidRPr="00A53710">
        <w:rPr>
          <w:color w:val="021142"/>
          <w:spacing w:val="-8"/>
          <w:lang w:val="el-GR"/>
        </w:rPr>
        <w:t xml:space="preserve"> </w:t>
      </w:r>
      <w:r w:rsidRPr="00A53710">
        <w:rPr>
          <w:b/>
          <w:color w:val="021142"/>
        </w:rPr>
        <w:t>CET</w:t>
      </w:r>
      <w:r w:rsidRPr="00A53710">
        <w:rPr>
          <w:b/>
          <w:color w:val="021142"/>
          <w:lang w:val="el-GR"/>
        </w:rPr>
        <w:t>1</w:t>
      </w:r>
      <w:r w:rsidRPr="00A53710">
        <w:rPr>
          <w:b/>
          <w:color w:val="021142"/>
          <w:spacing w:val="-8"/>
          <w:lang w:val="el-GR"/>
        </w:rPr>
        <w:t xml:space="preserve"> </w:t>
      </w:r>
      <w:r>
        <w:rPr>
          <w:color w:val="021142"/>
          <w:lang w:val="el-GR"/>
        </w:rPr>
        <w:t>να διαμορφώνονται σε</w:t>
      </w:r>
      <w:r w:rsidRPr="00A53710">
        <w:rPr>
          <w:color w:val="021142"/>
          <w:spacing w:val="-7"/>
          <w:lang w:val="el-GR"/>
        </w:rPr>
        <w:t xml:space="preserve"> </w:t>
      </w:r>
      <w:r w:rsidR="005D45D7">
        <w:rPr>
          <w:color w:val="021142"/>
          <w:spacing w:val="-7"/>
          <w:lang w:val="el-GR"/>
        </w:rPr>
        <w:t>20,0</w:t>
      </w:r>
      <w:r>
        <w:rPr>
          <w:color w:val="021142"/>
          <w:lang w:val="el-GR"/>
        </w:rPr>
        <w:t>%</w:t>
      </w:r>
      <w:r w:rsidR="00773B1A">
        <w:rPr>
          <w:rStyle w:val="FootnoteReference"/>
          <w:color w:val="021142"/>
          <w:lang w:val="el-GR"/>
        </w:rPr>
        <w:footnoteReference w:id="4"/>
      </w:r>
      <w:r>
        <w:rPr>
          <w:color w:val="021142"/>
          <w:lang w:val="el-GR"/>
        </w:rPr>
        <w:t xml:space="preserve"> και </w:t>
      </w:r>
      <w:r w:rsidR="00072A4B">
        <w:rPr>
          <w:color w:val="021142"/>
          <w:lang w:val="el-GR"/>
        </w:rPr>
        <w:t>15,</w:t>
      </w:r>
      <w:r w:rsidR="005D45D7">
        <w:rPr>
          <w:color w:val="021142"/>
          <w:lang w:val="el-GR"/>
        </w:rPr>
        <w:t>6</w:t>
      </w:r>
      <w:r>
        <w:rPr>
          <w:color w:val="021142"/>
          <w:lang w:val="el-GR"/>
        </w:rPr>
        <w:t>%</w:t>
      </w:r>
      <w:r w:rsidR="005D45D7">
        <w:rPr>
          <w:color w:val="021142"/>
          <w:vertAlign w:val="superscript"/>
          <w:lang w:val="el-GR"/>
        </w:rPr>
        <w:t>4</w:t>
      </w:r>
      <w:r>
        <w:rPr>
          <w:color w:val="021142"/>
          <w:lang w:val="el-GR"/>
        </w:rPr>
        <w:t xml:space="preserve"> αντίστοιχα. </w:t>
      </w:r>
    </w:p>
    <w:p w14:paraId="4BC45CA3" w14:textId="77777777" w:rsidR="00A249EB" w:rsidRDefault="00A249EB" w:rsidP="00F920EB">
      <w:pPr>
        <w:pStyle w:val="ListParagraph"/>
        <w:tabs>
          <w:tab w:val="left" w:pos="660"/>
        </w:tabs>
        <w:spacing w:line="242" w:lineRule="auto"/>
        <w:ind w:left="720" w:right="397"/>
        <w:rPr>
          <w:lang w:val="el-GR"/>
        </w:rPr>
      </w:pPr>
    </w:p>
    <w:p w14:paraId="5BECACEA" w14:textId="0072E37A" w:rsidR="00744572" w:rsidRPr="007C41E4" w:rsidRDefault="00744572" w:rsidP="00EE2D46">
      <w:pPr>
        <w:pStyle w:val="ListParagraph"/>
        <w:numPr>
          <w:ilvl w:val="0"/>
          <w:numId w:val="14"/>
        </w:numPr>
        <w:tabs>
          <w:tab w:val="left" w:pos="691"/>
        </w:tabs>
        <w:spacing w:line="247" w:lineRule="auto"/>
        <w:ind w:right="397"/>
        <w:rPr>
          <w:color w:val="021142"/>
          <w:spacing w:val="-1"/>
          <w:lang w:val="el-GR"/>
        </w:rPr>
      </w:pPr>
      <w:r w:rsidRPr="00026549">
        <w:rPr>
          <w:color w:val="021142"/>
          <w:lang w:val="el-GR"/>
        </w:rPr>
        <w:t xml:space="preserve">Τα </w:t>
      </w:r>
      <w:r w:rsidRPr="00026549">
        <w:rPr>
          <w:b/>
          <w:bCs/>
          <w:color w:val="021142"/>
          <w:lang w:val="el-GR"/>
        </w:rPr>
        <w:t>ενσώματα ίδια κεφάλαια</w:t>
      </w:r>
      <w:r w:rsidRPr="00026549">
        <w:rPr>
          <w:color w:val="021142"/>
          <w:lang w:val="el-GR"/>
        </w:rPr>
        <w:t xml:space="preserve"> </w:t>
      </w:r>
      <w:r w:rsidRPr="00026549">
        <w:rPr>
          <w:b/>
          <w:bCs/>
          <w:color w:val="021142"/>
          <w:lang w:val="el-GR"/>
        </w:rPr>
        <w:t>ανά μετοχή</w:t>
      </w:r>
      <w:r w:rsidRPr="00026549">
        <w:rPr>
          <w:color w:val="021142"/>
          <w:lang w:val="el-GR"/>
        </w:rPr>
        <w:t xml:space="preserve"> </w:t>
      </w:r>
      <w:r w:rsidR="00234162" w:rsidRPr="00026549">
        <w:rPr>
          <w:color w:val="021142"/>
          <w:lang w:val="el-GR"/>
        </w:rPr>
        <w:t>α</w:t>
      </w:r>
      <w:r w:rsidR="00072A4B">
        <w:rPr>
          <w:color w:val="021142"/>
          <w:lang w:val="el-GR"/>
        </w:rPr>
        <w:t xml:space="preserve">νήλθαν σε </w:t>
      </w:r>
      <w:r w:rsidRPr="00026549">
        <w:rPr>
          <w:color w:val="021142"/>
          <w:lang w:val="el-GR"/>
        </w:rPr>
        <w:t>€</w:t>
      </w:r>
      <w:r w:rsidR="00072A4B">
        <w:rPr>
          <w:color w:val="021142"/>
          <w:lang w:val="el-GR"/>
        </w:rPr>
        <w:t>2,</w:t>
      </w:r>
      <w:r w:rsidR="00152C7B" w:rsidRPr="00AB6709">
        <w:rPr>
          <w:color w:val="021142"/>
          <w:lang w:val="el-GR"/>
        </w:rPr>
        <w:t>4</w:t>
      </w:r>
      <w:r w:rsidR="00DD34A6" w:rsidRPr="005E2BE9">
        <w:rPr>
          <w:color w:val="021142"/>
          <w:lang w:val="el-GR"/>
        </w:rPr>
        <w:t>9</w:t>
      </w:r>
      <w:r w:rsidR="00072A4B">
        <w:rPr>
          <w:color w:val="021142"/>
          <w:lang w:val="el-GR"/>
        </w:rPr>
        <w:t xml:space="preserve">, αυξημένα κατά </w:t>
      </w:r>
      <w:r w:rsidR="00E94F38" w:rsidRPr="005E2BE9">
        <w:rPr>
          <w:color w:val="021142"/>
          <w:lang w:val="el-GR"/>
        </w:rPr>
        <w:t>7</w:t>
      </w:r>
      <w:r w:rsidR="00072A4B">
        <w:rPr>
          <w:color w:val="021142"/>
          <w:lang w:val="el-GR"/>
        </w:rPr>
        <w:t>,</w:t>
      </w:r>
      <w:r w:rsidR="00E94F38" w:rsidRPr="005E2BE9">
        <w:rPr>
          <w:color w:val="021142"/>
          <w:lang w:val="el-GR"/>
        </w:rPr>
        <w:t>8</w:t>
      </w:r>
      <w:r w:rsidR="00072A4B">
        <w:rPr>
          <w:color w:val="021142"/>
          <w:lang w:val="el-GR"/>
        </w:rPr>
        <w:t xml:space="preserve">% </w:t>
      </w:r>
      <w:r w:rsidR="00E94F38">
        <w:rPr>
          <w:color w:val="021142"/>
          <w:lang w:val="el-GR"/>
        </w:rPr>
        <w:t xml:space="preserve">σε ετήσια βάση. </w:t>
      </w:r>
    </w:p>
    <w:p w14:paraId="29219763" w14:textId="77777777" w:rsidR="00026549" w:rsidRPr="007C41E4" w:rsidRDefault="00026549" w:rsidP="00026549">
      <w:pPr>
        <w:pStyle w:val="ListParagraph"/>
        <w:rPr>
          <w:color w:val="021142"/>
          <w:spacing w:val="-1"/>
          <w:lang w:val="el-GR"/>
        </w:rPr>
      </w:pPr>
    </w:p>
    <w:p w14:paraId="21B27EFA" w14:textId="7693A97F" w:rsidR="00852D18" w:rsidRPr="002A002D" w:rsidRDefault="00F83B3C" w:rsidP="000F5589">
      <w:pPr>
        <w:pStyle w:val="ListParagraph"/>
        <w:numPr>
          <w:ilvl w:val="0"/>
          <w:numId w:val="14"/>
        </w:numPr>
        <w:tabs>
          <w:tab w:val="left" w:pos="691"/>
        </w:tabs>
        <w:spacing w:line="247" w:lineRule="auto"/>
        <w:ind w:right="397"/>
        <w:rPr>
          <w:lang w:val="el-GR"/>
        </w:rPr>
      </w:pPr>
      <w:r w:rsidRPr="002A002D">
        <w:rPr>
          <w:b/>
          <w:bCs/>
          <w:color w:val="021142"/>
        </w:rPr>
        <w:t>To</w:t>
      </w:r>
      <w:r w:rsidRPr="002A002D">
        <w:rPr>
          <w:b/>
          <w:bCs/>
          <w:color w:val="021142"/>
          <w:lang w:val="el-GR"/>
        </w:rPr>
        <w:t xml:space="preserve"> </w:t>
      </w:r>
      <w:r w:rsidR="004A4C4F" w:rsidRPr="002A002D">
        <w:rPr>
          <w:b/>
          <w:bCs/>
          <w:color w:val="021142"/>
          <w:lang w:val="el-GR"/>
        </w:rPr>
        <w:t>σύνολο του ενεργητικού</w:t>
      </w:r>
      <w:r w:rsidR="004A4C4F" w:rsidRPr="002A002D">
        <w:rPr>
          <w:color w:val="021142"/>
          <w:lang w:val="el-GR"/>
        </w:rPr>
        <w:t xml:space="preserve"> </w:t>
      </w:r>
      <w:r w:rsidR="002B7353" w:rsidRPr="002A002D">
        <w:rPr>
          <w:color w:val="021142"/>
          <w:lang w:val="el-GR"/>
        </w:rPr>
        <w:t>διαμορφώθηκε</w:t>
      </w:r>
      <w:r w:rsidRPr="002A002D">
        <w:rPr>
          <w:color w:val="021142"/>
          <w:lang w:val="el-GR"/>
        </w:rPr>
        <w:t xml:space="preserve"> </w:t>
      </w:r>
      <w:r w:rsidR="004A4C4F" w:rsidRPr="002A002D">
        <w:rPr>
          <w:color w:val="021142"/>
          <w:lang w:val="el-GR"/>
        </w:rPr>
        <w:t>σε €</w:t>
      </w:r>
      <w:r w:rsidR="00072A4B" w:rsidRPr="002A002D">
        <w:rPr>
          <w:color w:val="021142"/>
          <w:lang w:val="el-GR"/>
        </w:rPr>
        <w:t>10</w:t>
      </w:r>
      <w:r w:rsidR="00E94F38" w:rsidRPr="002A002D">
        <w:rPr>
          <w:color w:val="021142"/>
          <w:lang w:val="el-GR"/>
        </w:rPr>
        <w:t>8</w:t>
      </w:r>
      <w:r w:rsidR="00072A4B" w:rsidRPr="002A002D">
        <w:rPr>
          <w:color w:val="021142"/>
          <w:lang w:val="el-GR"/>
        </w:rPr>
        <w:t>,</w:t>
      </w:r>
      <w:r w:rsidR="00F1284C" w:rsidRPr="002A002D">
        <w:rPr>
          <w:color w:val="021142"/>
          <w:lang w:val="el-GR"/>
        </w:rPr>
        <w:t>0</w:t>
      </w:r>
      <w:r w:rsidR="004A4C4F" w:rsidRPr="002A002D">
        <w:rPr>
          <w:color w:val="021142"/>
          <w:lang w:val="el-GR"/>
        </w:rPr>
        <w:t>δι</w:t>
      </w:r>
      <w:r w:rsidR="00F005A6" w:rsidRPr="002A002D">
        <w:rPr>
          <w:color w:val="021142"/>
          <w:lang w:val="el-GR"/>
        </w:rPr>
        <w:t xml:space="preserve">ς, </w:t>
      </w:r>
      <w:r w:rsidR="00573171" w:rsidRPr="002A002D">
        <w:rPr>
          <w:color w:val="021142"/>
          <w:lang w:val="el-GR"/>
        </w:rPr>
        <w:t xml:space="preserve">εκ των οποίων </w:t>
      </w:r>
      <w:r w:rsidR="00573171" w:rsidRPr="00CF5FAF">
        <w:rPr>
          <w:color w:val="021142"/>
          <w:lang w:val="el-GR"/>
        </w:rPr>
        <w:t>€</w:t>
      </w:r>
      <w:r w:rsidR="002A002D" w:rsidRPr="00CF5FAF">
        <w:rPr>
          <w:color w:val="021142"/>
          <w:lang w:val="el-GR"/>
        </w:rPr>
        <w:t>62,8</w:t>
      </w:r>
      <w:r w:rsidR="00573171" w:rsidRPr="00CF5FAF">
        <w:rPr>
          <w:color w:val="021142"/>
          <w:lang w:val="el-GR"/>
        </w:rPr>
        <w:t>δι</w:t>
      </w:r>
      <w:r w:rsidR="00FC3B5B" w:rsidRPr="00CF5FAF">
        <w:rPr>
          <w:color w:val="021142"/>
          <w:lang w:val="el-GR"/>
        </w:rPr>
        <w:t xml:space="preserve">ς </w:t>
      </w:r>
      <w:r w:rsidR="00573171" w:rsidRPr="00CF5FAF">
        <w:rPr>
          <w:color w:val="021142"/>
          <w:lang w:val="el-GR"/>
        </w:rPr>
        <w:t>στην Ελλάδα, €</w:t>
      </w:r>
      <w:r w:rsidR="007C41E4" w:rsidRPr="00CF5FAF">
        <w:rPr>
          <w:color w:val="021142"/>
          <w:lang w:val="el-GR"/>
        </w:rPr>
        <w:t>28</w:t>
      </w:r>
      <w:r w:rsidR="002A002D" w:rsidRPr="00CF5FAF">
        <w:rPr>
          <w:color w:val="021142"/>
          <w:lang w:val="el-GR"/>
        </w:rPr>
        <w:t>,7</w:t>
      </w:r>
      <w:r w:rsidR="00573171" w:rsidRPr="00CF5FAF">
        <w:rPr>
          <w:color w:val="021142"/>
          <w:lang w:val="el-GR"/>
        </w:rPr>
        <w:t>δι</w:t>
      </w:r>
      <w:r w:rsidR="00FC3B5B" w:rsidRPr="00CF5FAF">
        <w:rPr>
          <w:color w:val="021142"/>
          <w:lang w:val="el-GR"/>
        </w:rPr>
        <w:t>ς</w:t>
      </w:r>
      <w:r w:rsidR="00573171" w:rsidRPr="00CF5FAF">
        <w:rPr>
          <w:color w:val="021142"/>
          <w:lang w:val="el-GR"/>
        </w:rPr>
        <w:t xml:space="preserve"> στην Κύπρο και €</w:t>
      </w:r>
      <w:r w:rsidR="007C41E4" w:rsidRPr="00CF5FAF">
        <w:rPr>
          <w:color w:val="021142"/>
          <w:lang w:val="el-GR"/>
        </w:rPr>
        <w:t>1</w:t>
      </w:r>
      <w:r w:rsidR="002A002D" w:rsidRPr="00CF5FAF">
        <w:rPr>
          <w:color w:val="021142"/>
          <w:lang w:val="el-GR"/>
        </w:rPr>
        <w:t>3</w:t>
      </w:r>
      <w:r w:rsidR="007C41E4" w:rsidRPr="00CF5FAF">
        <w:rPr>
          <w:color w:val="021142"/>
          <w:lang w:val="el-GR"/>
        </w:rPr>
        <w:t>,</w:t>
      </w:r>
      <w:r w:rsidR="002A002D" w:rsidRPr="00CF5FAF">
        <w:rPr>
          <w:color w:val="021142"/>
          <w:lang w:val="el-GR"/>
        </w:rPr>
        <w:t>6</w:t>
      </w:r>
      <w:r w:rsidR="00573171" w:rsidRPr="00CF5FAF">
        <w:rPr>
          <w:color w:val="021142"/>
          <w:lang w:val="el-GR"/>
        </w:rPr>
        <w:t>δι</w:t>
      </w:r>
      <w:r w:rsidR="00FC3B5B" w:rsidRPr="00CF5FAF">
        <w:rPr>
          <w:color w:val="021142"/>
          <w:lang w:val="el-GR"/>
        </w:rPr>
        <w:t>ς</w:t>
      </w:r>
      <w:r w:rsidR="00573171" w:rsidRPr="00CF5FAF">
        <w:rPr>
          <w:color w:val="021142"/>
          <w:lang w:val="el-GR"/>
        </w:rPr>
        <w:t xml:space="preserve"> στη Βουλγαρία.</w:t>
      </w:r>
      <w:r w:rsidR="007A0DDD" w:rsidRPr="002A002D">
        <w:rPr>
          <w:color w:val="021142"/>
          <w:lang w:val="el-GR"/>
        </w:rPr>
        <w:t xml:space="preserve"> </w:t>
      </w:r>
    </w:p>
    <w:p w14:paraId="57BDFADC" w14:textId="77777777" w:rsidR="00852D18" w:rsidRPr="007E39EC" w:rsidRDefault="00852D18" w:rsidP="000F5589">
      <w:pPr>
        <w:pStyle w:val="BodyText"/>
        <w:ind w:right="397"/>
        <w:rPr>
          <w:sz w:val="21"/>
          <w:lang w:val="el-GR"/>
        </w:rPr>
      </w:pPr>
    </w:p>
    <w:p w14:paraId="2E4DB30C" w14:textId="0E394BEF" w:rsidR="00852D18" w:rsidRPr="002A002D" w:rsidRDefault="00267889" w:rsidP="000F5589">
      <w:pPr>
        <w:pStyle w:val="ListParagraph"/>
        <w:numPr>
          <w:ilvl w:val="0"/>
          <w:numId w:val="14"/>
        </w:numPr>
        <w:tabs>
          <w:tab w:val="left" w:pos="700"/>
        </w:tabs>
        <w:spacing w:before="1" w:line="244" w:lineRule="auto"/>
        <w:ind w:right="397"/>
        <w:rPr>
          <w:lang w:val="el-GR"/>
        </w:rPr>
      </w:pPr>
      <w:r w:rsidRPr="00027850">
        <w:rPr>
          <w:color w:val="021142"/>
          <w:lang w:val="el-GR"/>
        </w:rPr>
        <w:t xml:space="preserve">Τα </w:t>
      </w:r>
      <w:r w:rsidRPr="00027850">
        <w:rPr>
          <w:b/>
          <w:bCs/>
          <w:color w:val="021142"/>
          <w:lang w:val="el-GR"/>
        </w:rPr>
        <w:t>δάνεια</w:t>
      </w:r>
      <w:r w:rsidR="00365459" w:rsidRPr="00027850">
        <w:rPr>
          <w:color w:val="021142"/>
          <w:lang w:val="el-GR"/>
        </w:rPr>
        <w:t xml:space="preserve"> </w:t>
      </w:r>
      <w:r w:rsidRPr="00027850">
        <w:rPr>
          <w:color w:val="021142"/>
          <w:lang w:val="el-GR"/>
        </w:rPr>
        <w:t>ενισχύθηκαν οργανικά κατά €</w:t>
      </w:r>
      <w:r w:rsidR="00E94F38">
        <w:rPr>
          <w:color w:val="021142"/>
          <w:lang w:val="el-GR"/>
        </w:rPr>
        <w:t>5</w:t>
      </w:r>
      <w:r w:rsidR="00072A4B">
        <w:rPr>
          <w:color w:val="021142"/>
          <w:lang w:val="el-GR"/>
        </w:rPr>
        <w:t>,</w:t>
      </w:r>
      <w:r w:rsidR="00E94F38">
        <w:rPr>
          <w:color w:val="021142"/>
          <w:lang w:val="el-GR"/>
        </w:rPr>
        <w:t>3</w:t>
      </w:r>
      <w:r w:rsidR="00031669" w:rsidRPr="00027850">
        <w:rPr>
          <w:color w:val="021142"/>
          <w:lang w:val="el-GR"/>
        </w:rPr>
        <w:t>δι</w:t>
      </w:r>
      <w:r w:rsidR="00AE4BFB">
        <w:rPr>
          <w:color w:val="021142"/>
          <w:lang w:val="el-GR"/>
        </w:rPr>
        <w:t xml:space="preserve">ς </w:t>
      </w:r>
      <w:bookmarkStart w:id="2" w:name="_Hlk102985641"/>
      <w:r w:rsidR="00814E0B" w:rsidRPr="00027850">
        <w:rPr>
          <w:color w:val="021142"/>
          <w:lang w:val="el-GR"/>
        </w:rPr>
        <w:t xml:space="preserve">το </w:t>
      </w:r>
      <w:bookmarkEnd w:id="2"/>
      <w:r w:rsidR="00D56F06" w:rsidRPr="00027850">
        <w:rPr>
          <w:color w:val="021142"/>
          <w:lang w:val="el-GR"/>
        </w:rPr>
        <w:t>2025</w:t>
      </w:r>
      <w:r w:rsidR="00234162" w:rsidRPr="00027850">
        <w:rPr>
          <w:color w:val="021142"/>
          <w:lang w:val="el-GR"/>
        </w:rPr>
        <w:t xml:space="preserve">, εκ. των οποίων </w:t>
      </w:r>
      <w:r w:rsidR="008140D2" w:rsidRPr="00027850">
        <w:rPr>
          <w:color w:val="021142"/>
          <w:lang w:val="el-GR"/>
        </w:rPr>
        <w:t>€</w:t>
      </w:r>
      <w:r w:rsidR="00E94F38">
        <w:rPr>
          <w:color w:val="021142"/>
          <w:lang w:val="el-GR"/>
        </w:rPr>
        <w:t>3</w:t>
      </w:r>
      <w:r w:rsidR="00072A4B">
        <w:rPr>
          <w:color w:val="021142"/>
          <w:lang w:val="el-GR"/>
        </w:rPr>
        <w:t>,</w:t>
      </w:r>
      <w:r w:rsidR="00086F9C" w:rsidRPr="001118F2">
        <w:rPr>
          <w:color w:val="021142"/>
          <w:lang w:val="el-GR"/>
        </w:rPr>
        <w:t>8</w:t>
      </w:r>
      <w:r w:rsidR="008140D2" w:rsidRPr="00027850">
        <w:rPr>
          <w:color w:val="021142"/>
          <w:lang w:val="el-GR"/>
        </w:rPr>
        <w:t>δι</w:t>
      </w:r>
      <w:r w:rsidR="00AE4BFB">
        <w:rPr>
          <w:color w:val="021142"/>
          <w:lang w:val="el-GR"/>
        </w:rPr>
        <w:t>ς</w:t>
      </w:r>
      <w:r w:rsidR="008140D2" w:rsidRPr="00027850">
        <w:rPr>
          <w:color w:val="021142"/>
          <w:lang w:val="el-GR"/>
        </w:rPr>
        <w:t xml:space="preserve"> στην Ελλάδα και €</w:t>
      </w:r>
      <w:r w:rsidR="006049F8" w:rsidRPr="00AB6709">
        <w:rPr>
          <w:color w:val="021142"/>
          <w:lang w:val="el-GR"/>
        </w:rPr>
        <w:t>1</w:t>
      </w:r>
      <w:r w:rsidR="00072A4B">
        <w:rPr>
          <w:color w:val="021142"/>
          <w:lang w:val="el-GR"/>
        </w:rPr>
        <w:t>,</w:t>
      </w:r>
      <w:r w:rsidR="00086F9C" w:rsidRPr="001118F2">
        <w:rPr>
          <w:color w:val="021142"/>
          <w:lang w:val="el-GR"/>
        </w:rPr>
        <w:t>6</w:t>
      </w:r>
      <w:r w:rsidR="008140D2" w:rsidRPr="00027850">
        <w:rPr>
          <w:color w:val="021142"/>
          <w:lang w:val="el-GR"/>
        </w:rPr>
        <w:t>δι</w:t>
      </w:r>
      <w:r w:rsidR="00AE4BFB">
        <w:rPr>
          <w:color w:val="021142"/>
          <w:lang w:val="el-GR"/>
        </w:rPr>
        <w:t>ς</w:t>
      </w:r>
      <w:r w:rsidR="008140D2" w:rsidRPr="00027850">
        <w:rPr>
          <w:color w:val="021142"/>
          <w:lang w:val="el-GR"/>
        </w:rPr>
        <w:t xml:space="preserve"> στο εξωτερικό.</w:t>
      </w:r>
      <w:r w:rsidR="004A4C4F" w:rsidRPr="00027850">
        <w:rPr>
          <w:color w:val="021142"/>
          <w:lang w:val="el-GR"/>
        </w:rPr>
        <w:t xml:space="preserve"> </w:t>
      </w:r>
      <w:r w:rsidR="005511E3" w:rsidRPr="00027850">
        <w:rPr>
          <w:color w:val="021142"/>
          <w:lang w:val="el-GR"/>
        </w:rPr>
        <w:t xml:space="preserve">Τα </w:t>
      </w:r>
      <w:r w:rsidR="005511E3" w:rsidRPr="00027850">
        <w:rPr>
          <w:b/>
          <w:color w:val="021142"/>
          <w:lang w:val="el-GR"/>
        </w:rPr>
        <w:t xml:space="preserve">συνολικά υπόλοιπα χορηγήσεων </w:t>
      </w:r>
      <w:r w:rsidR="005511E3" w:rsidRPr="00027850">
        <w:rPr>
          <w:color w:val="021142"/>
          <w:lang w:val="el-GR"/>
        </w:rPr>
        <w:t>(προ πρ</w:t>
      </w:r>
      <w:r w:rsidR="00E406E6" w:rsidRPr="00027850">
        <w:rPr>
          <w:color w:val="021142"/>
          <w:lang w:val="el-GR"/>
        </w:rPr>
        <w:t>οβλέψεων) διαμορφώθηκαν σε €</w:t>
      </w:r>
      <w:r w:rsidR="00072A4B">
        <w:rPr>
          <w:color w:val="021142"/>
          <w:lang w:val="el-GR"/>
        </w:rPr>
        <w:t>5</w:t>
      </w:r>
      <w:r w:rsidR="00893E3B">
        <w:rPr>
          <w:color w:val="021142"/>
          <w:lang w:val="el-GR"/>
        </w:rPr>
        <w:t>6</w:t>
      </w:r>
      <w:r w:rsidR="00072A4B">
        <w:rPr>
          <w:color w:val="021142"/>
          <w:lang w:val="el-GR"/>
        </w:rPr>
        <w:t>,</w:t>
      </w:r>
      <w:r w:rsidR="00893E3B">
        <w:rPr>
          <w:color w:val="021142"/>
          <w:lang w:val="el-GR"/>
        </w:rPr>
        <w:t>0</w:t>
      </w:r>
      <w:r w:rsidR="005511E3" w:rsidRPr="00027850">
        <w:rPr>
          <w:color w:val="021142"/>
          <w:lang w:val="el-GR"/>
        </w:rPr>
        <w:t>δι</w:t>
      </w:r>
      <w:r w:rsidR="00AE4BFB">
        <w:rPr>
          <w:color w:val="021142"/>
          <w:lang w:val="el-GR"/>
        </w:rPr>
        <w:t>ς</w:t>
      </w:r>
      <w:r w:rsidR="009F62F6">
        <w:rPr>
          <w:color w:val="021142"/>
          <w:lang w:val="el-GR"/>
        </w:rPr>
        <w:t xml:space="preserve"> </w:t>
      </w:r>
      <w:r w:rsidR="0010704E">
        <w:rPr>
          <w:color w:val="021142"/>
          <w:lang w:val="el-GR"/>
        </w:rPr>
        <w:t>σ</w:t>
      </w:r>
      <w:r w:rsidR="009F62F6">
        <w:rPr>
          <w:color w:val="021142"/>
          <w:lang w:val="el-GR"/>
        </w:rPr>
        <w:t xml:space="preserve">τις </w:t>
      </w:r>
      <w:r w:rsidR="0010704E">
        <w:rPr>
          <w:color w:val="021142"/>
          <w:lang w:val="el-GR"/>
        </w:rPr>
        <w:t>3</w:t>
      </w:r>
      <w:r w:rsidR="00893E3B">
        <w:rPr>
          <w:color w:val="021142"/>
          <w:lang w:val="el-GR"/>
        </w:rPr>
        <w:t>1</w:t>
      </w:r>
      <w:r w:rsidR="0010704E">
        <w:rPr>
          <w:color w:val="021142"/>
          <w:lang w:val="el-GR"/>
        </w:rPr>
        <w:t xml:space="preserve"> </w:t>
      </w:r>
      <w:r w:rsidR="00893E3B">
        <w:rPr>
          <w:color w:val="021142"/>
          <w:lang w:val="el-GR"/>
        </w:rPr>
        <w:t xml:space="preserve">Δεκεμβρίου </w:t>
      </w:r>
      <w:r w:rsidR="0010704E">
        <w:rPr>
          <w:color w:val="021142"/>
          <w:lang w:val="el-GR"/>
        </w:rPr>
        <w:t>2025</w:t>
      </w:r>
      <w:r w:rsidR="0010704E">
        <w:rPr>
          <w:color w:val="021142"/>
          <w:spacing w:val="-1"/>
          <w:lang w:val="el-GR"/>
        </w:rPr>
        <w:t>,</w:t>
      </w:r>
      <w:r w:rsidR="008C1418" w:rsidRPr="00027850">
        <w:rPr>
          <w:color w:val="021142"/>
          <w:spacing w:val="-1"/>
          <w:lang w:val="el-GR"/>
        </w:rPr>
        <w:t xml:space="preserve"> εκ των οποίων €</w:t>
      </w:r>
      <w:r w:rsidR="00072A4B">
        <w:rPr>
          <w:color w:val="021142"/>
          <w:spacing w:val="-1"/>
          <w:lang w:val="el-GR"/>
        </w:rPr>
        <w:t>3</w:t>
      </w:r>
      <w:r w:rsidR="00893E3B">
        <w:rPr>
          <w:color w:val="021142"/>
          <w:spacing w:val="-1"/>
          <w:lang w:val="el-GR"/>
        </w:rPr>
        <w:t>7</w:t>
      </w:r>
      <w:r w:rsidR="00072A4B">
        <w:rPr>
          <w:color w:val="021142"/>
          <w:spacing w:val="-1"/>
          <w:lang w:val="el-GR"/>
        </w:rPr>
        <w:t>,</w:t>
      </w:r>
      <w:r w:rsidR="00893E3B">
        <w:rPr>
          <w:color w:val="021142"/>
          <w:spacing w:val="-1"/>
          <w:lang w:val="el-GR"/>
        </w:rPr>
        <w:t>3</w:t>
      </w:r>
      <w:r w:rsidR="008C1418" w:rsidRPr="00027850">
        <w:rPr>
          <w:color w:val="021142"/>
          <w:spacing w:val="-1"/>
          <w:lang w:val="el-GR"/>
        </w:rPr>
        <w:t>δι</w:t>
      </w:r>
      <w:r w:rsidR="00AE4BFB">
        <w:rPr>
          <w:color w:val="021142"/>
          <w:spacing w:val="-1"/>
          <w:lang w:val="el-GR"/>
        </w:rPr>
        <w:t>ς</w:t>
      </w:r>
      <w:r w:rsidR="008C1418" w:rsidRPr="00027850">
        <w:rPr>
          <w:color w:val="021142"/>
          <w:spacing w:val="-1"/>
          <w:lang w:val="el-GR"/>
        </w:rPr>
        <w:t xml:space="preserve"> στην Ελλάδα, </w:t>
      </w:r>
      <w:r w:rsidR="00325421" w:rsidRPr="00027850">
        <w:rPr>
          <w:color w:val="021142"/>
          <w:spacing w:val="-1"/>
          <w:lang w:val="el-GR"/>
        </w:rPr>
        <w:t>€</w:t>
      </w:r>
      <w:r w:rsidR="00072A4B">
        <w:rPr>
          <w:color w:val="021142"/>
          <w:spacing w:val="-1"/>
          <w:lang w:val="el-GR"/>
        </w:rPr>
        <w:t>8,</w:t>
      </w:r>
      <w:r w:rsidR="00D7794E" w:rsidRPr="001118F2">
        <w:rPr>
          <w:color w:val="021142"/>
          <w:spacing w:val="-1"/>
          <w:lang w:val="el-GR"/>
        </w:rPr>
        <w:t>8</w:t>
      </w:r>
      <w:r w:rsidR="00325421" w:rsidRPr="00027850">
        <w:rPr>
          <w:color w:val="021142"/>
          <w:spacing w:val="-1"/>
          <w:lang w:val="el-GR"/>
        </w:rPr>
        <w:t>δι</w:t>
      </w:r>
      <w:r w:rsidR="00AE4BFB">
        <w:rPr>
          <w:color w:val="021142"/>
          <w:spacing w:val="-1"/>
          <w:lang w:val="el-GR"/>
        </w:rPr>
        <w:t>ς</w:t>
      </w:r>
      <w:r w:rsidR="00325421" w:rsidRPr="00027850">
        <w:rPr>
          <w:color w:val="021142"/>
          <w:spacing w:val="-1"/>
          <w:lang w:val="el-GR"/>
        </w:rPr>
        <w:t xml:space="preserve"> στην Κύπρο και </w:t>
      </w:r>
      <w:r w:rsidR="008C1418" w:rsidRPr="00027850">
        <w:rPr>
          <w:color w:val="021142"/>
          <w:spacing w:val="-1"/>
          <w:lang w:val="el-GR"/>
        </w:rPr>
        <w:t>€</w:t>
      </w:r>
      <w:r w:rsidR="00072A4B">
        <w:rPr>
          <w:color w:val="021142"/>
          <w:spacing w:val="-1"/>
          <w:lang w:val="el-GR"/>
        </w:rPr>
        <w:t>8,</w:t>
      </w:r>
      <w:r w:rsidR="00D7794E" w:rsidRPr="001118F2">
        <w:rPr>
          <w:color w:val="021142"/>
          <w:spacing w:val="-1"/>
          <w:lang w:val="el-GR"/>
        </w:rPr>
        <w:t>9</w:t>
      </w:r>
      <w:r w:rsidR="008C1418" w:rsidRPr="00027850">
        <w:rPr>
          <w:color w:val="021142"/>
          <w:spacing w:val="-1"/>
          <w:lang w:val="el-GR"/>
        </w:rPr>
        <w:t>δι</w:t>
      </w:r>
      <w:r w:rsidR="00AE4BFB">
        <w:rPr>
          <w:color w:val="021142"/>
          <w:spacing w:val="-1"/>
          <w:lang w:val="el-GR"/>
        </w:rPr>
        <w:t>ς</w:t>
      </w:r>
      <w:r w:rsidR="008C1418" w:rsidRPr="00027850">
        <w:rPr>
          <w:color w:val="021142"/>
          <w:spacing w:val="-1"/>
          <w:lang w:val="el-GR"/>
        </w:rPr>
        <w:t xml:space="preserve"> στη Βουλγαρία</w:t>
      </w:r>
      <w:r w:rsidR="005511E3" w:rsidRPr="00027850">
        <w:rPr>
          <w:color w:val="021142"/>
          <w:spacing w:val="-1"/>
          <w:lang w:val="el-GR"/>
        </w:rPr>
        <w:t>.</w:t>
      </w:r>
      <w:r w:rsidR="005511E3" w:rsidRPr="00027850">
        <w:rPr>
          <w:color w:val="021142"/>
          <w:spacing w:val="-12"/>
          <w:lang w:val="el-GR"/>
        </w:rPr>
        <w:t xml:space="preserve"> </w:t>
      </w:r>
      <w:r w:rsidR="008C1418" w:rsidRPr="00027850">
        <w:rPr>
          <w:color w:val="021142"/>
          <w:spacing w:val="-12"/>
          <w:lang w:val="el-GR"/>
        </w:rPr>
        <w:t>Σε επίπεδο Ομίλου, τα</w:t>
      </w:r>
      <w:r w:rsidR="005511E3" w:rsidRPr="00027850">
        <w:rPr>
          <w:color w:val="021142"/>
          <w:spacing w:val="-13"/>
          <w:lang w:val="el-GR"/>
        </w:rPr>
        <w:t xml:space="preserve"> </w:t>
      </w:r>
      <w:r w:rsidR="005511E3" w:rsidRPr="00027850">
        <w:rPr>
          <w:color w:val="021142"/>
          <w:spacing w:val="-1"/>
          <w:lang w:val="el-GR"/>
        </w:rPr>
        <w:t>επιχειρηματικά</w:t>
      </w:r>
      <w:r w:rsidR="005511E3" w:rsidRPr="00027850">
        <w:rPr>
          <w:color w:val="021142"/>
          <w:spacing w:val="-12"/>
          <w:lang w:val="el-GR"/>
        </w:rPr>
        <w:t xml:space="preserve"> </w:t>
      </w:r>
      <w:r w:rsidR="005511E3" w:rsidRPr="00027850">
        <w:rPr>
          <w:color w:val="021142"/>
          <w:lang w:val="el-GR"/>
        </w:rPr>
        <w:t>δάνεια</w:t>
      </w:r>
      <w:r w:rsidR="0090119D" w:rsidRPr="00027850">
        <w:rPr>
          <w:color w:val="021142"/>
          <w:lang w:val="el-GR"/>
        </w:rPr>
        <w:t xml:space="preserve"> </w:t>
      </w:r>
      <w:r w:rsidR="00565849" w:rsidRPr="00027850">
        <w:rPr>
          <w:color w:val="021142"/>
          <w:lang w:val="el-GR"/>
        </w:rPr>
        <w:t>ανήλθαν</w:t>
      </w:r>
      <w:r w:rsidR="005511E3" w:rsidRPr="00027850">
        <w:rPr>
          <w:color w:val="021142"/>
          <w:spacing w:val="-3"/>
          <w:lang w:val="el-GR"/>
        </w:rPr>
        <w:t xml:space="preserve"> </w:t>
      </w:r>
      <w:r w:rsidR="005511E3" w:rsidRPr="00027850">
        <w:rPr>
          <w:color w:val="021142"/>
          <w:lang w:val="el-GR"/>
        </w:rPr>
        <w:t>σε</w:t>
      </w:r>
      <w:r w:rsidR="005511E3" w:rsidRPr="00027850">
        <w:rPr>
          <w:color w:val="021142"/>
          <w:spacing w:val="-3"/>
          <w:lang w:val="el-GR"/>
        </w:rPr>
        <w:t xml:space="preserve"> </w:t>
      </w:r>
      <w:r w:rsidR="005511E3" w:rsidRPr="00027850">
        <w:rPr>
          <w:color w:val="021142"/>
          <w:lang w:val="el-GR"/>
        </w:rPr>
        <w:t>€</w:t>
      </w:r>
      <w:r w:rsidR="00072A4B">
        <w:rPr>
          <w:color w:val="021142"/>
          <w:lang w:val="el-GR"/>
        </w:rPr>
        <w:t>3</w:t>
      </w:r>
      <w:r w:rsidR="003D645C">
        <w:rPr>
          <w:color w:val="021142"/>
          <w:lang w:val="el-GR"/>
        </w:rPr>
        <w:t>4</w:t>
      </w:r>
      <w:r w:rsidR="00072A4B">
        <w:rPr>
          <w:color w:val="021142"/>
          <w:lang w:val="el-GR"/>
        </w:rPr>
        <w:t>,</w:t>
      </w:r>
      <w:r w:rsidR="003D645C">
        <w:rPr>
          <w:color w:val="021142"/>
          <w:lang w:val="el-GR"/>
        </w:rPr>
        <w:t>3</w:t>
      </w:r>
      <w:r w:rsidR="005511E3" w:rsidRPr="00027850">
        <w:rPr>
          <w:color w:val="021142"/>
          <w:lang w:val="el-GR"/>
        </w:rPr>
        <w:t>δι</w:t>
      </w:r>
      <w:r w:rsidR="00AE4BFB">
        <w:rPr>
          <w:color w:val="021142"/>
          <w:lang w:val="el-GR"/>
        </w:rPr>
        <w:t>ς</w:t>
      </w:r>
      <w:r w:rsidR="005511E3" w:rsidRPr="00027850">
        <w:rPr>
          <w:color w:val="021142"/>
          <w:spacing w:val="-2"/>
          <w:lang w:val="el-GR"/>
        </w:rPr>
        <w:t xml:space="preserve"> </w:t>
      </w:r>
      <w:r w:rsidR="005511E3" w:rsidRPr="00027850">
        <w:rPr>
          <w:color w:val="021142"/>
          <w:lang w:val="el-GR"/>
        </w:rPr>
        <w:t>τα</w:t>
      </w:r>
      <w:r w:rsidR="005511E3" w:rsidRPr="00027850">
        <w:rPr>
          <w:color w:val="021142"/>
          <w:spacing w:val="-3"/>
          <w:lang w:val="el-GR"/>
        </w:rPr>
        <w:t xml:space="preserve"> </w:t>
      </w:r>
      <w:r w:rsidR="005511E3" w:rsidRPr="00027850">
        <w:rPr>
          <w:color w:val="021142"/>
          <w:lang w:val="el-GR"/>
        </w:rPr>
        <w:t>στεγαστικά</w:t>
      </w:r>
      <w:r w:rsidR="005511E3" w:rsidRPr="00027850">
        <w:rPr>
          <w:color w:val="021142"/>
          <w:spacing w:val="-2"/>
          <w:lang w:val="el-GR"/>
        </w:rPr>
        <w:t xml:space="preserve"> </w:t>
      </w:r>
      <w:r w:rsidR="005511E3" w:rsidRPr="00027850">
        <w:rPr>
          <w:color w:val="021142"/>
          <w:lang w:val="el-GR"/>
        </w:rPr>
        <w:t>σε</w:t>
      </w:r>
      <w:r w:rsidR="005511E3" w:rsidRPr="00027850">
        <w:rPr>
          <w:color w:val="021142"/>
          <w:spacing w:val="-3"/>
          <w:lang w:val="el-GR"/>
        </w:rPr>
        <w:t xml:space="preserve"> </w:t>
      </w:r>
      <w:r w:rsidR="00E34391" w:rsidRPr="00027850">
        <w:rPr>
          <w:color w:val="021142"/>
          <w:lang w:val="el-GR"/>
        </w:rPr>
        <w:t>€</w:t>
      </w:r>
      <w:r w:rsidR="00072A4B">
        <w:rPr>
          <w:color w:val="021142"/>
          <w:lang w:val="el-GR"/>
        </w:rPr>
        <w:t>1</w:t>
      </w:r>
      <w:r w:rsidR="0067329C" w:rsidRPr="001118F2">
        <w:rPr>
          <w:color w:val="021142"/>
          <w:lang w:val="el-GR"/>
        </w:rPr>
        <w:t>2</w:t>
      </w:r>
      <w:r w:rsidR="00072A4B">
        <w:rPr>
          <w:color w:val="021142"/>
          <w:lang w:val="el-GR"/>
        </w:rPr>
        <w:t>,</w:t>
      </w:r>
      <w:r w:rsidR="0067329C" w:rsidRPr="001118F2">
        <w:rPr>
          <w:color w:val="021142"/>
          <w:lang w:val="el-GR"/>
        </w:rPr>
        <w:t>9</w:t>
      </w:r>
      <w:r w:rsidR="005511E3" w:rsidRPr="00027850">
        <w:rPr>
          <w:color w:val="021142"/>
          <w:lang w:val="el-GR"/>
        </w:rPr>
        <w:t>δι</w:t>
      </w:r>
      <w:r w:rsidR="00AE4BFB">
        <w:rPr>
          <w:color w:val="021142"/>
          <w:lang w:val="el-GR"/>
        </w:rPr>
        <w:t>ς</w:t>
      </w:r>
      <w:r w:rsidR="005511E3" w:rsidRPr="00027850">
        <w:rPr>
          <w:color w:val="021142"/>
          <w:spacing w:val="-2"/>
          <w:lang w:val="el-GR"/>
        </w:rPr>
        <w:t xml:space="preserve"> </w:t>
      </w:r>
      <w:r w:rsidR="005511E3" w:rsidRPr="00027850">
        <w:rPr>
          <w:color w:val="021142"/>
          <w:lang w:val="el-GR"/>
        </w:rPr>
        <w:t>και</w:t>
      </w:r>
      <w:r w:rsidR="003D645C">
        <w:rPr>
          <w:color w:val="021142"/>
          <w:lang w:val="el-GR"/>
        </w:rPr>
        <w:t xml:space="preserve"> </w:t>
      </w:r>
      <w:r w:rsidR="005511E3" w:rsidRPr="00027850">
        <w:rPr>
          <w:color w:val="021142"/>
          <w:lang w:val="el-GR"/>
        </w:rPr>
        <w:t>τα</w:t>
      </w:r>
      <w:r w:rsidR="005511E3" w:rsidRPr="00027850">
        <w:rPr>
          <w:color w:val="021142"/>
          <w:spacing w:val="-3"/>
          <w:lang w:val="el-GR"/>
        </w:rPr>
        <w:t xml:space="preserve"> </w:t>
      </w:r>
      <w:r w:rsidR="005511E3" w:rsidRPr="00027850">
        <w:rPr>
          <w:color w:val="021142"/>
          <w:lang w:val="el-GR"/>
        </w:rPr>
        <w:t>καταναλωτικά</w:t>
      </w:r>
      <w:r w:rsidR="005511E3" w:rsidRPr="00027850">
        <w:rPr>
          <w:color w:val="021142"/>
          <w:spacing w:val="-2"/>
          <w:lang w:val="el-GR"/>
        </w:rPr>
        <w:t xml:space="preserve"> </w:t>
      </w:r>
      <w:r w:rsidR="005511E3" w:rsidRPr="002A002D">
        <w:rPr>
          <w:color w:val="021142"/>
          <w:lang w:val="el-GR"/>
        </w:rPr>
        <w:t>σε</w:t>
      </w:r>
      <w:r w:rsidR="005511E3" w:rsidRPr="002A002D">
        <w:rPr>
          <w:color w:val="021142"/>
          <w:spacing w:val="-3"/>
          <w:lang w:val="el-GR"/>
        </w:rPr>
        <w:t xml:space="preserve"> </w:t>
      </w:r>
      <w:r w:rsidR="00E34391" w:rsidRPr="00CF5FAF">
        <w:rPr>
          <w:color w:val="021142"/>
          <w:lang w:val="el-GR"/>
        </w:rPr>
        <w:t>€</w:t>
      </w:r>
      <w:r w:rsidR="001E56F5" w:rsidRPr="00CF5FAF">
        <w:rPr>
          <w:color w:val="021142"/>
          <w:lang w:val="el-GR"/>
        </w:rPr>
        <w:t>4,</w:t>
      </w:r>
      <w:r w:rsidR="007E1C93" w:rsidRPr="00CF5FAF">
        <w:rPr>
          <w:color w:val="021142"/>
          <w:lang w:val="el-GR"/>
        </w:rPr>
        <w:t>8</w:t>
      </w:r>
      <w:r w:rsidR="005511E3" w:rsidRPr="00CF5FAF">
        <w:rPr>
          <w:color w:val="021142"/>
          <w:lang w:val="el-GR"/>
        </w:rPr>
        <w:t>δι</w:t>
      </w:r>
      <w:r w:rsidR="00AE4BFB" w:rsidRPr="00CF5FAF">
        <w:rPr>
          <w:color w:val="021142"/>
          <w:lang w:val="el-GR"/>
        </w:rPr>
        <w:t>ς</w:t>
      </w:r>
      <w:r w:rsidR="00AB6709" w:rsidRPr="002A002D">
        <w:rPr>
          <w:color w:val="021142"/>
          <w:lang w:val="el-GR"/>
        </w:rPr>
        <w:t>.</w:t>
      </w:r>
    </w:p>
    <w:p w14:paraId="75DAA720" w14:textId="77777777" w:rsidR="00852D18" w:rsidRPr="00FE4888" w:rsidRDefault="00852D18" w:rsidP="000F5589">
      <w:pPr>
        <w:pStyle w:val="BodyText"/>
        <w:spacing w:before="1"/>
        <w:ind w:right="397"/>
        <w:rPr>
          <w:lang w:val="el-GR"/>
        </w:rPr>
      </w:pPr>
    </w:p>
    <w:p w14:paraId="7E330461" w14:textId="77777777" w:rsidR="000525B2" w:rsidRPr="00FE4888" w:rsidRDefault="000525B2" w:rsidP="000F5589">
      <w:pPr>
        <w:pStyle w:val="BodyText"/>
        <w:spacing w:before="1"/>
        <w:ind w:right="397"/>
        <w:rPr>
          <w:lang w:val="el-GR"/>
        </w:rPr>
      </w:pPr>
    </w:p>
    <w:p w14:paraId="4893117C" w14:textId="77777777" w:rsidR="000525B2" w:rsidRPr="00FE4888" w:rsidRDefault="000525B2" w:rsidP="000F5589">
      <w:pPr>
        <w:pStyle w:val="BodyText"/>
        <w:spacing w:before="1"/>
        <w:ind w:right="397"/>
        <w:rPr>
          <w:lang w:val="el-GR"/>
        </w:rPr>
      </w:pPr>
    </w:p>
    <w:p w14:paraId="5DCDC6D1" w14:textId="77777777" w:rsidR="000525B2" w:rsidRPr="00FE4888" w:rsidRDefault="000525B2" w:rsidP="000F5589">
      <w:pPr>
        <w:pStyle w:val="BodyText"/>
        <w:spacing w:before="1"/>
        <w:ind w:right="397"/>
        <w:rPr>
          <w:lang w:val="el-GR"/>
        </w:rPr>
      </w:pPr>
    </w:p>
    <w:p w14:paraId="568C8C66" w14:textId="77777777" w:rsidR="000525B2" w:rsidRPr="00FE4888" w:rsidRDefault="000525B2" w:rsidP="000F5589">
      <w:pPr>
        <w:pStyle w:val="BodyText"/>
        <w:spacing w:before="1"/>
        <w:ind w:right="397"/>
        <w:rPr>
          <w:lang w:val="el-GR"/>
        </w:rPr>
      </w:pPr>
    </w:p>
    <w:p w14:paraId="4C29945F" w14:textId="77777777" w:rsidR="000525B2" w:rsidRPr="00FE4888" w:rsidRDefault="000525B2" w:rsidP="000F5589">
      <w:pPr>
        <w:pStyle w:val="BodyText"/>
        <w:spacing w:before="1"/>
        <w:ind w:right="397"/>
        <w:rPr>
          <w:lang w:val="el-GR"/>
        </w:rPr>
      </w:pPr>
    </w:p>
    <w:p w14:paraId="67463C06" w14:textId="77777777" w:rsidR="000525B2" w:rsidRPr="00FE4888" w:rsidRDefault="000525B2" w:rsidP="000F5589">
      <w:pPr>
        <w:pStyle w:val="BodyText"/>
        <w:spacing w:before="1"/>
        <w:ind w:right="397"/>
        <w:rPr>
          <w:lang w:val="el-GR"/>
        </w:rPr>
      </w:pPr>
    </w:p>
    <w:p w14:paraId="329DB835" w14:textId="77777777" w:rsidR="000525B2" w:rsidRPr="00FE4888" w:rsidRDefault="000525B2" w:rsidP="000F5589">
      <w:pPr>
        <w:pStyle w:val="BodyText"/>
        <w:spacing w:before="1"/>
        <w:ind w:right="397"/>
        <w:rPr>
          <w:lang w:val="el-GR"/>
        </w:rPr>
      </w:pPr>
    </w:p>
    <w:p w14:paraId="604A79AC" w14:textId="4098DA8D" w:rsidR="00325125" w:rsidRPr="007C41E4" w:rsidRDefault="005511E3" w:rsidP="00EB0E41">
      <w:pPr>
        <w:pStyle w:val="ListParagraph"/>
        <w:numPr>
          <w:ilvl w:val="0"/>
          <w:numId w:val="14"/>
        </w:numPr>
        <w:tabs>
          <w:tab w:val="left" w:pos="724"/>
        </w:tabs>
        <w:spacing w:line="237" w:lineRule="auto"/>
        <w:ind w:right="397"/>
        <w:rPr>
          <w:lang w:val="el-GR"/>
        </w:rPr>
      </w:pPr>
      <w:r w:rsidRPr="002D4E3E">
        <w:rPr>
          <w:color w:val="021142"/>
          <w:lang w:val="el-GR"/>
        </w:rPr>
        <w:t>Οι</w:t>
      </w:r>
      <w:r w:rsidRPr="002D4E3E">
        <w:rPr>
          <w:color w:val="021142"/>
          <w:spacing w:val="20"/>
          <w:lang w:val="el-GR"/>
        </w:rPr>
        <w:t xml:space="preserve"> </w:t>
      </w:r>
      <w:r w:rsidRPr="002D4E3E">
        <w:rPr>
          <w:b/>
          <w:color w:val="021142"/>
          <w:lang w:val="el-GR"/>
        </w:rPr>
        <w:t>καταθέσεις</w:t>
      </w:r>
      <w:r w:rsidRPr="002D4E3E">
        <w:rPr>
          <w:b/>
          <w:color w:val="021142"/>
          <w:spacing w:val="23"/>
          <w:lang w:val="el-GR"/>
        </w:rPr>
        <w:t xml:space="preserve"> </w:t>
      </w:r>
      <w:r w:rsidRPr="002D4E3E">
        <w:rPr>
          <w:b/>
          <w:color w:val="021142"/>
          <w:lang w:val="el-GR"/>
        </w:rPr>
        <w:t>πελατών</w:t>
      </w:r>
      <w:r w:rsidRPr="002D4E3E">
        <w:rPr>
          <w:b/>
          <w:color w:val="021142"/>
          <w:spacing w:val="23"/>
          <w:lang w:val="el-GR"/>
        </w:rPr>
        <w:t xml:space="preserve"> </w:t>
      </w:r>
      <w:r w:rsidR="00FD32FC" w:rsidRPr="002D4E3E">
        <w:rPr>
          <w:color w:val="021142"/>
          <w:spacing w:val="-1"/>
          <w:lang w:val="el-GR"/>
        </w:rPr>
        <w:t xml:space="preserve">αυξήθηκαν </w:t>
      </w:r>
      <w:r w:rsidR="00B5669A" w:rsidRPr="002D4E3E">
        <w:rPr>
          <w:color w:val="021142"/>
          <w:spacing w:val="-1"/>
          <w:lang w:val="el-GR"/>
        </w:rPr>
        <w:t xml:space="preserve">κατά </w:t>
      </w:r>
      <w:r w:rsidRPr="002D4E3E">
        <w:rPr>
          <w:color w:val="021142"/>
          <w:lang w:val="el-GR"/>
        </w:rPr>
        <w:t>€</w:t>
      </w:r>
      <w:r w:rsidR="00A277B9">
        <w:rPr>
          <w:color w:val="021142"/>
          <w:lang w:val="el-GR"/>
        </w:rPr>
        <w:t>4</w:t>
      </w:r>
      <w:r w:rsidR="00EF3BEB" w:rsidRPr="002D4E3E">
        <w:rPr>
          <w:color w:val="021142"/>
          <w:lang w:val="el-GR"/>
        </w:rPr>
        <w:t>,</w:t>
      </w:r>
      <w:r w:rsidR="00A277B9">
        <w:rPr>
          <w:color w:val="021142"/>
          <w:lang w:val="el-GR"/>
        </w:rPr>
        <w:t>1</w:t>
      </w:r>
      <w:r w:rsidR="00031669" w:rsidRPr="002D4E3E">
        <w:rPr>
          <w:color w:val="021142"/>
          <w:lang w:val="el-GR"/>
        </w:rPr>
        <w:t>δι</w:t>
      </w:r>
      <w:r w:rsidR="00AE4BFB" w:rsidRPr="002D4E3E">
        <w:rPr>
          <w:color w:val="021142"/>
          <w:lang w:val="el-GR"/>
        </w:rPr>
        <w:t>ς</w:t>
      </w:r>
      <w:r w:rsidRPr="002D4E3E">
        <w:rPr>
          <w:color w:val="021142"/>
          <w:spacing w:val="20"/>
          <w:lang w:val="el-GR"/>
        </w:rPr>
        <w:t xml:space="preserve"> </w:t>
      </w:r>
      <w:r w:rsidR="006672A7" w:rsidRPr="002D4E3E">
        <w:rPr>
          <w:color w:val="021142"/>
          <w:lang w:val="el-GR"/>
        </w:rPr>
        <w:t xml:space="preserve">το </w:t>
      </w:r>
      <w:r w:rsidR="00D56F06" w:rsidRPr="002D4E3E">
        <w:rPr>
          <w:color w:val="021142"/>
          <w:lang w:val="el-GR"/>
        </w:rPr>
        <w:t>2025</w:t>
      </w:r>
      <w:r w:rsidR="00B40B0D">
        <w:rPr>
          <w:color w:val="021142"/>
          <w:lang w:val="el-GR"/>
        </w:rPr>
        <w:t xml:space="preserve">. </w:t>
      </w:r>
      <w:r w:rsidR="001C23C3" w:rsidRPr="002D4E3E">
        <w:rPr>
          <w:color w:val="021142"/>
          <w:spacing w:val="20"/>
          <w:lang w:val="el-GR"/>
        </w:rPr>
        <w:t xml:space="preserve">Τα </w:t>
      </w:r>
      <w:r w:rsidR="001C23C3" w:rsidRPr="002D4E3E">
        <w:rPr>
          <w:b/>
          <w:color w:val="021142"/>
          <w:lang w:val="el-GR"/>
        </w:rPr>
        <w:t>συνολικά υπόλοιπα καταθέσεων</w:t>
      </w:r>
      <w:r w:rsidR="001C23C3" w:rsidRPr="002D4E3E">
        <w:rPr>
          <w:color w:val="021142"/>
          <w:spacing w:val="20"/>
          <w:lang w:val="el-GR"/>
        </w:rPr>
        <w:t xml:space="preserve"> </w:t>
      </w:r>
      <w:r w:rsidR="001C23C3" w:rsidRPr="002D4E3E">
        <w:rPr>
          <w:color w:val="021142"/>
          <w:spacing w:val="-1"/>
          <w:lang w:val="el-GR"/>
        </w:rPr>
        <w:t>διαμορφώθηκαν σε €</w:t>
      </w:r>
      <w:r w:rsidR="00B40B0D">
        <w:rPr>
          <w:color w:val="021142"/>
          <w:spacing w:val="-1"/>
          <w:lang w:val="el-GR"/>
        </w:rPr>
        <w:t>82,7</w:t>
      </w:r>
      <w:r w:rsidR="001C23C3" w:rsidRPr="002D4E3E">
        <w:rPr>
          <w:color w:val="021142"/>
          <w:spacing w:val="-1"/>
          <w:lang w:val="el-GR"/>
        </w:rPr>
        <w:t>δι</w:t>
      </w:r>
      <w:r w:rsidR="001F2EC8" w:rsidRPr="002D4E3E">
        <w:rPr>
          <w:color w:val="021142"/>
          <w:spacing w:val="-1"/>
          <w:lang w:val="el-GR"/>
        </w:rPr>
        <w:t>ς στις 3</w:t>
      </w:r>
      <w:r w:rsidR="00B40B0D">
        <w:rPr>
          <w:color w:val="021142"/>
          <w:spacing w:val="-1"/>
          <w:lang w:val="el-GR"/>
        </w:rPr>
        <w:t>1</w:t>
      </w:r>
      <w:r w:rsidR="001F2EC8" w:rsidRPr="002D4E3E">
        <w:rPr>
          <w:color w:val="021142"/>
          <w:spacing w:val="-1"/>
          <w:lang w:val="el-GR"/>
        </w:rPr>
        <w:t xml:space="preserve"> </w:t>
      </w:r>
      <w:r w:rsidR="00B40B0D">
        <w:rPr>
          <w:color w:val="021142"/>
          <w:spacing w:val="-1"/>
          <w:lang w:val="el-GR"/>
        </w:rPr>
        <w:t xml:space="preserve">Δεκεμβρίου </w:t>
      </w:r>
      <w:r w:rsidR="001F2EC8" w:rsidRPr="002D4E3E">
        <w:rPr>
          <w:color w:val="021142"/>
          <w:spacing w:val="20"/>
          <w:lang w:val="el-GR"/>
        </w:rPr>
        <w:t>2025</w:t>
      </w:r>
      <w:r w:rsidR="00325421" w:rsidRPr="002D4E3E">
        <w:rPr>
          <w:color w:val="021142"/>
          <w:spacing w:val="20"/>
          <w:lang w:val="el-GR"/>
        </w:rPr>
        <w:t>,</w:t>
      </w:r>
      <w:r w:rsidR="001C23C3" w:rsidRPr="002D4E3E">
        <w:rPr>
          <w:color w:val="021142"/>
          <w:spacing w:val="-1"/>
          <w:lang w:val="el-GR"/>
        </w:rPr>
        <w:t xml:space="preserve"> εκ των οποίων €</w:t>
      </w:r>
      <w:r w:rsidR="00130212" w:rsidRPr="002D4E3E">
        <w:rPr>
          <w:color w:val="021142"/>
          <w:spacing w:val="-1"/>
          <w:lang w:val="el-GR"/>
        </w:rPr>
        <w:t>4</w:t>
      </w:r>
      <w:r w:rsidR="00B40B0D">
        <w:rPr>
          <w:color w:val="021142"/>
          <w:spacing w:val="-1"/>
          <w:lang w:val="el-GR"/>
        </w:rPr>
        <w:t>5</w:t>
      </w:r>
      <w:r w:rsidR="00130212" w:rsidRPr="002D4E3E">
        <w:rPr>
          <w:color w:val="021142"/>
          <w:spacing w:val="-1"/>
          <w:lang w:val="el-GR"/>
        </w:rPr>
        <w:t>,</w:t>
      </w:r>
      <w:r w:rsidR="00B40B0D">
        <w:rPr>
          <w:color w:val="021142"/>
          <w:spacing w:val="-1"/>
          <w:lang w:val="el-GR"/>
        </w:rPr>
        <w:t>2</w:t>
      </w:r>
      <w:r w:rsidR="001C23C3" w:rsidRPr="002D4E3E">
        <w:rPr>
          <w:color w:val="021142"/>
          <w:spacing w:val="-1"/>
          <w:lang w:val="el-GR"/>
        </w:rPr>
        <w:t>δι</w:t>
      </w:r>
      <w:r w:rsidR="00AE4BFB" w:rsidRPr="002D4E3E">
        <w:rPr>
          <w:color w:val="021142"/>
          <w:spacing w:val="-1"/>
          <w:lang w:val="el-GR"/>
        </w:rPr>
        <w:t>ς</w:t>
      </w:r>
      <w:r w:rsidR="001C23C3" w:rsidRPr="002D4E3E">
        <w:rPr>
          <w:color w:val="021142"/>
          <w:spacing w:val="-1"/>
          <w:lang w:val="el-GR"/>
        </w:rPr>
        <w:t xml:space="preserve"> στην Ελλάδα</w:t>
      </w:r>
      <w:r w:rsidR="001C23C3" w:rsidRPr="001549D5">
        <w:rPr>
          <w:color w:val="021142"/>
          <w:spacing w:val="-1"/>
          <w:lang w:val="el-GR"/>
        </w:rPr>
        <w:t>, €</w:t>
      </w:r>
      <w:r w:rsidR="00130212">
        <w:rPr>
          <w:color w:val="021142"/>
          <w:spacing w:val="-1"/>
          <w:lang w:val="el-GR"/>
        </w:rPr>
        <w:t>2</w:t>
      </w:r>
      <w:r w:rsidR="00807308" w:rsidRPr="00CF5FAF">
        <w:rPr>
          <w:color w:val="021142"/>
          <w:spacing w:val="-1"/>
          <w:lang w:val="el-GR"/>
        </w:rPr>
        <w:t>3</w:t>
      </w:r>
      <w:r w:rsidR="00130212">
        <w:rPr>
          <w:color w:val="021142"/>
          <w:spacing w:val="-1"/>
          <w:lang w:val="el-GR"/>
        </w:rPr>
        <w:t>,</w:t>
      </w:r>
      <w:r w:rsidR="00807308" w:rsidRPr="00CF5FAF">
        <w:rPr>
          <w:color w:val="021142"/>
          <w:spacing w:val="-1"/>
          <w:lang w:val="el-GR"/>
        </w:rPr>
        <w:t>9</w:t>
      </w:r>
      <w:r w:rsidR="001C23C3" w:rsidRPr="001549D5">
        <w:rPr>
          <w:color w:val="021142"/>
          <w:spacing w:val="-1"/>
          <w:lang w:val="el-GR"/>
        </w:rPr>
        <w:t>δι</w:t>
      </w:r>
      <w:r w:rsidR="00AE4BFB">
        <w:rPr>
          <w:color w:val="021142"/>
          <w:spacing w:val="-1"/>
          <w:lang w:val="el-GR"/>
        </w:rPr>
        <w:t>ς</w:t>
      </w:r>
      <w:r w:rsidR="001C23C3" w:rsidRPr="001549D5">
        <w:rPr>
          <w:color w:val="021142"/>
          <w:spacing w:val="-1"/>
          <w:lang w:val="el-GR"/>
        </w:rPr>
        <w:t xml:space="preserve"> στην Κύπρο </w:t>
      </w:r>
      <w:r w:rsidR="00325421" w:rsidRPr="001549D5">
        <w:rPr>
          <w:color w:val="021142"/>
          <w:spacing w:val="-1"/>
          <w:lang w:val="el-GR"/>
        </w:rPr>
        <w:t>και</w:t>
      </w:r>
      <w:r w:rsidR="001C23C3" w:rsidRPr="001549D5">
        <w:rPr>
          <w:color w:val="021142"/>
          <w:spacing w:val="-12"/>
          <w:lang w:val="el-GR"/>
        </w:rPr>
        <w:t xml:space="preserve"> </w:t>
      </w:r>
      <w:r w:rsidR="00325421" w:rsidRPr="001549D5">
        <w:rPr>
          <w:color w:val="021142"/>
          <w:spacing w:val="-1"/>
          <w:lang w:val="el-GR"/>
        </w:rPr>
        <w:t>€</w:t>
      </w:r>
      <w:r w:rsidR="00B40B0D">
        <w:rPr>
          <w:color w:val="021142"/>
          <w:spacing w:val="-1"/>
          <w:lang w:val="el-GR"/>
        </w:rPr>
        <w:t>11</w:t>
      </w:r>
      <w:r w:rsidR="00130212">
        <w:rPr>
          <w:color w:val="021142"/>
          <w:spacing w:val="-1"/>
          <w:lang w:val="el-GR"/>
        </w:rPr>
        <w:t>,</w:t>
      </w:r>
      <w:r w:rsidR="00B40B0D">
        <w:rPr>
          <w:color w:val="021142"/>
          <w:spacing w:val="-1"/>
          <w:lang w:val="el-GR"/>
        </w:rPr>
        <w:t>0</w:t>
      </w:r>
      <w:r w:rsidR="00325421" w:rsidRPr="00AF2577">
        <w:rPr>
          <w:color w:val="021142"/>
          <w:spacing w:val="-1"/>
          <w:lang w:val="el-GR"/>
        </w:rPr>
        <w:t>δι</w:t>
      </w:r>
      <w:r w:rsidR="00AE4BFB">
        <w:rPr>
          <w:color w:val="021142"/>
          <w:spacing w:val="-1"/>
          <w:lang w:val="el-GR"/>
        </w:rPr>
        <w:t>ς</w:t>
      </w:r>
      <w:r w:rsidR="00325421" w:rsidRPr="007E39EC">
        <w:rPr>
          <w:color w:val="021142"/>
          <w:spacing w:val="-1"/>
          <w:lang w:val="el-GR"/>
        </w:rPr>
        <w:t xml:space="preserve"> στη Βουλγαρία. </w:t>
      </w:r>
      <w:r w:rsidRPr="007E39EC">
        <w:rPr>
          <w:color w:val="021142"/>
          <w:lang w:val="el-GR"/>
        </w:rPr>
        <w:t xml:space="preserve">Ο </w:t>
      </w:r>
      <w:r w:rsidRPr="007E39EC">
        <w:rPr>
          <w:b/>
          <w:color w:val="021142"/>
          <w:lang w:val="el-GR"/>
        </w:rPr>
        <w:t>δείκτης χορηγήσεων προς</w:t>
      </w:r>
      <w:r w:rsidRPr="007E39EC">
        <w:rPr>
          <w:b/>
          <w:color w:val="021142"/>
          <w:spacing w:val="1"/>
          <w:lang w:val="el-GR"/>
        </w:rPr>
        <w:t xml:space="preserve"> </w:t>
      </w:r>
      <w:r w:rsidRPr="007E39EC">
        <w:rPr>
          <w:b/>
          <w:color w:val="021142"/>
          <w:spacing w:val="-2"/>
          <w:lang w:val="el-GR"/>
        </w:rPr>
        <w:t>καταθέσεις</w:t>
      </w:r>
      <w:r w:rsidRPr="007E39EC">
        <w:rPr>
          <w:b/>
          <w:color w:val="021142"/>
          <w:spacing w:val="-16"/>
          <w:lang w:val="el-GR"/>
        </w:rPr>
        <w:t xml:space="preserve"> </w:t>
      </w:r>
      <w:r w:rsidR="006E26CE" w:rsidRPr="007E39EC">
        <w:rPr>
          <w:color w:val="021142"/>
          <w:spacing w:val="-2"/>
          <w:lang w:val="el-GR"/>
        </w:rPr>
        <w:t>διαμορφώθηκε</w:t>
      </w:r>
      <w:r w:rsidRPr="007E39EC">
        <w:rPr>
          <w:color w:val="021142"/>
          <w:spacing w:val="-15"/>
          <w:lang w:val="el-GR"/>
        </w:rPr>
        <w:t xml:space="preserve"> </w:t>
      </w:r>
      <w:r w:rsidRPr="007E39EC">
        <w:rPr>
          <w:color w:val="021142"/>
          <w:spacing w:val="-2"/>
          <w:lang w:val="el-GR"/>
        </w:rPr>
        <w:t>σε</w:t>
      </w:r>
      <w:r w:rsidRPr="007E39EC">
        <w:rPr>
          <w:color w:val="021142"/>
          <w:spacing w:val="-16"/>
          <w:lang w:val="el-GR"/>
        </w:rPr>
        <w:t xml:space="preserve"> </w:t>
      </w:r>
      <w:r w:rsidR="00130212">
        <w:rPr>
          <w:color w:val="021142"/>
          <w:spacing w:val="-16"/>
          <w:lang w:val="el-GR"/>
        </w:rPr>
        <w:t>66,</w:t>
      </w:r>
      <w:r w:rsidR="00B40B0D">
        <w:rPr>
          <w:color w:val="021142"/>
          <w:spacing w:val="-16"/>
          <w:lang w:val="el-GR"/>
        </w:rPr>
        <w:t>1</w:t>
      </w:r>
      <w:r w:rsidRPr="007E39EC">
        <w:rPr>
          <w:color w:val="021142"/>
          <w:spacing w:val="-2"/>
          <w:lang w:val="el-GR"/>
        </w:rPr>
        <w:t>%</w:t>
      </w:r>
      <w:r w:rsidR="006E26CE" w:rsidRPr="007E39EC">
        <w:rPr>
          <w:color w:val="021142"/>
          <w:spacing w:val="-2"/>
          <w:lang w:val="el-GR"/>
        </w:rPr>
        <w:t xml:space="preserve"> και</w:t>
      </w:r>
      <w:r w:rsidRPr="007E39EC">
        <w:rPr>
          <w:color w:val="021142"/>
          <w:spacing w:val="-16"/>
          <w:lang w:val="el-GR"/>
        </w:rPr>
        <w:t xml:space="preserve"> </w:t>
      </w:r>
      <w:r w:rsidR="006E26CE" w:rsidRPr="007E39EC">
        <w:rPr>
          <w:color w:val="021142"/>
          <w:spacing w:val="-16"/>
          <w:lang w:val="el-GR"/>
        </w:rPr>
        <w:t>ο</w:t>
      </w:r>
      <w:r w:rsidRPr="007E39EC">
        <w:rPr>
          <w:color w:val="021142"/>
          <w:spacing w:val="-16"/>
          <w:lang w:val="el-GR"/>
        </w:rPr>
        <w:t xml:space="preserve"> </w:t>
      </w:r>
      <w:r w:rsidRPr="007E39EC">
        <w:rPr>
          <w:b/>
          <w:color w:val="021142"/>
          <w:spacing w:val="-2"/>
          <w:lang w:val="el-GR"/>
        </w:rPr>
        <w:t>δείκτης</w:t>
      </w:r>
      <w:r w:rsidRPr="007E39EC">
        <w:rPr>
          <w:b/>
          <w:color w:val="021142"/>
          <w:spacing w:val="-15"/>
          <w:lang w:val="el-GR"/>
        </w:rPr>
        <w:t xml:space="preserve"> </w:t>
      </w:r>
      <w:r w:rsidRPr="007E39EC">
        <w:rPr>
          <w:b/>
          <w:color w:val="021142"/>
          <w:spacing w:val="-2"/>
          <w:lang w:val="el-GR"/>
        </w:rPr>
        <w:t>κάλυψης</w:t>
      </w:r>
      <w:r w:rsidRPr="007E39EC">
        <w:rPr>
          <w:b/>
          <w:color w:val="021142"/>
          <w:spacing w:val="-16"/>
          <w:lang w:val="el-GR"/>
        </w:rPr>
        <w:t xml:space="preserve"> </w:t>
      </w:r>
      <w:r w:rsidRPr="007E39EC">
        <w:rPr>
          <w:b/>
          <w:color w:val="021142"/>
          <w:spacing w:val="-2"/>
          <w:lang w:val="el-GR"/>
        </w:rPr>
        <w:t>ρευστότητας</w:t>
      </w:r>
      <w:r w:rsidR="001D2C7D" w:rsidRPr="007E39EC">
        <w:rPr>
          <w:b/>
          <w:color w:val="021142"/>
          <w:spacing w:val="-2"/>
          <w:lang w:val="el-GR"/>
        </w:rPr>
        <w:t xml:space="preserve"> </w:t>
      </w:r>
      <w:r w:rsidRPr="007E39EC">
        <w:rPr>
          <w:color w:val="021142"/>
          <w:lang w:val="el-GR"/>
        </w:rPr>
        <w:t>σε</w:t>
      </w:r>
      <w:r w:rsidRPr="007E39EC">
        <w:rPr>
          <w:color w:val="021142"/>
          <w:spacing w:val="-5"/>
          <w:lang w:val="el-GR"/>
        </w:rPr>
        <w:t xml:space="preserve"> </w:t>
      </w:r>
      <w:r w:rsidR="00130212">
        <w:rPr>
          <w:color w:val="021142"/>
          <w:spacing w:val="-5"/>
          <w:lang w:val="el-GR"/>
        </w:rPr>
        <w:t>1</w:t>
      </w:r>
      <w:r w:rsidR="00B40B0D">
        <w:rPr>
          <w:color w:val="021142"/>
          <w:spacing w:val="-5"/>
          <w:lang w:val="el-GR"/>
        </w:rPr>
        <w:t>72,2</w:t>
      </w:r>
      <w:r w:rsidR="006E26CE" w:rsidRPr="007E39EC">
        <w:rPr>
          <w:color w:val="021142"/>
          <w:lang w:val="el-GR"/>
        </w:rPr>
        <w:t xml:space="preserve">% </w:t>
      </w:r>
      <w:r w:rsidR="00FD32FC">
        <w:rPr>
          <w:color w:val="021142"/>
          <w:lang w:val="el-GR"/>
        </w:rPr>
        <w:t xml:space="preserve">στις </w:t>
      </w:r>
      <w:r w:rsidR="00950E8F" w:rsidRPr="007C41E4">
        <w:rPr>
          <w:color w:val="021142"/>
          <w:lang w:val="el-GR"/>
        </w:rPr>
        <w:t>3</w:t>
      </w:r>
      <w:r w:rsidR="00B40B0D">
        <w:rPr>
          <w:color w:val="021142"/>
          <w:lang w:val="el-GR"/>
        </w:rPr>
        <w:t>1</w:t>
      </w:r>
      <w:r w:rsidR="00950E8F" w:rsidRPr="007C41E4">
        <w:rPr>
          <w:color w:val="021142"/>
          <w:lang w:val="el-GR"/>
        </w:rPr>
        <w:t xml:space="preserve"> </w:t>
      </w:r>
      <w:r w:rsidR="00B40B0D">
        <w:rPr>
          <w:color w:val="021142"/>
          <w:lang w:val="el-GR"/>
        </w:rPr>
        <w:t xml:space="preserve">Δεκεμβρίου </w:t>
      </w:r>
      <w:r w:rsidR="00FD32FC" w:rsidRPr="007C41E4">
        <w:rPr>
          <w:color w:val="021142"/>
          <w:lang w:val="el-GR"/>
        </w:rPr>
        <w:t>2025</w:t>
      </w:r>
      <w:r w:rsidR="006E26CE" w:rsidRPr="007C41E4">
        <w:rPr>
          <w:bCs/>
          <w:color w:val="021142"/>
          <w:spacing w:val="-8"/>
          <w:lang w:val="el-GR"/>
        </w:rPr>
        <w:t>.</w:t>
      </w:r>
    </w:p>
    <w:p w14:paraId="242AAFDA" w14:textId="77777777" w:rsidR="00B66B55" w:rsidRPr="007C41E4" w:rsidRDefault="00B66B55" w:rsidP="00B66B55">
      <w:pPr>
        <w:pStyle w:val="ListParagraph"/>
        <w:rPr>
          <w:lang w:val="el-GR"/>
        </w:rPr>
      </w:pPr>
    </w:p>
    <w:p w14:paraId="14A8F50C" w14:textId="4722CA6B" w:rsidR="00B66B55" w:rsidRPr="002A002D" w:rsidRDefault="00B66B55" w:rsidP="00EB0E41">
      <w:pPr>
        <w:pStyle w:val="ListParagraph"/>
        <w:numPr>
          <w:ilvl w:val="0"/>
          <w:numId w:val="14"/>
        </w:numPr>
        <w:tabs>
          <w:tab w:val="left" w:pos="724"/>
        </w:tabs>
        <w:spacing w:line="237" w:lineRule="auto"/>
        <w:ind w:right="397"/>
        <w:rPr>
          <w:color w:val="021142"/>
          <w:spacing w:val="-13"/>
          <w:lang w:val="el-GR"/>
        </w:rPr>
      </w:pPr>
      <w:r w:rsidRPr="002A002D">
        <w:rPr>
          <w:b/>
          <w:bCs/>
          <w:color w:val="021142"/>
          <w:spacing w:val="-1"/>
          <w:lang w:val="el-GR"/>
        </w:rPr>
        <w:t xml:space="preserve">Τα υπό διαχείριση </w:t>
      </w:r>
      <w:r w:rsidR="008C4976" w:rsidRPr="002A002D">
        <w:rPr>
          <w:b/>
          <w:bCs/>
          <w:color w:val="021142"/>
          <w:spacing w:val="-1"/>
          <w:lang w:val="el-GR"/>
        </w:rPr>
        <w:t xml:space="preserve">αμοιβαία </w:t>
      </w:r>
      <w:r w:rsidRPr="002A002D">
        <w:rPr>
          <w:b/>
          <w:bCs/>
          <w:color w:val="021142"/>
          <w:spacing w:val="-1"/>
          <w:lang w:val="el-GR"/>
        </w:rPr>
        <w:t>κεφάλαια πελατών</w:t>
      </w:r>
      <w:r w:rsidRPr="002A002D">
        <w:rPr>
          <w:color w:val="021142"/>
          <w:spacing w:val="-1"/>
          <w:lang w:val="el-GR"/>
        </w:rPr>
        <w:t xml:space="preserve"> αυξήθηκαν </w:t>
      </w:r>
      <w:r w:rsidRPr="00CF5FAF">
        <w:rPr>
          <w:color w:val="021142"/>
          <w:spacing w:val="-1"/>
          <w:lang w:val="el-GR"/>
        </w:rPr>
        <w:t>κατά</w:t>
      </w:r>
      <w:r w:rsidR="00363C0D" w:rsidRPr="00CF5FAF">
        <w:rPr>
          <w:color w:val="021142"/>
          <w:spacing w:val="-1"/>
          <w:lang w:val="el-GR"/>
        </w:rPr>
        <w:t xml:space="preserve"> </w:t>
      </w:r>
      <w:r w:rsidR="00042F1B" w:rsidRPr="00CF5FAF">
        <w:rPr>
          <w:color w:val="021142"/>
          <w:spacing w:val="-1"/>
          <w:lang w:val="el-GR"/>
        </w:rPr>
        <w:t>3</w:t>
      </w:r>
      <w:r w:rsidR="0067329C" w:rsidRPr="001118F2">
        <w:rPr>
          <w:color w:val="021142"/>
          <w:spacing w:val="-1"/>
          <w:lang w:val="el-GR"/>
        </w:rPr>
        <w:t>0</w:t>
      </w:r>
      <w:r w:rsidR="00363C0D" w:rsidRPr="00CF5FAF">
        <w:rPr>
          <w:color w:val="021142"/>
          <w:spacing w:val="-1"/>
          <w:lang w:val="el-GR"/>
        </w:rPr>
        <w:t>%</w:t>
      </w:r>
      <w:r w:rsidR="00363C0D" w:rsidRPr="002A002D">
        <w:rPr>
          <w:color w:val="021142"/>
          <w:spacing w:val="-1"/>
          <w:lang w:val="el-GR"/>
        </w:rPr>
        <w:t xml:space="preserve"> σε ετήσια βάση και διαμορφώθηκαν </w:t>
      </w:r>
      <w:r w:rsidR="00363C0D" w:rsidRPr="00CF5FAF">
        <w:rPr>
          <w:color w:val="021142"/>
          <w:spacing w:val="-1"/>
          <w:lang w:val="el-GR"/>
        </w:rPr>
        <w:t>σε €</w:t>
      </w:r>
      <w:r w:rsidR="00042F1B" w:rsidRPr="00CF5FAF">
        <w:rPr>
          <w:color w:val="021142"/>
          <w:spacing w:val="-1"/>
          <w:lang w:val="el-GR"/>
        </w:rPr>
        <w:t>9</w:t>
      </w:r>
      <w:r w:rsidR="00130212" w:rsidRPr="00CF5FAF">
        <w:rPr>
          <w:color w:val="021142"/>
          <w:spacing w:val="-1"/>
          <w:lang w:val="el-GR"/>
        </w:rPr>
        <w:t>,</w:t>
      </w:r>
      <w:r w:rsidR="002A002D" w:rsidRPr="00CF5FAF">
        <w:rPr>
          <w:color w:val="021142"/>
          <w:spacing w:val="-1"/>
          <w:lang w:val="el-GR"/>
        </w:rPr>
        <w:t>9</w:t>
      </w:r>
      <w:r w:rsidR="00363C0D" w:rsidRPr="00CF5FAF">
        <w:rPr>
          <w:color w:val="021142"/>
          <w:spacing w:val="-1"/>
          <w:lang w:val="el-GR"/>
        </w:rPr>
        <w:t>δι</w:t>
      </w:r>
      <w:r w:rsidR="00E722C9" w:rsidRPr="00CF5FAF">
        <w:rPr>
          <w:color w:val="021142"/>
          <w:spacing w:val="-1"/>
          <w:lang w:val="el-GR"/>
        </w:rPr>
        <w:t>ς</w:t>
      </w:r>
      <w:r w:rsidR="00363C0D" w:rsidRPr="002A002D">
        <w:rPr>
          <w:color w:val="021142"/>
          <w:spacing w:val="-1"/>
          <w:lang w:val="el-GR"/>
        </w:rPr>
        <w:t xml:space="preserve"> </w:t>
      </w:r>
      <w:r w:rsidR="00042F1B" w:rsidRPr="002A002D">
        <w:rPr>
          <w:color w:val="021142"/>
          <w:spacing w:val="-1"/>
          <w:lang w:val="el-GR"/>
        </w:rPr>
        <w:t>στις 3</w:t>
      </w:r>
      <w:r w:rsidR="00311D72" w:rsidRPr="002A002D">
        <w:rPr>
          <w:color w:val="021142"/>
          <w:spacing w:val="-1"/>
          <w:lang w:val="el-GR"/>
        </w:rPr>
        <w:t>1</w:t>
      </w:r>
      <w:r w:rsidR="00042F1B" w:rsidRPr="002A002D">
        <w:rPr>
          <w:color w:val="021142"/>
          <w:spacing w:val="-1"/>
          <w:lang w:val="el-GR"/>
        </w:rPr>
        <w:t xml:space="preserve"> </w:t>
      </w:r>
      <w:r w:rsidR="00311D72" w:rsidRPr="002A002D">
        <w:rPr>
          <w:color w:val="021142"/>
          <w:spacing w:val="-1"/>
          <w:lang w:val="el-GR"/>
        </w:rPr>
        <w:t xml:space="preserve">Δεκεμβρίου </w:t>
      </w:r>
      <w:r w:rsidR="00042F1B" w:rsidRPr="002A002D">
        <w:rPr>
          <w:color w:val="021142"/>
          <w:spacing w:val="-1"/>
          <w:lang w:val="el-GR"/>
        </w:rPr>
        <w:t>2025</w:t>
      </w:r>
      <w:r w:rsidR="00363C0D" w:rsidRPr="002A002D">
        <w:rPr>
          <w:color w:val="021142"/>
          <w:spacing w:val="-1"/>
          <w:lang w:val="el-GR"/>
        </w:rPr>
        <w:t>.</w:t>
      </w:r>
      <w:r w:rsidR="00290105" w:rsidRPr="002A002D">
        <w:rPr>
          <w:color w:val="021142"/>
          <w:spacing w:val="-1"/>
          <w:lang w:val="el-GR"/>
        </w:rPr>
        <w:t xml:space="preserve"> </w:t>
      </w:r>
      <w:r w:rsidR="00BC0DEC" w:rsidRPr="002A002D">
        <w:rPr>
          <w:color w:val="021142"/>
          <w:spacing w:val="-1"/>
          <w:lang w:val="el-GR"/>
        </w:rPr>
        <w:t>Τ</w:t>
      </w:r>
      <w:r w:rsidR="00290105" w:rsidRPr="002A002D">
        <w:rPr>
          <w:color w:val="021142"/>
          <w:spacing w:val="-1"/>
          <w:lang w:val="el-GR"/>
        </w:rPr>
        <w:t>ο ενεργητικό και παθητικό των private banking πελατών</w:t>
      </w:r>
      <w:r w:rsidR="002544BF" w:rsidRPr="002A002D">
        <w:rPr>
          <w:color w:val="021142"/>
          <w:spacing w:val="-1"/>
          <w:lang w:val="el-GR"/>
        </w:rPr>
        <w:t xml:space="preserve"> </w:t>
      </w:r>
      <w:r w:rsidR="00290105" w:rsidRPr="002A002D">
        <w:rPr>
          <w:color w:val="021142"/>
          <w:spacing w:val="-1"/>
          <w:lang w:val="el-GR"/>
        </w:rPr>
        <w:t xml:space="preserve">ενισχύθηκε κατά </w:t>
      </w:r>
      <w:r w:rsidR="007C41E4" w:rsidRPr="00CF5FAF">
        <w:rPr>
          <w:color w:val="021142"/>
          <w:spacing w:val="-1"/>
          <w:lang w:val="el-GR"/>
        </w:rPr>
        <w:t>1</w:t>
      </w:r>
      <w:r w:rsidR="002A002D" w:rsidRPr="00CF5FAF">
        <w:rPr>
          <w:color w:val="021142"/>
          <w:spacing w:val="-1"/>
          <w:lang w:val="el-GR"/>
        </w:rPr>
        <w:t>2</w:t>
      </w:r>
      <w:r w:rsidR="00290105" w:rsidRPr="00CF5FAF">
        <w:rPr>
          <w:color w:val="021142"/>
          <w:spacing w:val="-1"/>
          <w:lang w:val="el-GR"/>
        </w:rPr>
        <w:t>% σε ετήσια βάση και ανήλθε σε €</w:t>
      </w:r>
      <w:r w:rsidR="007C41E4" w:rsidRPr="00CF5FAF">
        <w:rPr>
          <w:color w:val="021142"/>
          <w:spacing w:val="-1"/>
          <w:lang w:val="el-GR"/>
        </w:rPr>
        <w:t>1</w:t>
      </w:r>
      <w:r w:rsidR="00042F1B" w:rsidRPr="00CF5FAF">
        <w:rPr>
          <w:color w:val="021142"/>
          <w:spacing w:val="-1"/>
          <w:lang w:val="el-GR"/>
        </w:rPr>
        <w:t>4</w:t>
      </w:r>
      <w:r w:rsidR="007C41E4" w:rsidRPr="00CF5FAF">
        <w:rPr>
          <w:color w:val="021142"/>
          <w:spacing w:val="-1"/>
          <w:lang w:val="el-GR"/>
        </w:rPr>
        <w:t>,</w:t>
      </w:r>
      <w:r w:rsidR="002A002D" w:rsidRPr="00CF5FAF">
        <w:rPr>
          <w:color w:val="021142"/>
          <w:spacing w:val="-1"/>
          <w:lang w:val="el-GR"/>
        </w:rPr>
        <w:t>5</w:t>
      </w:r>
      <w:r w:rsidR="00290105" w:rsidRPr="00CF5FAF">
        <w:rPr>
          <w:color w:val="021142"/>
          <w:spacing w:val="-1"/>
          <w:lang w:val="el-GR"/>
        </w:rPr>
        <w:t>δι</w:t>
      </w:r>
      <w:r w:rsidR="00322CC9" w:rsidRPr="00CF5FAF">
        <w:rPr>
          <w:color w:val="021142"/>
          <w:spacing w:val="-1"/>
          <w:lang w:val="el-GR"/>
        </w:rPr>
        <w:t>ς</w:t>
      </w:r>
      <w:r w:rsidR="00322CC9" w:rsidRPr="002A002D">
        <w:rPr>
          <w:color w:val="021142"/>
          <w:spacing w:val="-1"/>
          <w:lang w:val="el-GR"/>
        </w:rPr>
        <w:t xml:space="preserve"> στις 3</w:t>
      </w:r>
      <w:r w:rsidR="00A64584" w:rsidRPr="002A002D">
        <w:rPr>
          <w:color w:val="021142"/>
          <w:spacing w:val="-1"/>
          <w:lang w:val="el-GR"/>
        </w:rPr>
        <w:t>1</w:t>
      </w:r>
      <w:r w:rsidR="00322CC9" w:rsidRPr="002A002D">
        <w:rPr>
          <w:color w:val="021142"/>
          <w:spacing w:val="-1"/>
          <w:lang w:val="el-GR"/>
        </w:rPr>
        <w:t xml:space="preserve"> </w:t>
      </w:r>
      <w:r w:rsidR="00A64584" w:rsidRPr="002A002D">
        <w:rPr>
          <w:color w:val="021142"/>
          <w:spacing w:val="-1"/>
          <w:lang w:val="el-GR"/>
        </w:rPr>
        <w:t xml:space="preserve">Δεκεμβρίου </w:t>
      </w:r>
      <w:r w:rsidR="00322CC9" w:rsidRPr="002A002D">
        <w:rPr>
          <w:color w:val="021142"/>
          <w:spacing w:val="-1"/>
          <w:lang w:val="el-GR"/>
        </w:rPr>
        <w:t>2025.</w:t>
      </w:r>
    </w:p>
    <w:p w14:paraId="30CD7F56" w14:textId="77777777" w:rsidR="000E580D" w:rsidRPr="00662755" w:rsidRDefault="000E580D" w:rsidP="000E580D">
      <w:pPr>
        <w:pStyle w:val="ListParagraph"/>
        <w:rPr>
          <w:lang w:val="el-GR"/>
        </w:rPr>
      </w:pPr>
    </w:p>
    <w:p w14:paraId="61B37918" w14:textId="77777777" w:rsidR="00E214BF" w:rsidRDefault="00E214BF" w:rsidP="00E214BF">
      <w:pPr>
        <w:pStyle w:val="BodyText"/>
        <w:rPr>
          <w:sz w:val="24"/>
          <w:lang w:val="el-GR"/>
        </w:rPr>
      </w:pPr>
    </w:p>
    <w:p w14:paraId="2C6D2959" w14:textId="77777777" w:rsidR="00D56F06" w:rsidRDefault="00D56F06" w:rsidP="00E214BF">
      <w:pPr>
        <w:pStyle w:val="BodyText"/>
        <w:rPr>
          <w:sz w:val="24"/>
          <w:lang w:val="el-GR"/>
        </w:rPr>
      </w:pPr>
    </w:p>
    <w:p w14:paraId="3D396948" w14:textId="77777777" w:rsidR="00E214BF" w:rsidRDefault="00E214BF" w:rsidP="00E214BF">
      <w:pPr>
        <w:pStyle w:val="BodyText"/>
        <w:rPr>
          <w:sz w:val="24"/>
          <w:lang w:val="el-GR"/>
        </w:rPr>
      </w:pPr>
    </w:p>
    <w:p w14:paraId="56397BA5" w14:textId="77777777" w:rsidR="00B365B2" w:rsidRDefault="00B365B2" w:rsidP="00B365B2">
      <w:pPr>
        <w:pStyle w:val="BodyText"/>
        <w:rPr>
          <w:sz w:val="24"/>
          <w:lang w:val="el-GR"/>
        </w:rPr>
      </w:pPr>
    </w:p>
    <w:p w14:paraId="76495C2E" w14:textId="77777777" w:rsidR="00B365B2" w:rsidRDefault="00B365B2" w:rsidP="00B365B2">
      <w:pPr>
        <w:pStyle w:val="ListParagraph"/>
        <w:tabs>
          <w:tab w:val="left" w:pos="724"/>
        </w:tabs>
        <w:spacing w:line="237" w:lineRule="auto"/>
        <w:ind w:left="720" w:right="397"/>
        <w:rPr>
          <w:color w:val="021142"/>
          <w:shd w:val="clear" w:color="auto" w:fill="E6E7E8"/>
          <w:lang w:val="el-GR"/>
        </w:rPr>
      </w:pPr>
    </w:p>
    <w:p w14:paraId="7762387C" w14:textId="50906FAE" w:rsidR="00B365B2" w:rsidRPr="00CF5FAF" w:rsidRDefault="00B365B2" w:rsidP="00B365B2">
      <w:pPr>
        <w:pStyle w:val="ListParagraph"/>
        <w:tabs>
          <w:tab w:val="left" w:pos="724"/>
        </w:tabs>
        <w:spacing w:line="237" w:lineRule="auto"/>
        <w:ind w:left="360" w:right="397"/>
        <w:rPr>
          <w:b/>
          <w:bCs/>
          <w:color w:val="021142"/>
          <w:sz w:val="32"/>
          <w:szCs w:val="32"/>
          <w:shd w:val="clear" w:color="auto" w:fill="E6E7E8"/>
          <w:lang w:val="el-GR"/>
        </w:rPr>
      </w:pPr>
      <w:r>
        <w:rPr>
          <w:b/>
          <w:bCs/>
          <w:color w:val="021142"/>
          <w:sz w:val="32"/>
          <w:szCs w:val="32"/>
          <w:shd w:val="clear" w:color="auto" w:fill="E6E7E8"/>
          <w:lang w:val="el-GR"/>
        </w:rPr>
        <w:t xml:space="preserve">  </w:t>
      </w:r>
      <w:r w:rsidRPr="00CF5FAF">
        <w:rPr>
          <w:b/>
          <w:bCs/>
          <w:color w:val="021142"/>
          <w:sz w:val="32"/>
          <w:szCs w:val="32"/>
          <w:shd w:val="clear" w:color="auto" w:fill="E6E7E8"/>
          <w:lang w:val="el-GR"/>
        </w:rPr>
        <w:t>Επιχειρηματικό Πλάνο 2026-2028</w:t>
      </w:r>
      <w:r w:rsidRPr="00CF5FAF">
        <w:rPr>
          <w:b/>
          <w:bCs/>
          <w:color w:val="021142"/>
          <w:sz w:val="32"/>
          <w:szCs w:val="32"/>
          <w:shd w:val="clear" w:color="auto" w:fill="E6E7E8"/>
          <w:lang w:val="el-GR"/>
        </w:rPr>
        <w:tab/>
        <w:t xml:space="preserve">                                                                              </w:t>
      </w:r>
    </w:p>
    <w:p w14:paraId="0E1DDCEB" w14:textId="77777777" w:rsidR="00B365B2" w:rsidRPr="00CF5FAF" w:rsidRDefault="00B365B2" w:rsidP="00B365B2">
      <w:pPr>
        <w:pStyle w:val="ListParagraph"/>
        <w:rPr>
          <w:color w:val="021142"/>
          <w:lang w:val="el-GR"/>
        </w:rPr>
      </w:pPr>
    </w:p>
    <w:p w14:paraId="2AB0DE31" w14:textId="77777777" w:rsidR="00B365B2" w:rsidRPr="00CF5FAF" w:rsidRDefault="00B365B2" w:rsidP="00B365B2">
      <w:pPr>
        <w:pStyle w:val="ListParagraph"/>
        <w:spacing w:line="120" w:lineRule="exact"/>
        <w:ind w:left="261" w:right="295"/>
        <w:rPr>
          <w:color w:val="021142"/>
          <w:lang w:val="el-GR"/>
        </w:rPr>
      </w:pPr>
    </w:p>
    <w:p w14:paraId="5E48C7D4" w14:textId="1FB2B3FF" w:rsidR="00B365B2" w:rsidRPr="00CF5FAF" w:rsidRDefault="00B365B2" w:rsidP="00B365B2">
      <w:pPr>
        <w:tabs>
          <w:tab w:val="left" w:pos="724"/>
        </w:tabs>
        <w:spacing w:line="237" w:lineRule="auto"/>
        <w:ind w:left="360" w:right="397"/>
        <w:jc w:val="both"/>
        <w:rPr>
          <w:color w:val="021142"/>
          <w:lang w:val="el-GR"/>
        </w:rPr>
      </w:pPr>
      <w:r w:rsidRPr="00CF5FAF">
        <w:rPr>
          <w:color w:val="021142"/>
          <w:lang w:val="el-GR"/>
        </w:rPr>
        <w:t xml:space="preserve">Σε ένα περιβάλλον </w:t>
      </w:r>
      <w:r w:rsidR="0027087B" w:rsidRPr="00CF5FAF">
        <w:rPr>
          <w:color w:val="021142"/>
          <w:lang w:val="el-GR"/>
        </w:rPr>
        <w:t xml:space="preserve">σχετικά σταθερών </w:t>
      </w:r>
      <w:r w:rsidRPr="00CF5FAF">
        <w:rPr>
          <w:color w:val="021142"/>
          <w:lang w:val="el-GR"/>
        </w:rPr>
        <w:t xml:space="preserve">επιτοκίων, η </w:t>
      </w:r>
      <w:r w:rsidRPr="00CF5FAF">
        <w:rPr>
          <w:color w:val="021142"/>
        </w:rPr>
        <w:t>Eurobank</w:t>
      </w:r>
      <w:r w:rsidRPr="00CF5FAF">
        <w:rPr>
          <w:color w:val="021142"/>
          <w:lang w:val="el-GR"/>
        </w:rPr>
        <w:t xml:space="preserve"> στοχεύει </w:t>
      </w:r>
      <w:r w:rsidR="00336AF0">
        <w:rPr>
          <w:color w:val="021142"/>
          <w:lang w:val="el-GR"/>
        </w:rPr>
        <w:t xml:space="preserve">την αύξηση της </w:t>
      </w:r>
      <w:r w:rsidRPr="00CF5FAF">
        <w:rPr>
          <w:color w:val="021142"/>
          <w:lang w:val="el-GR"/>
        </w:rPr>
        <w:t>απόδοσης ενσώματων ιδίων κεφαλαίων</w:t>
      </w:r>
      <w:r w:rsidR="00DE45C7" w:rsidRPr="00CF5FAF">
        <w:rPr>
          <w:color w:val="021142"/>
          <w:lang w:val="el-GR"/>
        </w:rPr>
        <w:t xml:space="preserve"> τουλάχιστον</w:t>
      </w:r>
      <w:r w:rsidR="00336AF0">
        <w:rPr>
          <w:color w:val="021142"/>
          <w:lang w:val="el-GR"/>
        </w:rPr>
        <w:t xml:space="preserve"> σε περίπου 17% το 2028</w:t>
      </w:r>
      <w:r w:rsidRPr="00CF5FAF">
        <w:rPr>
          <w:color w:val="021142"/>
          <w:lang w:val="el-GR"/>
        </w:rPr>
        <w:t xml:space="preserve">, η οποία θα οδηγήσει σε αύξηση των ενσώματων ιδίων κεφαλαίων ανά μετοχή και </w:t>
      </w:r>
      <w:r w:rsidR="00667CA8" w:rsidRPr="00CF5FAF">
        <w:rPr>
          <w:color w:val="021142"/>
          <w:lang w:val="el-GR"/>
        </w:rPr>
        <w:t xml:space="preserve">σε </w:t>
      </w:r>
      <w:r w:rsidR="00336AF0">
        <w:rPr>
          <w:color w:val="021142"/>
          <w:lang w:val="el-GR"/>
        </w:rPr>
        <w:t>μια αύξηση κατά 50% της</w:t>
      </w:r>
      <w:r w:rsidR="00864421">
        <w:rPr>
          <w:color w:val="021142"/>
          <w:lang w:val="el-GR"/>
        </w:rPr>
        <w:t xml:space="preserve"> σωρευτικής </w:t>
      </w:r>
      <w:r w:rsidRPr="00CF5FAF">
        <w:rPr>
          <w:color w:val="021142"/>
          <w:lang w:val="el-GR"/>
        </w:rPr>
        <w:t>διανομή</w:t>
      </w:r>
      <w:r w:rsidR="00667CA8" w:rsidRPr="00CF5FAF">
        <w:rPr>
          <w:color w:val="021142"/>
          <w:lang w:val="el-GR"/>
        </w:rPr>
        <w:t>ς</w:t>
      </w:r>
      <w:r w:rsidRPr="00CF5FAF">
        <w:rPr>
          <w:color w:val="021142"/>
          <w:lang w:val="el-GR"/>
        </w:rPr>
        <w:t xml:space="preserve"> κερδών </w:t>
      </w:r>
      <w:r w:rsidR="00864421">
        <w:rPr>
          <w:color w:val="021142"/>
          <w:lang w:val="el-GR"/>
        </w:rPr>
        <w:t xml:space="preserve">για την περίοδο 2026-2028, έναντι της αντίστοιχης διανομής για την περίοδο 2023-2025. </w:t>
      </w:r>
      <w:r w:rsidRPr="00CF5FAF">
        <w:rPr>
          <w:color w:val="021142"/>
          <w:lang w:val="el-GR"/>
        </w:rPr>
        <w:t xml:space="preserve">Η ανάπτυξη θα προέλθει κυρίως </w:t>
      </w:r>
      <w:r w:rsidR="00E077E5" w:rsidRPr="00CF5FAF">
        <w:rPr>
          <w:color w:val="021142"/>
          <w:lang w:val="el-GR"/>
        </w:rPr>
        <w:t xml:space="preserve">από την </w:t>
      </w:r>
      <w:r w:rsidR="003B1672" w:rsidRPr="00CF5FAF">
        <w:rPr>
          <w:color w:val="021142"/>
          <w:lang w:val="el-GR"/>
        </w:rPr>
        <w:t>οργανική αύξηση των χορηγήσεων (σωρευτική ετήσια μεταβολή +7,</w:t>
      </w:r>
      <w:r w:rsidR="00DE45C7" w:rsidRPr="00CF5FAF">
        <w:rPr>
          <w:color w:val="021142"/>
          <w:lang w:val="el-GR"/>
        </w:rPr>
        <w:t>5</w:t>
      </w:r>
      <w:r w:rsidR="003B1672" w:rsidRPr="00CF5FAF">
        <w:rPr>
          <w:color w:val="021142"/>
          <w:lang w:val="el-GR"/>
        </w:rPr>
        <w:t xml:space="preserve">% περίπου), </w:t>
      </w:r>
      <w:r w:rsidR="00C334F3" w:rsidRPr="00CF5FAF">
        <w:rPr>
          <w:color w:val="021142"/>
          <w:lang w:val="el-GR"/>
        </w:rPr>
        <w:t>από τα οφέλη και τις συνέργειες από την η</w:t>
      </w:r>
      <w:r w:rsidR="000B234F" w:rsidRPr="00CF5FAF">
        <w:rPr>
          <w:color w:val="021142"/>
          <w:lang w:val="el-GR"/>
        </w:rPr>
        <w:t xml:space="preserve">γετική θέση στην Κύπρο, </w:t>
      </w:r>
      <w:r w:rsidRPr="00CF5FAF">
        <w:rPr>
          <w:color w:val="021142"/>
          <w:lang w:val="el-GR"/>
        </w:rPr>
        <w:t xml:space="preserve">από την εξαγορά της </w:t>
      </w:r>
      <w:r w:rsidR="000B234F" w:rsidRPr="00CF5FAF">
        <w:rPr>
          <w:color w:val="021142"/>
          <w:lang w:val="en-GB"/>
        </w:rPr>
        <w:t>Eurolife</w:t>
      </w:r>
      <w:r w:rsidR="000B234F" w:rsidRPr="00CF5FAF">
        <w:rPr>
          <w:color w:val="021142"/>
          <w:lang w:val="el-GR"/>
        </w:rPr>
        <w:t xml:space="preserve"> </w:t>
      </w:r>
      <w:r w:rsidRPr="00CF5FAF">
        <w:rPr>
          <w:color w:val="021142"/>
          <w:lang w:val="el-GR"/>
        </w:rPr>
        <w:t>και την περαιτέρω ανάπτυξη των εργασιών στη Διαχείριση Περιουσίας (σωρευτική ετήσια μεταβολή</w:t>
      </w:r>
      <w:r w:rsidR="00281B7F">
        <w:rPr>
          <w:color w:val="021142"/>
          <w:lang w:val="el-GR"/>
        </w:rPr>
        <w:t xml:space="preserve"> κατά περίπου </w:t>
      </w:r>
      <w:r w:rsidRPr="00CF5FAF">
        <w:rPr>
          <w:color w:val="021142"/>
          <w:lang w:val="el-GR"/>
        </w:rPr>
        <w:t>+1</w:t>
      </w:r>
      <w:r w:rsidR="00864421">
        <w:rPr>
          <w:color w:val="021142"/>
          <w:lang w:val="el-GR"/>
        </w:rPr>
        <w:t>6</w:t>
      </w:r>
      <w:r w:rsidRPr="00CF5FAF">
        <w:rPr>
          <w:color w:val="021142"/>
          <w:lang w:val="el-GR"/>
        </w:rPr>
        <w:t>% των υπό διαχείριση κεφαλαίων</w:t>
      </w:r>
      <w:r w:rsidRPr="00CF5FAF">
        <w:rPr>
          <w:color w:val="021142"/>
          <w:spacing w:val="-13"/>
          <w:lang w:val="el-GR"/>
        </w:rPr>
        <w:t>).</w:t>
      </w:r>
      <w:r w:rsidRPr="00CF5FAF">
        <w:rPr>
          <w:color w:val="021142"/>
          <w:lang w:val="el-GR"/>
        </w:rPr>
        <w:t xml:space="preserve"> </w:t>
      </w:r>
      <w:r w:rsidRPr="00CF5FAF">
        <w:rPr>
          <w:b/>
          <w:bCs/>
          <w:color w:val="021142"/>
          <w:lang w:val="el-GR"/>
        </w:rPr>
        <w:t>Οι χρηματοοικονομικοί στόχοι της περιόδου 202</w:t>
      </w:r>
      <w:r w:rsidR="000B234F" w:rsidRPr="00CF5FAF">
        <w:rPr>
          <w:b/>
          <w:bCs/>
          <w:color w:val="021142"/>
          <w:lang w:val="el-GR"/>
        </w:rPr>
        <w:t>6</w:t>
      </w:r>
      <w:r w:rsidRPr="00CF5FAF">
        <w:rPr>
          <w:b/>
          <w:bCs/>
          <w:color w:val="021142"/>
          <w:lang w:val="el-GR"/>
        </w:rPr>
        <w:t>-202</w:t>
      </w:r>
      <w:r w:rsidR="000B234F" w:rsidRPr="00CF5FAF">
        <w:rPr>
          <w:b/>
          <w:bCs/>
          <w:color w:val="021142"/>
          <w:lang w:val="el-GR"/>
        </w:rPr>
        <w:t>8</w:t>
      </w:r>
      <w:r w:rsidRPr="00CF5FAF">
        <w:rPr>
          <w:color w:val="021142"/>
          <w:lang w:val="el-GR"/>
        </w:rPr>
        <w:t xml:space="preserve"> έχουν ως εξής:</w:t>
      </w:r>
    </w:p>
    <w:p w14:paraId="2926FB8A" w14:textId="77777777" w:rsidR="00B365B2" w:rsidRPr="00CF5FAF" w:rsidRDefault="00B365B2" w:rsidP="00B365B2">
      <w:pPr>
        <w:pStyle w:val="BodyText"/>
        <w:rPr>
          <w:sz w:val="24"/>
          <w:lang w:val="el-GR"/>
        </w:rPr>
      </w:pPr>
    </w:p>
    <w:tbl>
      <w:tblPr>
        <w:tblStyle w:val="TableGrid"/>
        <w:tblpPr w:leftFromText="180" w:rightFromText="180" w:vertAnchor="text" w:horzAnchor="margin" w:tblpXSpec="center" w:tblpY="28"/>
        <w:tblW w:w="0" w:type="auto"/>
        <w:tblBorders>
          <w:top w:val="single" w:sz="4" w:space="0" w:color="244061" w:themeColor="accent1" w:themeShade="80"/>
          <w:left w:val="single" w:sz="4" w:space="0" w:color="244061" w:themeColor="accent1" w:themeShade="80"/>
          <w:bottom w:val="single" w:sz="4" w:space="0" w:color="244061" w:themeColor="accent1" w:themeShade="80"/>
          <w:right w:val="dashSmallGap" w:sz="4" w:space="0" w:color="244061" w:themeColor="accent1" w:themeShade="80"/>
          <w:insideH w:val="dashSmallGap" w:sz="4" w:space="0" w:color="244061" w:themeColor="accent1" w:themeShade="80"/>
          <w:insideV w:val="dashSmallGap" w:sz="4" w:space="0" w:color="244061" w:themeColor="accent1" w:themeShade="80"/>
        </w:tblBorders>
        <w:tblLook w:val="04A0" w:firstRow="1" w:lastRow="0" w:firstColumn="1" w:lastColumn="0" w:noHBand="0" w:noVBand="1"/>
      </w:tblPr>
      <w:tblGrid>
        <w:gridCol w:w="4588"/>
        <w:gridCol w:w="1717"/>
        <w:gridCol w:w="1530"/>
      </w:tblGrid>
      <w:tr w:rsidR="00B365B2" w:rsidRPr="00877CEB" w14:paraId="2E56E293" w14:textId="77777777" w:rsidTr="00CF5FAF">
        <w:trPr>
          <w:trHeight w:val="263"/>
        </w:trPr>
        <w:tc>
          <w:tcPr>
            <w:tcW w:w="4588" w:type="dxa"/>
          </w:tcPr>
          <w:p w14:paraId="578CA9B5" w14:textId="77777777" w:rsidR="00B365B2" w:rsidRPr="00CF5FAF" w:rsidRDefault="00B365B2" w:rsidP="009B7DAE">
            <w:pPr>
              <w:pStyle w:val="BodyText"/>
              <w:rPr>
                <w:sz w:val="20"/>
                <w:szCs w:val="20"/>
                <w:lang w:val="el-GR"/>
              </w:rPr>
            </w:pPr>
          </w:p>
        </w:tc>
        <w:tc>
          <w:tcPr>
            <w:tcW w:w="1717" w:type="dxa"/>
            <w:vAlign w:val="center"/>
          </w:tcPr>
          <w:p w14:paraId="4A577705" w14:textId="45477E82" w:rsidR="00B365B2" w:rsidRPr="00CF5FAF" w:rsidRDefault="00B365B2" w:rsidP="009B7DAE">
            <w:pPr>
              <w:pStyle w:val="BodyText"/>
              <w:jc w:val="center"/>
              <w:rPr>
                <w:b/>
                <w:bCs/>
                <w:color w:val="021142"/>
                <w:spacing w:val="-2"/>
                <w:sz w:val="20"/>
                <w:szCs w:val="20"/>
                <w:lang w:val="el-GR"/>
              </w:rPr>
            </w:pPr>
            <w:r w:rsidRPr="00CF5FAF">
              <w:rPr>
                <w:b/>
                <w:bCs/>
                <w:color w:val="021142"/>
                <w:spacing w:val="-2"/>
                <w:sz w:val="20"/>
                <w:szCs w:val="20"/>
                <w:lang w:val="el-GR"/>
              </w:rPr>
              <w:t>202</w:t>
            </w:r>
            <w:r w:rsidR="001E7493" w:rsidRPr="00CF5FAF">
              <w:rPr>
                <w:b/>
                <w:bCs/>
                <w:color w:val="021142"/>
                <w:spacing w:val="-2"/>
                <w:sz w:val="20"/>
                <w:szCs w:val="20"/>
                <w:lang w:val="el-GR"/>
              </w:rPr>
              <w:t>6</w:t>
            </w:r>
          </w:p>
        </w:tc>
        <w:tc>
          <w:tcPr>
            <w:tcW w:w="1530" w:type="dxa"/>
          </w:tcPr>
          <w:p w14:paraId="187DD4BC" w14:textId="024BC8FE" w:rsidR="00B365B2" w:rsidRPr="00CF5FAF" w:rsidRDefault="00B365B2" w:rsidP="009B7DAE">
            <w:pPr>
              <w:pStyle w:val="BodyText"/>
              <w:jc w:val="center"/>
              <w:rPr>
                <w:b/>
                <w:bCs/>
                <w:color w:val="021142"/>
                <w:spacing w:val="-2"/>
                <w:sz w:val="20"/>
                <w:szCs w:val="20"/>
                <w:lang w:val="el-GR"/>
              </w:rPr>
            </w:pPr>
            <w:r w:rsidRPr="00CF5FAF">
              <w:rPr>
                <w:b/>
                <w:bCs/>
                <w:color w:val="021142"/>
                <w:spacing w:val="-2"/>
                <w:sz w:val="20"/>
                <w:szCs w:val="20"/>
                <w:lang w:val="el-GR"/>
              </w:rPr>
              <w:t>202</w:t>
            </w:r>
            <w:r w:rsidR="001E7493" w:rsidRPr="00CF5FAF">
              <w:rPr>
                <w:b/>
                <w:bCs/>
                <w:color w:val="021142"/>
                <w:spacing w:val="-2"/>
                <w:sz w:val="20"/>
                <w:szCs w:val="20"/>
                <w:lang w:val="el-GR"/>
              </w:rPr>
              <w:t>8</w:t>
            </w:r>
          </w:p>
        </w:tc>
      </w:tr>
      <w:tr w:rsidR="00B365B2" w:rsidRPr="00877CEB" w14:paraId="6C9B7771" w14:textId="77777777" w:rsidTr="00CF5FAF">
        <w:trPr>
          <w:trHeight w:val="245"/>
        </w:trPr>
        <w:tc>
          <w:tcPr>
            <w:tcW w:w="4588" w:type="dxa"/>
          </w:tcPr>
          <w:p w14:paraId="563EF6AB" w14:textId="77777777" w:rsidR="00B365B2" w:rsidRPr="00CF5FAF" w:rsidRDefault="00B365B2" w:rsidP="009B7DAE">
            <w:pPr>
              <w:pStyle w:val="BodyText"/>
              <w:rPr>
                <w:sz w:val="20"/>
                <w:szCs w:val="20"/>
                <w:lang w:val="el-GR"/>
              </w:rPr>
            </w:pPr>
            <w:r w:rsidRPr="00CF5FAF">
              <w:rPr>
                <w:color w:val="021142"/>
                <w:spacing w:val="-2"/>
                <w:sz w:val="20"/>
                <w:szCs w:val="20"/>
                <w:lang w:val="el-GR"/>
              </w:rPr>
              <w:t>Οργανικά Λειτουργικά Κέρδη</w:t>
            </w:r>
          </w:p>
        </w:tc>
        <w:tc>
          <w:tcPr>
            <w:tcW w:w="1717" w:type="dxa"/>
          </w:tcPr>
          <w:p w14:paraId="4889F315" w14:textId="6D7DA527" w:rsidR="00B365B2" w:rsidRPr="00CF5FAF" w:rsidRDefault="00B365B2" w:rsidP="009B7DAE">
            <w:pPr>
              <w:pStyle w:val="BodyText"/>
              <w:jc w:val="center"/>
              <w:rPr>
                <w:color w:val="021142"/>
                <w:spacing w:val="-2"/>
                <w:sz w:val="20"/>
                <w:szCs w:val="20"/>
                <w:lang w:val="el-GR"/>
              </w:rPr>
            </w:pPr>
            <w:r w:rsidRPr="00CF5FAF">
              <w:rPr>
                <w:color w:val="021142"/>
                <w:spacing w:val="-2"/>
                <w:sz w:val="20"/>
                <w:szCs w:val="20"/>
                <w:lang w:val="el-GR"/>
              </w:rPr>
              <w:t>~</w:t>
            </w:r>
            <w:r w:rsidRPr="00CF5FAF">
              <w:rPr>
                <w:color w:val="021142"/>
                <w:spacing w:val="-2"/>
                <w:sz w:val="20"/>
                <w:szCs w:val="20"/>
              </w:rPr>
              <w:t>€1,</w:t>
            </w:r>
            <w:r w:rsidR="000B234F" w:rsidRPr="00CF5FAF">
              <w:rPr>
                <w:color w:val="021142"/>
                <w:spacing w:val="-2"/>
                <w:sz w:val="20"/>
                <w:szCs w:val="20"/>
              </w:rPr>
              <w:t>9</w:t>
            </w:r>
            <w:r w:rsidRPr="00CF5FAF">
              <w:rPr>
                <w:color w:val="021142"/>
                <w:spacing w:val="-2"/>
                <w:sz w:val="20"/>
                <w:szCs w:val="20"/>
              </w:rPr>
              <w:t>δισ.</w:t>
            </w:r>
          </w:p>
        </w:tc>
        <w:tc>
          <w:tcPr>
            <w:tcW w:w="1530" w:type="dxa"/>
          </w:tcPr>
          <w:p w14:paraId="6F3F5B38" w14:textId="0FCF08F8" w:rsidR="00B365B2" w:rsidRPr="00CF5FAF" w:rsidRDefault="00B365B2" w:rsidP="009B7DAE">
            <w:pPr>
              <w:pStyle w:val="BodyText"/>
              <w:jc w:val="center"/>
              <w:rPr>
                <w:color w:val="021142"/>
                <w:spacing w:val="-2"/>
                <w:sz w:val="20"/>
                <w:szCs w:val="20"/>
                <w:lang w:val="el-GR"/>
              </w:rPr>
            </w:pPr>
            <w:r w:rsidRPr="00CF5FAF">
              <w:rPr>
                <w:color w:val="021142"/>
                <w:spacing w:val="-2"/>
                <w:sz w:val="20"/>
                <w:szCs w:val="20"/>
              </w:rPr>
              <w:t>~€</w:t>
            </w:r>
            <w:r w:rsidR="000B234F" w:rsidRPr="00CF5FAF">
              <w:rPr>
                <w:color w:val="021142"/>
                <w:spacing w:val="-2"/>
                <w:sz w:val="20"/>
                <w:szCs w:val="20"/>
              </w:rPr>
              <w:t>2</w:t>
            </w:r>
            <w:r w:rsidRPr="00CF5FAF">
              <w:rPr>
                <w:color w:val="021142"/>
                <w:spacing w:val="-2"/>
                <w:sz w:val="20"/>
                <w:szCs w:val="20"/>
              </w:rPr>
              <w:t>,</w:t>
            </w:r>
            <w:r w:rsidR="000B234F" w:rsidRPr="00CF5FAF">
              <w:rPr>
                <w:color w:val="021142"/>
                <w:spacing w:val="-2"/>
                <w:sz w:val="20"/>
                <w:szCs w:val="20"/>
              </w:rPr>
              <w:t>3</w:t>
            </w:r>
            <w:r w:rsidRPr="00CF5FAF">
              <w:rPr>
                <w:color w:val="021142"/>
                <w:spacing w:val="-2"/>
                <w:sz w:val="20"/>
                <w:szCs w:val="20"/>
              </w:rPr>
              <w:t>δισ.</w:t>
            </w:r>
          </w:p>
        </w:tc>
      </w:tr>
      <w:tr w:rsidR="00B365B2" w:rsidRPr="00877CEB" w14:paraId="78797146" w14:textId="77777777" w:rsidTr="00CF5FAF">
        <w:trPr>
          <w:trHeight w:val="236"/>
        </w:trPr>
        <w:tc>
          <w:tcPr>
            <w:tcW w:w="4588" w:type="dxa"/>
          </w:tcPr>
          <w:p w14:paraId="23420CE2" w14:textId="77777777" w:rsidR="00B365B2" w:rsidRPr="00CF5FAF" w:rsidRDefault="00B365B2" w:rsidP="009B7DAE">
            <w:pPr>
              <w:pStyle w:val="BodyText"/>
              <w:rPr>
                <w:color w:val="021142"/>
                <w:spacing w:val="-2"/>
                <w:sz w:val="20"/>
                <w:szCs w:val="20"/>
                <w:lang w:val="el-GR"/>
              </w:rPr>
            </w:pPr>
            <w:r w:rsidRPr="00CF5FAF">
              <w:rPr>
                <w:color w:val="021142"/>
                <w:spacing w:val="-2"/>
                <w:sz w:val="20"/>
                <w:szCs w:val="20"/>
                <w:lang w:val="el-GR"/>
              </w:rPr>
              <w:t>Απόδοση των Ενσώματων Ιδίων Κεφαλαίων</w:t>
            </w:r>
          </w:p>
        </w:tc>
        <w:tc>
          <w:tcPr>
            <w:tcW w:w="1717" w:type="dxa"/>
          </w:tcPr>
          <w:p w14:paraId="37F5040E" w14:textId="4ED22CB6" w:rsidR="00B365B2" w:rsidRPr="00CF5FAF" w:rsidRDefault="00B365B2" w:rsidP="009B7DAE">
            <w:pPr>
              <w:pStyle w:val="BodyText"/>
              <w:jc w:val="center"/>
              <w:rPr>
                <w:color w:val="021142"/>
                <w:spacing w:val="-2"/>
                <w:sz w:val="20"/>
                <w:szCs w:val="20"/>
                <w:lang w:val="el-GR"/>
              </w:rPr>
            </w:pPr>
            <w:r w:rsidRPr="00CF5FAF">
              <w:rPr>
                <w:color w:val="021142"/>
                <w:spacing w:val="-2"/>
                <w:sz w:val="20"/>
                <w:szCs w:val="20"/>
              </w:rPr>
              <w:t>~1</w:t>
            </w:r>
            <w:r w:rsidR="00E57F57" w:rsidRPr="00CF5FAF">
              <w:rPr>
                <w:color w:val="021142"/>
                <w:spacing w:val="-2"/>
                <w:sz w:val="20"/>
                <w:szCs w:val="20"/>
              </w:rPr>
              <w:t>6</w:t>
            </w:r>
            <w:r w:rsidRPr="00CF5FAF">
              <w:rPr>
                <w:color w:val="021142"/>
                <w:spacing w:val="-2"/>
                <w:sz w:val="20"/>
                <w:szCs w:val="20"/>
              </w:rPr>
              <w:t>,0%</w:t>
            </w:r>
          </w:p>
        </w:tc>
        <w:tc>
          <w:tcPr>
            <w:tcW w:w="1530" w:type="dxa"/>
          </w:tcPr>
          <w:p w14:paraId="4DA971A4" w14:textId="700A1AE8" w:rsidR="00B365B2" w:rsidRPr="00CF5FAF" w:rsidRDefault="00B365B2" w:rsidP="009B7DAE">
            <w:pPr>
              <w:pStyle w:val="BodyText"/>
              <w:jc w:val="center"/>
              <w:rPr>
                <w:color w:val="021142"/>
                <w:spacing w:val="-2"/>
                <w:sz w:val="20"/>
                <w:szCs w:val="20"/>
                <w:lang w:val="el-GR"/>
              </w:rPr>
            </w:pPr>
            <w:r w:rsidRPr="00CF5FAF">
              <w:rPr>
                <w:color w:val="021142"/>
                <w:spacing w:val="-2"/>
                <w:sz w:val="20"/>
                <w:szCs w:val="20"/>
                <w:lang w:val="el-GR"/>
              </w:rPr>
              <w:t>~1</w:t>
            </w:r>
            <w:r w:rsidR="00B06F25" w:rsidRPr="00CF5FAF">
              <w:rPr>
                <w:color w:val="021142"/>
                <w:spacing w:val="-2"/>
                <w:sz w:val="20"/>
                <w:szCs w:val="20"/>
                <w:lang w:val="el-GR"/>
              </w:rPr>
              <w:t>7</w:t>
            </w:r>
            <w:r w:rsidRPr="00CF5FAF">
              <w:rPr>
                <w:color w:val="021142"/>
                <w:spacing w:val="-2"/>
                <w:sz w:val="20"/>
                <w:szCs w:val="20"/>
                <w:lang w:val="el-GR"/>
              </w:rPr>
              <w:t>,0%</w:t>
            </w:r>
          </w:p>
        </w:tc>
      </w:tr>
      <w:tr w:rsidR="002F3C6F" w:rsidRPr="00877CEB" w14:paraId="3DFBAA30" w14:textId="77777777" w:rsidTr="00CF5FAF">
        <w:trPr>
          <w:trHeight w:val="350"/>
        </w:trPr>
        <w:tc>
          <w:tcPr>
            <w:tcW w:w="4588" w:type="dxa"/>
          </w:tcPr>
          <w:p w14:paraId="65FB7C52" w14:textId="4D448450" w:rsidR="002F3C6F" w:rsidRPr="00CF5FAF" w:rsidRDefault="002F3C6F" w:rsidP="009B7DAE">
            <w:pPr>
              <w:pStyle w:val="BodyText"/>
              <w:rPr>
                <w:color w:val="021142"/>
                <w:spacing w:val="-2"/>
                <w:sz w:val="20"/>
                <w:szCs w:val="20"/>
                <w:lang w:val="el-GR"/>
              </w:rPr>
            </w:pPr>
            <w:r w:rsidRPr="00CF5FAF">
              <w:rPr>
                <w:color w:val="021142"/>
                <w:spacing w:val="-2"/>
                <w:sz w:val="20"/>
                <w:szCs w:val="20"/>
                <w:lang w:val="el-GR"/>
              </w:rPr>
              <w:t xml:space="preserve">Κέρδη ανά μετοχή </w:t>
            </w:r>
          </w:p>
        </w:tc>
        <w:tc>
          <w:tcPr>
            <w:tcW w:w="3247" w:type="dxa"/>
            <w:gridSpan w:val="2"/>
          </w:tcPr>
          <w:p w14:paraId="7002FEF3" w14:textId="6CC688B9" w:rsidR="002F3C6F" w:rsidRPr="00CF5FAF" w:rsidRDefault="002F3C6F" w:rsidP="002F3C6F">
            <w:pPr>
              <w:pStyle w:val="BodyText"/>
              <w:jc w:val="center"/>
              <w:rPr>
                <w:color w:val="021142"/>
                <w:spacing w:val="-2"/>
                <w:sz w:val="20"/>
                <w:szCs w:val="20"/>
                <w:lang w:val="el-GR"/>
              </w:rPr>
            </w:pPr>
            <w:r w:rsidRPr="00CF5FAF">
              <w:rPr>
                <w:color w:val="021142"/>
                <w:spacing w:val="-2"/>
                <w:sz w:val="20"/>
                <w:szCs w:val="20"/>
              </w:rPr>
              <w:t>~</w:t>
            </w:r>
            <w:r w:rsidRPr="00CF5FAF">
              <w:rPr>
                <w:color w:val="021142"/>
                <w:spacing w:val="-2"/>
                <w:sz w:val="20"/>
                <w:szCs w:val="20"/>
                <w:lang w:val="el-GR"/>
              </w:rPr>
              <w:t>10% (σωρευτική ετήσια μεταβολή)</w:t>
            </w:r>
          </w:p>
        </w:tc>
      </w:tr>
      <w:tr w:rsidR="00B365B2" w:rsidRPr="00877CEB" w14:paraId="2A3C4511" w14:textId="77777777" w:rsidTr="00CF5FAF">
        <w:trPr>
          <w:trHeight w:val="263"/>
        </w:trPr>
        <w:tc>
          <w:tcPr>
            <w:tcW w:w="4588" w:type="dxa"/>
          </w:tcPr>
          <w:p w14:paraId="7ABCBB4A" w14:textId="17781EA4" w:rsidR="00B365B2" w:rsidRPr="00CF5FAF" w:rsidRDefault="00B365B2" w:rsidP="009B7DAE">
            <w:pPr>
              <w:pStyle w:val="BodyText"/>
              <w:rPr>
                <w:color w:val="021142"/>
                <w:spacing w:val="-2"/>
                <w:sz w:val="20"/>
                <w:szCs w:val="20"/>
                <w:lang w:val="el-GR"/>
              </w:rPr>
            </w:pPr>
            <w:r w:rsidRPr="00CF5FAF">
              <w:rPr>
                <w:color w:val="021142"/>
                <w:spacing w:val="-2"/>
                <w:sz w:val="20"/>
                <w:szCs w:val="20"/>
                <w:lang w:val="el-GR"/>
              </w:rPr>
              <w:t>Ποσοστό διανομής κερδών</w:t>
            </w:r>
            <w:r w:rsidR="00DA7E25" w:rsidRPr="00CF5FAF">
              <w:rPr>
                <w:rStyle w:val="FootnoteReference"/>
                <w:color w:val="021142"/>
                <w:lang w:val="el-GR"/>
              </w:rPr>
              <w:footnoteReference w:id="5"/>
            </w:r>
          </w:p>
        </w:tc>
        <w:tc>
          <w:tcPr>
            <w:tcW w:w="1717" w:type="dxa"/>
          </w:tcPr>
          <w:p w14:paraId="356A0D81" w14:textId="506084A5" w:rsidR="00B365B2" w:rsidRPr="00CF5FAF" w:rsidRDefault="00877CEB" w:rsidP="009B7DAE">
            <w:pPr>
              <w:pStyle w:val="BodyText"/>
              <w:jc w:val="center"/>
              <w:rPr>
                <w:color w:val="021142"/>
                <w:spacing w:val="-2"/>
                <w:sz w:val="20"/>
                <w:szCs w:val="20"/>
                <w:lang w:val="el-GR"/>
              </w:rPr>
            </w:pPr>
            <w:r w:rsidRPr="00CF5FAF">
              <w:rPr>
                <w:color w:val="021142"/>
                <w:spacing w:val="-2"/>
                <w:sz w:val="20"/>
                <w:szCs w:val="20"/>
              </w:rPr>
              <w:t>~</w:t>
            </w:r>
            <w:r w:rsidR="00B365B2" w:rsidRPr="00CF5FAF">
              <w:rPr>
                <w:color w:val="021142"/>
                <w:spacing w:val="-2"/>
                <w:sz w:val="20"/>
                <w:szCs w:val="20"/>
                <w:lang w:val="el-GR"/>
              </w:rPr>
              <w:t>5</w:t>
            </w:r>
            <w:r w:rsidR="00E57F57" w:rsidRPr="00CF5FAF">
              <w:rPr>
                <w:color w:val="021142"/>
                <w:spacing w:val="-2"/>
                <w:sz w:val="20"/>
                <w:szCs w:val="20"/>
                <w:lang w:val="en-GB"/>
              </w:rPr>
              <w:t>5</w:t>
            </w:r>
            <w:r w:rsidR="00B365B2" w:rsidRPr="00CF5FAF">
              <w:rPr>
                <w:color w:val="021142"/>
                <w:spacing w:val="-2"/>
                <w:sz w:val="20"/>
                <w:szCs w:val="20"/>
                <w:lang w:val="el-GR"/>
              </w:rPr>
              <w:t>%</w:t>
            </w:r>
          </w:p>
        </w:tc>
        <w:tc>
          <w:tcPr>
            <w:tcW w:w="1530" w:type="dxa"/>
          </w:tcPr>
          <w:p w14:paraId="4094DF03" w14:textId="1FE49063" w:rsidR="00B365B2" w:rsidRPr="00CF5FAF" w:rsidRDefault="00877CEB" w:rsidP="009B7DAE">
            <w:pPr>
              <w:pStyle w:val="BodyText"/>
              <w:jc w:val="center"/>
              <w:rPr>
                <w:color w:val="021142"/>
                <w:spacing w:val="-2"/>
                <w:sz w:val="20"/>
                <w:szCs w:val="20"/>
                <w:lang w:val="el-GR"/>
              </w:rPr>
            </w:pPr>
            <w:r w:rsidRPr="00CF5FAF">
              <w:rPr>
                <w:rFonts w:ascii="Cambria Math" w:hAnsi="Cambria Math" w:cs="Cambria Math"/>
                <w:color w:val="021142"/>
                <w:spacing w:val="-2"/>
                <w:sz w:val="20"/>
                <w:szCs w:val="20"/>
                <w:lang w:val="en-GB"/>
              </w:rPr>
              <w:t>≥</w:t>
            </w:r>
            <w:r w:rsidR="00B365B2" w:rsidRPr="00CF5FAF">
              <w:rPr>
                <w:color w:val="021142"/>
                <w:spacing w:val="-2"/>
                <w:sz w:val="20"/>
                <w:szCs w:val="20"/>
                <w:lang w:val="el-GR"/>
              </w:rPr>
              <w:t>5</w:t>
            </w:r>
            <w:r w:rsidR="00E57F57" w:rsidRPr="00CF5FAF">
              <w:rPr>
                <w:color w:val="021142"/>
                <w:spacing w:val="-2"/>
                <w:sz w:val="20"/>
                <w:szCs w:val="20"/>
                <w:lang w:val="en-GB"/>
              </w:rPr>
              <w:t>5</w:t>
            </w:r>
            <w:r w:rsidR="00B365B2" w:rsidRPr="00CF5FAF">
              <w:rPr>
                <w:color w:val="021142"/>
                <w:spacing w:val="-2"/>
                <w:sz w:val="20"/>
                <w:szCs w:val="20"/>
                <w:lang w:val="el-GR"/>
              </w:rPr>
              <w:t>%</w:t>
            </w:r>
          </w:p>
        </w:tc>
      </w:tr>
      <w:tr w:rsidR="00877CEB" w:rsidRPr="003162C7" w14:paraId="6360557F" w14:textId="77777777" w:rsidTr="00765B1A">
        <w:trPr>
          <w:trHeight w:val="245"/>
        </w:trPr>
        <w:tc>
          <w:tcPr>
            <w:tcW w:w="4588" w:type="dxa"/>
          </w:tcPr>
          <w:p w14:paraId="653261E2" w14:textId="6142B782" w:rsidR="00877CEB" w:rsidRPr="00CF5FAF" w:rsidRDefault="00877CEB" w:rsidP="009B7DAE">
            <w:pPr>
              <w:pStyle w:val="BodyText"/>
              <w:rPr>
                <w:color w:val="021142"/>
                <w:spacing w:val="-2"/>
                <w:sz w:val="20"/>
                <w:szCs w:val="20"/>
                <w:lang w:val="el-GR"/>
              </w:rPr>
            </w:pPr>
            <w:r w:rsidRPr="00CF5FAF">
              <w:rPr>
                <w:color w:val="021142"/>
                <w:spacing w:val="-2"/>
                <w:sz w:val="20"/>
                <w:szCs w:val="20"/>
                <w:lang w:val="el-GR"/>
              </w:rPr>
              <w:t xml:space="preserve">Δείκτης </w:t>
            </w:r>
            <w:r w:rsidRPr="00CF5FAF">
              <w:rPr>
                <w:color w:val="021142"/>
                <w:spacing w:val="-2"/>
                <w:sz w:val="20"/>
                <w:szCs w:val="20"/>
              </w:rPr>
              <w:t>CET</w:t>
            </w:r>
            <w:r w:rsidRPr="00CF5FAF">
              <w:rPr>
                <w:color w:val="021142"/>
                <w:spacing w:val="-2"/>
                <w:sz w:val="20"/>
                <w:szCs w:val="20"/>
                <w:lang w:val="el-GR"/>
              </w:rPr>
              <w:t>1 (μετά τη διανομή κερδών)</w:t>
            </w:r>
            <w:r>
              <w:rPr>
                <w:rStyle w:val="FootnoteReference"/>
                <w:color w:val="021142"/>
                <w:spacing w:val="-2"/>
                <w:sz w:val="20"/>
                <w:szCs w:val="20"/>
                <w:lang w:val="el-GR"/>
              </w:rPr>
              <w:footnoteReference w:id="6"/>
            </w:r>
          </w:p>
        </w:tc>
        <w:tc>
          <w:tcPr>
            <w:tcW w:w="3247" w:type="dxa"/>
            <w:gridSpan w:val="2"/>
          </w:tcPr>
          <w:p w14:paraId="72BD4DD8" w14:textId="4BAAF809" w:rsidR="00877CEB" w:rsidRDefault="00877CEB" w:rsidP="00877CEB">
            <w:pPr>
              <w:pStyle w:val="BodyText"/>
              <w:jc w:val="center"/>
              <w:rPr>
                <w:color w:val="021142"/>
                <w:spacing w:val="-2"/>
                <w:sz w:val="20"/>
                <w:szCs w:val="20"/>
                <w:lang w:val="el-GR"/>
              </w:rPr>
            </w:pPr>
            <w:r w:rsidRPr="00CF5FAF">
              <w:rPr>
                <w:color w:val="021142"/>
                <w:spacing w:val="-2"/>
                <w:sz w:val="20"/>
                <w:szCs w:val="20"/>
                <w:lang w:val="el-GR"/>
              </w:rPr>
              <w:t>&gt;</w:t>
            </w:r>
            <w:r w:rsidRPr="00CF5FAF">
              <w:rPr>
                <w:color w:val="021142"/>
                <w:spacing w:val="-2"/>
                <w:sz w:val="20"/>
                <w:szCs w:val="20"/>
              </w:rPr>
              <w:t>1</w:t>
            </w:r>
            <w:r w:rsidRPr="00CF5FAF">
              <w:rPr>
                <w:color w:val="021142"/>
                <w:spacing w:val="-2"/>
                <w:sz w:val="20"/>
                <w:szCs w:val="20"/>
                <w:lang w:val="el-GR"/>
              </w:rPr>
              <w:t>4</w:t>
            </w:r>
            <w:r w:rsidRPr="00CF5FAF">
              <w:rPr>
                <w:color w:val="021142"/>
                <w:spacing w:val="-2"/>
                <w:sz w:val="20"/>
                <w:szCs w:val="20"/>
              </w:rPr>
              <w:t>,</w:t>
            </w:r>
            <w:r w:rsidRPr="00CF5FAF">
              <w:rPr>
                <w:color w:val="021142"/>
                <w:spacing w:val="-2"/>
                <w:sz w:val="20"/>
                <w:szCs w:val="20"/>
                <w:lang w:val="el-GR"/>
              </w:rPr>
              <w:t>0</w:t>
            </w:r>
            <w:r w:rsidRPr="00CF5FAF">
              <w:rPr>
                <w:color w:val="021142"/>
                <w:spacing w:val="-2"/>
                <w:sz w:val="20"/>
                <w:szCs w:val="20"/>
              </w:rPr>
              <w:t>%</w:t>
            </w:r>
          </w:p>
        </w:tc>
      </w:tr>
    </w:tbl>
    <w:p w14:paraId="01BCD710" w14:textId="77777777" w:rsidR="00B365B2" w:rsidRDefault="00B365B2" w:rsidP="00B365B2">
      <w:pPr>
        <w:pStyle w:val="BodyText"/>
        <w:rPr>
          <w:sz w:val="24"/>
          <w:lang w:val="el-GR"/>
        </w:rPr>
      </w:pPr>
    </w:p>
    <w:p w14:paraId="44931FD5" w14:textId="77777777" w:rsidR="00B365B2" w:rsidRDefault="00B365B2" w:rsidP="00B365B2">
      <w:pPr>
        <w:pStyle w:val="BodyText"/>
        <w:rPr>
          <w:sz w:val="24"/>
          <w:lang w:val="el-GR"/>
        </w:rPr>
      </w:pPr>
    </w:p>
    <w:p w14:paraId="5B390FDD" w14:textId="77777777" w:rsidR="00B365B2" w:rsidRDefault="00B365B2" w:rsidP="00B365B2">
      <w:pPr>
        <w:pStyle w:val="BodyText"/>
        <w:rPr>
          <w:sz w:val="24"/>
          <w:lang w:val="el-GR"/>
        </w:rPr>
      </w:pPr>
    </w:p>
    <w:p w14:paraId="372267D4" w14:textId="77777777" w:rsidR="00B365B2" w:rsidRDefault="00B365B2" w:rsidP="00B365B2">
      <w:pPr>
        <w:pStyle w:val="BodyText"/>
        <w:rPr>
          <w:sz w:val="24"/>
          <w:lang w:val="el-GR"/>
        </w:rPr>
      </w:pPr>
    </w:p>
    <w:p w14:paraId="3DF601FD" w14:textId="77777777" w:rsidR="00B365B2" w:rsidRDefault="00B365B2" w:rsidP="00B365B2">
      <w:pPr>
        <w:pStyle w:val="BodyText"/>
        <w:rPr>
          <w:sz w:val="24"/>
          <w:lang w:val="el-GR"/>
        </w:rPr>
      </w:pPr>
    </w:p>
    <w:p w14:paraId="21B715D0" w14:textId="77777777" w:rsidR="00B365B2" w:rsidRDefault="00B365B2" w:rsidP="00B365B2">
      <w:pPr>
        <w:pStyle w:val="BodyText"/>
        <w:rPr>
          <w:sz w:val="24"/>
          <w:lang w:val="el-GR"/>
        </w:rPr>
      </w:pPr>
    </w:p>
    <w:p w14:paraId="5E88C7A5" w14:textId="77777777" w:rsidR="00E214BF" w:rsidRDefault="00E214BF" w:rsidP="00E214BF">
      <w:pPr>
        <w:pStyle w:val="BodyText"/>
        <w:rPr>
          <w:sz w:val="24"/>
          <w:lang w:val="el-GR"/>
        </w:rPr>
      </w:pPr>
    </w:p>
    <w:p w14:paraId="405FF2A3" w14:textId="77777777" w:rsidR="00E214BF" w:rsidRDefault="00E214BF" w:rsidP="00E214BF">
      <w:pPr>
        <w:pStyle w:val="BodyText"/>
        <w:rPr>
          <w:sz w:val="24"/>
          <w:lang w:val="el-GR"/>
        </w:rPr>
      </w:pPr>
    </w:p>
    <w:p w14:paraId="0D36989E" w14:textId="77777777" w:rsidR="00234162" w:rsidRDefault="00234162" w:rsidP="00E214BF">
      <w:pPr>
        <w:pStyle w:val="BodyText"/>
        <w:rPr>
          <w:sz w:val="24"/>
          <w:lang w:val="el-GR"/>
        </w:rPr>
      </w:pPr>
    </w:p>
    <w:p w14:paraId="74951137" w14:textId="77777777" w:rsidR="00234162" w:rsidRDefault="00234162" w:rsidP="00E214BF">
      <w:pPr>
        <w:pStyle w:val="BodyText"/>
        <w:rPr>
          <w:sz w:val="24"/>
          <w:lang w:val="el-GR"/>
        </w:rPr>
      </w:pPr>
    </w:p>
    <w:p w14:paraId="4D2D599D" w14:textId="77777777" w:rsidR="00EA2E24" w:rsidRPr="00662765" w:rsidRDefault="00EA2E24" w:rsidP="00E214BF">
      <w:pPr>
        <w:pStyle w:val="BodyText"/>
        <w:rPr>
          <w:sz w:val="24"/>
          <w:lang w:val="el-GR"/>
        </w:rPr>
      </w:pPr>
    </w:p>
    <w:p w14:paraId="39088CD5" w14:textId="77777777" w:rsidR="00EA2E24" w:rsidRPr="00662765" w:rsidRDefault="00EA2E24" w:rsidP="00E214BF">
      <w:pPr>
        <w:pStyle w:val="BodyText"/>
        <w:rPr>
          <w:sz w:val="24"/>
          <w:lang w:val="el-GR"/>
        </w:rPr>
      </w:pPr>
    </w:p>
    <w:p w14:paraId="19D345BE" w14:textId="77777777" w:rsidR="00EA2E24" w:rsidRPr="00662765" w:rsidRDefault="00EA2E24" w:rsidP="00E214BF">
      <w:pPr>
        <w:pStyle w:val="BodyText"/>
        <w:rPr>
          <w:sz w:val="24"/>
          <w:lang w:val="el-GR"/>
        </w:rPr>
      </w:pPr>
    </w:p>
    <w:p w14:paraId="15667B17" w14:textId="77777777" w:rsidR="00EA2E24" w:rsidRPr="00662765" w:rsidRDefault="00EA2E24" w:rsidP="00E214BF">
      <w:pPr>
        <w:pStyle w:val="BodyText"/>
        <w:rPr>
          <w:sz w:val="24"/>
          <w:lang w:val="el-GR"/>
        </w:rPr>
      </w:pPr>
    </w:p>
    <w:p w14:paraId="53787664" w14:textId="77777777" w:rsidR="006F607C" w:rsidRPr="00913FF3" w:rsidRDefault="006F607C" w:rsidP="00E214BF">
      <w:pPr>
        <w:pStyle w:val="BodyText"/>
        <w:rPr>
          <w:sz w:val="24"/>
          <w:lang w:val="el-GR"/>
        </w:rPr>
      </w:pPr>
    </w:p>
    <w:p w14:paraId="183C4C15" w14:textId="77777777" w:rsidR="006F607C" w:rsidRPr="00913FF3" w:rsidRDefault="006F607C" w:rsidP="00E214BF">
      <w:pPr>
        <w:pStyle w:val="BodyText"/>
        <w:rPr>
          <w:sz w:val="24"/>
          <w:lang w:val="el-GR"/>
        </w:rPr>
      </w:pPr>
    </w:p>
    <w:p w14:paraId="0945C0F1" w14:textId="77777777" w:rsidR="006F607C" w:rsidRPr="00C6706F" w:rsidRDefault="006F607C" w:rsidP="00E214BF">
      <w:pPr>
        <w:pStyle w:val="BodyText"/>
        <w:rPr>
          <w:sz w:val="24"/>
          <w:lang w:val="el-GR"/>
        </w:rPr>
      </w:pPr>
    </w:p>
    <w:p w14:paraId="2293E07F" w14:textId="77777777" w:rsidR="00435D86" w:rsidRPr="00C6706F" w:rsidRDefault="00435D86" w:rsidP="00E214BF">
      <w:pPr>
        <w:pStyle w:val="BodyText"/>
        <w:rPr>
          <w:sz w:val="24"/>
          <w:lang w:val="el-GR"/>
        </w:rPr>
      </w:pPr>
    </w:p>
    <w:p w14:paraId="71DE3BC7" w14:textId="037BC7BB" w:rsidR="00960CE3" w:rsidRDefault="00960CE3">
      <w:pPr>
        <w:rPr>
          <w:sz w:val="24"/>
          <w:lang w:val="el-GR"/>
        </w:rPr>
      </w:pPr>
      <w:r>
        <w:rPr>
          <w:sz w:val="24"/>
          <w:lang w:val="el-GR"/>
        </w:rPr>
        <w:br w:type="page"/>
      </w:r>
    </w:p>
    <w:p w14:paraId="3EAA0310" w14:textId="77777777" w:rsidR="006F607C" w:rsidRPr="00913FF3" w:rsidRDefault="006F607C" w:rsidP="00E214BF">
      <w:pPr>
        <w:pStyle w:val="BodyText"/>
        <w:rPr>
          <w:sz w:val="24"/>
          <w:lang w:val="el-GR"/>
        </w:rPr>
      </w:pPr>
    </w:p>
    <w:p w14:paraId="4E9E483B" w14:textId="77777777" w:rsidR="006F607C" w:rsidRPr="00C6706F" w:rsidRDefault="006F607C" w:rsidP="00E214BF">
      <w:pPr>
        <w:pStyle w:val="BodyText"/>
        <w:rPr>
          <w:sz w:val="24"/>
          <w:lang w:val="el-GR"/>
        </w:rPr>
      </w:pPr>
    </w:p>
    <w:p w14:paraId="254BA0B2" w14:textId="77777777" w:rsidR="00435D86" w:rsidRPr="00C6706F" w:rsidRDefault="00435D86" w:rsidP="00E214BF">
      <w:pPr>
        <w:pStyle w:val="BodyText"/>
        <w:rPr>
          <w:sz w:val="24"/>
          <w:lang w:val="el-GR"/>
        </w:rPr>
      </w:pPr>
    </w:p>
    <w:p w14:paraId="60BDE20D" w14:textId="77777777" w:rsidR="00C6706F" w:rsidRPr="00647F03" w:rsidRDefault="00C6706F" w:rsidP="00FD5275">
      <w:pPr>
        <w:tabs>
          <w:tab w:val="left" w:pos="5606"/>
          <w:tab w:val="right" w:pos="11030"/>
        </w:tabs>
        <w:ind w:left="241"/>
        <w:rPr>
          <w:sz w:val="11"/>
          <w:lang w:val="el-GR"/>
        </w:rPr>
      </w:pPr>
    </w:p>
    <w:p w14:paraId="06B15F18" w14:textId="334200BF" w:rsidR="002268C2" w:rsidRPr="002268C2" w:rsidRDefault="00A468D4" w:rsidP="00FD5275">
      <w:pPr>
        <w:tabs>
          <w:tab w:val="left" w:pos="5606"/>
          <w:tab w:val="right" w:pos="11030"/>
        </w:tabs>
        <w:ind w:left="241"/>
        <w:rPr>
          <w:sz w:val="11"/>
          <w:lang w:val="el-GR"/>
        </w:rPr>
      </w:pPr>
      <w:r w:rsidRPr="002268C2">
        <w:rPr>
          <w:noProof/>
          <w:sz w:val="20"/>
          <w:lang w:val="el-GR" w:eastAsia="el-GR"/>
        </w:rPr>
        <mc:AlternateContent>
          <mc:Choice Requires="wps">
            <w:drawing>
              <wp:anchor distT="36576" distB="36576" distL="36576" distR="36576" simplePos="0" relativeHeight="487592960" behindDoc="0" locked="0" layoutInCell="1" allowOverlap="1" wp14:anchorId="24302659" wp14:editId="5747CE79">
                <wp:simplePos x="0" y="0"/>
                <wp:positionH relativeFrom="column">
                  <wp:posOffset>417830</wp:posOffset>
                </wp:positionH>
                <wp:positionV relativeFrom="paragraph">
                  <wp:posOffset>115461</wp:posOffset>
                </wp:positionV>
                <wp:extent cx="2390775" cy="378460"/>
                <wp:effectExtent l="0" t="0" r="9525" b="25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90775" cy="378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680001" w14:textId="77777777" w:rsidR="002268C2" w:rsidRPr="002268C2" w:rsidRDefault="002268C2" w:rsidP="002268C2">
                            <w:pPr>
                              <w:jc w:val="center"/>
                              <w:rPr>
                                <w:rFonts w:cs="Arial"/>
                                <w:bCs/>
                                <w:color w:val="021342"/>
                                <w:lang w:val="el-GR"/>
                              </w:rPr>
                            </w:pPr>
                            <w:r w:rsidRPr="002268C2">
                              <w:rPr>
                                <w:rFonts w:cs="Arial"/>
                                <w:bCs/>
                                <w:color w:val="021342"/>
                                <w:lang w:val="el-GR"/>
                              </w:rPr>
                              <w:t>Προσαρμοσμένα Καθαρά Κέρδη</w:t>
                            </w:r>
                          </w:p>
                          <w:p w14:paraId="18D4D845" w14:textId="77777777" w:rsidR="002268C2" w:rsidRPr="002268C2" w:rsidRDefault="002268C2" w:rsidP="002268C2">
                            <w:pPr>
                              <w:jc w:val="center"/>
                              <w:rPr>
                                <w:rFonts w:cs="Arial"/>
                                <w:bCs/>
                                <w:color w:val="021342"/>
                                <w:lang w:val="el-GR"/>
                              </w:rPr>
                            </w:pPr>
                            <w:r w:rsidRPr="002268C2">
                              <w:rPr>
                                <w:rFonts w:cs="Arial"/>
                                <w:bCs/>
                                <w:color w:val="021342"/>
                                <w:lang w:val="el-GR"/>
                              </w:rPr>
                              <w:t>(€εκ.)</w:t>
                            </w:r>
                          </w:p>
                          <w:p w14:paraId="3879817E" w14:textId="77777777" w:rsidR="002268C2" w:rsidRPr="002268C2" w:rsidRDefault="002268C2" w:rsidP="002268C2">
                            <w:pPr>
                              <w:jc w:val="center"/>
                              <w:rPr>
                                <w:rFonts w:cs="Arial"/>
                                <w:bCs/>
                                <w:color w:val="021342"/>
                                <w:lang w:val="el-GR"/>
                              </w:rPr>
                            </w:pPr>
                          </w:p>
                          <w:p w14:paraId="2869A1FB" w14:textId="77777777" w:rsidR="002268C2" w:rsidRPr="002268C2" w:rsidRDefault="002268C2" w:rsidP="002268C2">
                            <w:pPr>
                              <w:jc w:val="center"/>
                              <w:rPr>
                                <w:rFonts w:cs="Arial"/>
                                <w:bCs/>
                                <w:color w:val="021342"/>
                                <w:lang w:val="el-GR"/>
                              </w:rPr>
                            </w:pPr>
                            <w:r w:rsidRPr="002268C2">
                              <w:rPr>
                                <w:rFonts w:cs="Arial"/>
                                <w:bCs/>
                                <w:color w:val="021342"/>
                                <w:lang w:val="el-GR"/>
                              </w:rPr>
                              <w:t>(€εκ.)</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02659" id="_x0000_t202" coordsize="21600,21600" o:spt="202" path="m,l,21600r21600,l21600,xe">
                <v:stroke joinstyle="miter"/>
                <v:path gradientshapeok="t" o:connecttype="rect"/>
              </v:shapetype>
              <v:shape id="Text Box 48" o:spid="_x0000_s1026" type="#_x0000_t202" style="position:absolute;left:0;text-align:left;margin-left:32.9pt;margin-top:9.1pt;width:188.25pt;height:29.8pt;z-index:487592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" filled="f" stroked="f" strokeweight="0" insetpen="t">
                <o:lock v:ext="edit" shapetype="t"/>
                <v:textbox inset="2.85pt,2.85pt,2.85pt,2.85pt">
                  <w:txbxContent>
                    <w:p w14:paraId="08680001" w14:textId="77777777" w:rsidR="002268C2" w:rsidRPr="002268C2" w:rsidRDefault="002268C2" w:rsidP="002268C2">
                      <w:pPr>
                        <w:jc w:val="center"/>
                        <w:rPr>
                          <w:rFonts w:cs="Arial"/>
                          <w:bCs/>
                          <w:color w:val="021342"/>
                          <w:lang w:val="el-GR"/>
                        </w:rPr>
                      </w:pPr>
                      <w:r w:rsidRPr="002268C2">
                        <w:rPr>
                          <w:rFonts w:cs="Arial"/>
                          <w:bCs/>
                          <w:color w:val="021342"/>
                          <w:lang w:val="el-GR"/>
                        </w:rPr>
                        <w:t>Προσαρμοσμένα Καθαρά Κέρδη</w:t>
                      </w:r>
                    </w:p>
                    <w:p w14:paraId="18D4D845" w14:textId="77777777" w:rsidR="002268C2" w:rsidRPr="002268C2" w:rsidRDefault="002268C2" w:rsidP="002268C2">
                      <w:pPr>
                        <w:jc w:val="center"/>
                        <w:rPr>
                          <w:rFonts w:cs="Arial"/>
                          <w:bCs/>
                          <w:color w:val="021342"/>
                          <w:lang w:val="el-GR"/>
                        </w:rPr>
                      </w:pPr>
                      <w:r w:rsidRPr="002268C2">
                        <w:rPr>
                          <w:rFonts w:cs="Arial"/>
                          <w:bCs/>
                          <w:color w:val="021342"/>
                          <w:lang w:val="el-GR"/>
                        </w:rPr>
                        <w:t>(€εκ.)</w:t>
                      </w:r>
                    </w:p>
                    <w:p w14:paraId="3879817E" w14:textId="77777777" w:rsidR="002268C2" w:rsidRPr="002268C2" w:rsidRDefault="002268C2" w:rsidP="002268C2">
                      <w:pPr>
                        <w:jc w:val="center"/>
                        <w:rPr>
                          <w:rFonts w:cs="Arial"/>
                          <w:bCs/>
                          <w:color w:val="021342"/>
                          <w:lang w:val="el-GR"/>
                        </w:rPr>
                      </w:pPr>
                    </w:p>
                    <w:p w14:paraId="2869A1FB" w14:textId="77777777" w:rsidR="002268C2" w:rsidRPr="002268C2" w:rsidRDefault="002268C2" w:rsidP="002268C2">
                      <w:pPr>
                        <w:jc w:val="center"/>
                        <w:rPr>
                          <w:rFonts w:cs="Arial"/>
                          <w:bCs/>
                          <w:color w:val="021342"/>
                          <w:lang w:val="el-GR"/>
                        </w:rPr>
                      </w:pPr>
                      <w:r w:rsidRPr="002268C2">
                        <w:rPr>
                          <w:rFonts w:cs="Arial"/>
                          <w:bCs/>
                          <w:color w:val="021342"/>
                          <w:lang w:val="el-GR"/>
                        </w:rPr>
                        <w:t>(€εκ.)</w:t>
                      </w:r>
                    </w:p>
                  </w:txbxContent>
                </v:textbox>
              </v:shape>
            </w:pict>
          </mc:Fallback>
        </mc:AlternateContent>
      </w:r>
      <w:r w:rsidR="002268C2" w:rsidRPr="002268C2">
        <w:rPr>
          <w:noProof/>
          <w:sz w:val="20"/>
          <w:lang w:val="el-GR" w:eastAsia="el-GR"/>
        </w:rPr>
        <mc:AlternateContent>
          <mc:Choice Requires="wps">
            <w:drawing>
              <wp:anchor distT="36576" distB="36576" distL="36576" distR="36576" simplePos="0" relativeHeight="487593984" behindDoc="1" locked="0" layoutInCell="1" allowOverlap="1" wp14:anchorId="222BE25B" wp14:editId="78C8D16B">
                <wp:simplePos x="0" y="0"/>
                <wp:positionH relativeFrom="column">
                  <wp:posOffset>180340</wp:posOffset>
                </wp:positionH>
                <wp:positionV relativeFrom="paragraph">
                  <wp:posOffset>19685</wp:posOffset>
                </wp:positionV>
                <wp:extent cx="2990850" cy="2598420"/>
                <wp:effectExtent l="0" t="0" r="0" b="0"/>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90850" cy="2598420"/>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C631A" id="Rounded Rectangle 45" o:spid="_x0000_s1026" style="position:absolute;margin-left:14.2pt;margin-top:1.55pt;width:235.5pt;height:204.6pt;z-index:-15722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" fillcolor="#dfe4e9" stroked="f" strokecolor="#006" insetpen="t">
                <v:shadow color="#ccc"/>
                <o:lock v:ext="edit" shapetype="t"/>
                <v:textbox inset="2.88pt,2.88pt,2.88pt,2.88pt"/>
              </v:roundrect>
            </w:pict>
          </mc:Fallback>
        </mc:AlternateContent>
      </w:r>
      <w:r w:rsidR="002268C2" w:rsidRPr="002268C2">
        <w:rPr>
          <w:noProof/>
          <w:sz w:val="11"/>
          <w:lang w:val="el-GR" w:eastAsia="el-GR"/>
        </w:rPr>
        <mc:AlternateContent>
          <mc:Choice Requires="wps">
            <w:drawing>
              <wp:anchor distT="36576" distB="36576" distL="36576" distR="36576" simplePos="0" relativeHeight="487598080" behindDoc="1" locked="0" layoutInCell="1" allowOverlap="1" wp14:anchorId="3554C2FA" wp14:editId="00AA0372">
                <wp:simplePos x="0" y="0"/>
                <wp:positionH relativeFrom="column">
                  <wp:posOffset>3500755</wp:posOffset>
                </wp:positionH>
                <wp:positionV relativeFrom="paragraph">
                  <wp:posOffset>22860</wp:posOffset>
                </wp:positionV>
                <wp:extent cx="3086100" cy="2598420"/>
                <wp:effectExtent l="0" t="0" r="0" b="0"/>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86100" cy="2598420"/>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C2ABAA" id="Rounded Rectangle 47" o:spid="_x0000_s1026" style="position:absolute;margin-left:275.65pt;margin-top:1.8pt;width:243pt;height:204.6pt;z-index:-15718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" fillcolor="#dfe4e9" stroked="f" strokecolor="#006" insetpen="t">
                <v:shadow color="#ccc"/>
                <o:lock v:ext="edit" shapetype="t"/>
                <v:textbox inset="2.88pt,2.88pt,2.88pt,2.88pt"/>
              </v:roundrect>
            </w:pict>
          </mc:Fallback>
        </mc:AlternateContent>
      </w:r>
      <w:r w:rsidR="002268C2" w:rsidRPr="002268C2">
        <w:rPr>
          <w:noProof/>
          <w:sz w:val="11"/>
          <w:lang w:val="el-GR" w:eastAsia="el-GR"/>
        </w:rPr>
        <mc:AlternateContent>
          <mc:Choice Requires="wps">
            <w:drawing>
              <wp:anchor distT="36576" distB="36576" distL="36576" distR="36576" simplePos="0" relativeHeight="487597056" behindDoc="0" locked="0" layoutInCell="1" allowOverlap="1" wp14:anchorId="22E0206B" wp14:editId="4A38D0AB">
                <wp:simplePos x="0" y="0"/>
                <wp:positionH relativeFrom="column">
                  <wp:posOffset>3522167</wp:posOffset>
                </wp:positionH>
                <wp:positionV relativeFrom="paragraph">
                  <wp:posOffset>80010</wp:posOffset>
                </wp:positionV>
                <wp:extent cx="2781300" cy="47371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8130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EDFD7A" w14:textId="77777777" w:rsidR="002268C2" w:rsidRPr="004D2A84" w:rsidRDefault="004D2A84" w:rsidP="00171B44">
                            <w:pPr>
                              <w:jc w:val="center"/>
                              <w:rPr>
                                <w:rFonts w:cs="Arial"/>
                                <w:bCs/>
                                <w:color w:val="021342"/>
                                <w:lang w:val="el-GR"/>
                              </w:rPr>
                            </w:pPr>
                            <w:r>
                              <w:rPr>
                                <w:rFonts w:cs="Arial"/>
                                <w:bCs/>
                                <w:color w:val="021342"/>
                                <w:lang w:val="el-GR"/>
                              </w:rPr>
                              <w:t>Οργανικά Λειτουργικά Κέρδη</w:t>
                            </w:r>
                          </w:p>
                          <w:p w14:paraId="61220829" w14:textId="77777777" w:rsidR="002268C2" w:rsidRPr="00604B3F" w:rsidRDefault="002268C2" w:rsidP="00171B44">
                            <w:pPr>
                              <w:jc w:val="center"/>
                              <w:rPr>
                                <w:rFonts w:cs="Arial"/>
                                <w:bCs/>
                                <w:color w:val="021342"/>
                              </w:rPr>
                            </w:pPr>
                            <w:r w:rsidRPr="00604B3F">
                              <w:rPr>
                                <w:rFonts w:cs="Arial"/>
                                <w:bCs/>
                                <w:color w:val="021342"/>
                              </w:rPr>
                              <w:t>(€εκ.)</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0206B" id="Text Box 6" o:spid="_x0000_s1027" type="#_x0000_t202" style="position:absolute;left:0;text-align:left;margin-left:277.35pt;margin-top:6.3pt;width:219pt;height:37.3pt;z-index:487597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" filled="f" stroked="f" strokeweight="0" insetpen="t">
                <o:lock v:ext="edit" shapetype="t"/>
                <v:textbox inset="2.85pt,2.85pt,2.85pt,2.85pt">
                  <w:txbxContent>
                    <w:p w14:paraId="4CEDFD7A" w14:textId="77777777" w:rsidR="002268C2" w:rsidRPr="004D2A84" w:rsidRDefault="004D2A84" w:rsidP="00171B44">
                      <w:pPr>
                        <w:jc w:val="center"/>
                        <w:rPr>
                          <w:rFonts w:cs="Arial"/>
                          <w:bCs/>
                          <w:color w:val="021342"/>
                          <w:lang w:val="el-GR"/>
                        </w:rPr>
                      </w:pPr>
                      <w:r>
                        <w:rPr>
                          <w:rFonts w:cs="Arial"/>
                          <w:bCs/>
                          <w:color w:val="021342"/>
                          <w:lang w:val="el-GR"/>
                        </w:rPr>
                        <w:t>Οργανικά Λειτουργικά Κέρδη</w:t>
                      </w:r>
                    </w:p>
                    <w:p w14:paraId="61220829" w14:textId="77777777" w:rsidR="002268C2" w:rsidRPr="00604B3F" w:rsidRDefault="002268C2" w:rsidP="00171B44">
                      <w:pPr>
                        <w:jc w:val="center"/>
                        <w:rPr>
                          <w:rFonts w:cs="Arial"/>
                          <w:bCs/>
                          <w:color w:val="021342"/>
                        </w:rPr>
                      </w:pPr>
                      <w:r w:rsidRPr="00604B3F">
                        <w:rPr>
                          <w:rFonts w:cs="Arial"/>
                          <w:bCs/>
                          <w:color w:val="021342"/>
                        </w:rPr>
                        <w:t>(€εκ.)</w:t>
                      </w:r>
                    </w:p>
                  </w:txbxContent>
                </v:textbox>
              </v:shape>
            </w:pict>
          </mc:Fallback>
        </mc:AlternateContent>
      </w:r>
    </w:p>
    <w:p w14:paraId="5D99C142" w14:textId="77777777" w:rsidR="002268C2" w:rsidRPr="002268C2" w:rsidRDefault="002268C2" w:rsidP="002268C2">
      <w:pPr>
        <w:rPr>
          <w:sz w:val="11"/>
          <w:lang w:val="el-GR"/>
        </w:rPr>
      </w:pPr>
    </w:p>
    <w:p w14:paraId="6E97DAE3" w14:textId="77777777" w:rsidR="002268C2" w:rsidRPr="002268C2" w:rsidRDefault="002268C2" w:rsidP="002268C2">
      <w:pPr>
        <w:rPr>
          <w:sz w:val="11"/>
          <w:lang w:val="el-GR"/>
        </w:rPr>
      </w:pPr>
    </w:p>
    <w:p w14:paraId="52B53578" w14:textId="77777777" w:rsidR="002268C2" w:rsidRPr="002268C2" w:rsidRDefault="002268C2" w:rsidP="002268C2">
      <w:pPr>
        <w:rPr>
          <w:sz w:val="11"/>
          <w:lang w:val="el-GR"/>
        </w:rPr>
      </w:pPr>
    </w:p>
    <w:p w14:paraId="0CD111F1" w14:textId="77777777" w:rsidR="002268C2" w:rsidRPr="002268C2" w:rsidRDefault="002268C2" w:rsidP="002268C2">
      <w:pPr>
        <w:rPr>
          <w:sz w:val="11"/>
          <w:lang w:val="el-GR"/>
        </w:rPr>
      </w:pPr>
    </w:p>
    <w:p w14:paraId="4BA9F9C1" w14:textId="77777777" w:rsidR="002268C2" w:rsidRPr="002268C2" w:rsidRDefault="002268C2" w:rsidP="002268C2">
      <w:pPr>
        <w:rPr>
          <w:sz w:val="11"/>
          <w:lang w:val="el-GR"/>
        </w:rPr>
      </w:pPr>
    </w:p>
    <w:p w14:paraId="52DF4B96" w14:textId="77777777" w:rsidR="002268C2" w:rsidRPr="002268C2" w:rsidRDefault="00B71FCC" w:rsidP="002268C2">
      <w:pPr>
        <w:rPr>
          <w:sz w:val="11"/>
          <w:lang w:val="el-GR"/>
        </w:rPr>
      </w:pPr>
      <w:r w:rsidRPr="002268C2">
        <w:rPr>
          <w:noProof/>
          <w:sz w:val="20"/>
          <w:lang w:val="el-GR" w:eastAsia="el-GR"/>
        </w:rPr>
        <w:drawing>
          <wp:anchor distT="0" distB="0" distL="114300" distR="114300" simplePos="0" relativeHeight="487595008" behindDoc="0" locked="0" layoutInCell="1" allowOverlap="1" wp14:anchorId="724AD128" wp14:editId="02D785CF">
            <wp:simplePos x="0" y="0"/>
            <wp:positionH relativeFrom="column">
              <wp:posOffset>609600</wp:posOffset>
            </wp:positionH>
            <wp:positionV relativeFrom="paragraph">
              <wp:posOffset>22009</wp:posOffset>
            </wp:positionV>
            <wp:extent cx="2333625" cy="2045970"/>
            <wp:effectExtent l="0" t="0" r="0" b="0"/>
            <wp:wrapNone/>
            <wp:docPr id="44" name="Chart 4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5B63979A" w14:textId="77777777" w:rsidR="002268C2" w:rsidRPr="002268C2" w:rsidRDefault="002A4E82" w:rsidP="002268C2">
      <w:pPr>
        <w:rPr>
          <w:sz w:val="11"/>
          <w:lang w:val="el-GR"/>
        </w:rPr>
      </w:pPr>
      <w:r w:rsidRPr="002268C2">
        <w:rPr>
          <w:noProof/>
          <w:sz w:val="11"/>
          <w:lang w:val="el-GR" w:eastAsia="el-GR"/>
        </w:rPr>
        <w:drawing>
          <wp:anchor distT="0" distB="0" distL="114300" distR="114300" simplePos="0" relativeHeight="487599104" behindDoc="0" locked="0" layoutInCell="1" allowOverlap="1" wp14:anchorId="28A675E0" wp14:editId="5B16FE2F">
            <wp:simplePos x="0" y="0"/>
            <wp:positionH relativeFrom="column">
              <wp:posOffset>4015105</wp:posOffset>
            </wp:positionH>
            <wp:positionV relativeFrom="paragraph">
              <wp:posOffset>28764</wp:posOffset>
            </wp:positionV>
            <wp:extent cx="2108835" cy="1991360"/>
            <wp:effectExtent l="0" t="0" r="0" b="0"/>
            <wp:wrapNone/>
            <wp:docPr id="23" name="Chart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16BBCE2F" w14:textId="77777777" w:rsidR="002268C2" w:rsidRPr="002268C2" w:rsidRDefault="002268C2" w:rsidP="002268C2">
      <w:pPr>
        <w:rPr>
          <w:sz w:val="11"/>
          <w:lang w:val="el-GR"/>
        </w:rPr>
      </w:pPr>
    </w:p>
    <w:p w14:paraId="3DE18F61" w14:textId="77777777" w:rsidR="002268C2" w:rsidRPr="002268C2" w:rsidRDefault="002268C2" w:rsidP="002268C2">
      <w:pPr>
        <w:rPr>
          <w:sz w:val="11"/>
          <w:lang w:val="el-GR"/>
        </w:rPr>
      </w:pPr>
    </w:p>
    <w:p w14:paraId="11465FD2" w14:textId="77777777" w:rsidR="002268C2" w:rsidRPr="002268C2" w:rsidRDefault="002268C2" w:rsidP="002268C2">
      <w:pPr>
        <w:rPr>
          <w:sz w:val="11"/>
          <w:lang w:val="el-GR"/>
        </w:rPr>
      </w:pPr>
    </w:p>
    <w:p w14:paraId="53D6BE20" w14:textId="77777777" w:rsidR="002268C2" w:rsidRPr="002268C2" w:rsidRDefault="002268C2" w:rsidP="002268C2">
      <w:pPr>
        <w:rPr>
          <w:sz w:val="11"/>
          <w:lang w:val="el-GR"/>
        </w:rPr>
      </w:pPr>
    </w:p>
    <w:p w14:paraId="7048AC5C" w14:textId="77777777" w:rsidR="002268C2" w:rsidRPr="002268C2" w:rsidRDefault="002268C2" w:rsidP="002268C2">
      <w:pPr>
        <w:rPr>
          <w:sz w:val="11"/>
          <w:lang w:val="el-GR"/>
        </w:rPr>
      </w:pPr>
    </w:p>
    <w:p w14:paraId="2F09445A" w14:textId="77777777" w:rsidR="002268C2" w:rsidRPr="002268C2" w:rsidRDefault="002268C2" w:rsidP="002268C2">
      <w:pPr>
        <w:rPr>
          <w:sz w:val="11"/>
          <w:lang w:val="el-GR"/>
        </w:rPr>
      </w:pPr>
    </w:p>
    <w:p w14:paraId="118FFF26" w14:textId="77777777" w:rsidR="002268C2" w:rsidRPr="002268C2" w:rsidRDefault="002268C2" w:rsidP="002268C2">
      <w:pPr>
        <w:rPr>
          <w:sz w:val="11"/>
          <w:lang w:val="el-GR"/>
        </w:rPr>
      </w:pPr>
    </w:p>
    <w:p w14:paraId="5C3C0F19" w14:textId="77777777" w:rsidR="002268C2" w:rsidRPr="002268C2" w:rsidRDefault="002268C2" w:rsidP="002268C2">
      <w:pPr>
        <w:rPr>
          <w:sz w:val="11"/>
          <w:lang w:val="el-GR"/>
        </w:rPr>
      </w:pPr>
    </w:p>
    <w:p w14:paraId="071C1810" w14:textId="77777777" w:rsidR="002268C2" w:rsidRPr="002268C2" w:rsidRDefault="002268C2" w:rsidP="002268C2">
      <w:pPr>
        <w:rPr>
          <w:sz w:val="11"/>
          <w:lang w:val="el-GR"/>
        </w:rPr>
      </w:pPr>
    </w:p>
    <w:p w14:paraId="5BD3D974" w14:textId="77777777" w:rsidR="002268C2" w:rsidRPr="002268C2" w:rsidRDefault="002268C2" w:rsidP="002268C2">
      <w:pPr>
        <w:rPr>
          <w:sz w:val="11"/>
          <w:lang w:val="el-GR"/>
        </w:rPr>
      </w:pPr>
    </w:p>
    <w:p w14:paraId="694A2775" w14:textId="77777777" w:rsidR="002268C2" w:rsidRPr="002268C2" w:rsidRDefault="002268C2" w:rsidP="002268C2">
      <w:pPr>
        <w:rPr>
          <w:sz w:val="11"/>
          <w:lang w:val="el-GR"/>
        </w:rPr>
      </w:pPr>
    </w:p>
    <w:p w14:paraId="5CD8980E" w14:textId="77777777" w:rsidR="002268C2" w:rsidRPr="002268C2" w:rsidRDefault="002268C2" w:rsidP="002268C2">
      <w:pPr>
        <w:rPr>
          <w:sz w:val="11"/>
          <w:lang w:val="el-GR"/>
        </w:rPr>
      </w:pPr>
    </w:p>
    <w:p w14:paraId="7C4E4825" w14:textId="77777777" w:rsidR="002268C2" w:rsidRPr="002268C2" w:rsidRDefault="002268C2" w:rsidP="002268C2">
      <w:pPr>
        <w:rPr>
          <w:sz w:val="11"/>
          <w:lang w:val="el-GR"/>
        </w:rPr>
      </w:pPr>
    </w:p>
    <w:p w14:paraId="6232A555" w14:textId="77777777" w:rsidR="002268C2" w:rsidRPr="002268C2" w:rsidRDefault="002268C2" w:rsidP="002268C2">
      <w:pPr>
        <w:rPr>
          <w:sz w:val="11"/>
          <w:lang w:val="el-GR"/>
        </w:rPr>
      </w:pPr>
    </w:p>
    <w:p w14:paraId="4BFD8B50" w14:textId="77777777" w:rsidR="002268C2" w:rsidRPr="002268C2" w:rsidRDefault="002268C2" w:rsidP="002268C2">
      <w:pPr>
        <w:rPr>
          <w:sz w:val="11"/>
          <w:lang w:val="el-GR"/>
        </w:rPr>
      </w:pPr>
    </w:p>
    <w:p w14:paraId="58D6694F" w14:textId="77777777" w:rsidR="002268C2" w:rsidRPr="002268C2" w:rsidRDefault="002268C2" w:rsidP="002268C2">
      <w:pPr>
        <w:rPr>
          <w:sz w:val="11"/>
          <w:lang w:val="el-GR"/>
        </w:rPr>
      </w:pPr>
    </w:p>
    <w:p w14:paraId="3492CF18" w14:textId="77777777" w:rsidR="002268C2" w:rsidRPr="002268C2" w:rsidRDefault="002268C2" w:rsidP="002268C2">
      <w:pPr>
        <w:rPr>
          <w:sz w:val="11"/>
          <w:lang w:val="el-GR"/>
        </w:rPr>
      </w:pPr>
    </w:p>
    <w:p w14:paraId="7F1FABEC" w14:textId="77777777" w:rsidR="002268C2" w:rsidRPr="002268C2" w:rsidRDefault="002268C2" w:rsidP="002268C2">
      <w:pPr>
        <w:rPr>
          <w:sz w:val="11"/>
          <w:lang w:val="el-GR"/>
        </w:rPr>
      </w:pPr>
    </w:p>
    <w:p w14:paraId="7D1385A0" w14:textId="77777777" w:rsidR="002268C2" w:rsidRPr="002268C2" w:rsidRDefault="002268C2" w:rsidP="002268C2">
      <w:pPr>
        <w:rPr>
          <w:sz w:val="11"/>
          <w:lang w:val="el-GR"/>
        </w:rPr>
      </w:pPr>
    </w:p>
    <w:p w14:paraId="70FA45EE" w14:textId="77777777" w:rsidR="002268C2" w:rsidRPr="002268C2" w:rsidRDefault="002268C2" w:rsidP="002268C2">
      <w:pPr>
        <w:rPr>
          <w:sz w:val="11"/>
          <w:lang w:val="el-GR"/>
        </w:rPr>
      </w:pPr>
    </w:p>
    <w:p w14:paraId="4C59B093" w14:textId="77777777" w:rsidR="002268C2" w:rsidRPr="002268C2" w:rsidRDefault="002268C2" w:rsidP="002268C2">
      <w:pPr>
        <w:rPr>
          <w:sz w:val="11"/>
          <w:lang w:val="el-GR"/>
        </w:rPr>
      </w:pPr>
    </w:p>
    <w:p w14:paraId="27D7CDA6" w14:textId="77777777" w:rsidR="002268C2" w:rsidRDefault="002268C2" w:rsidP="002268C2">
      <w:pPr>
        <w:rPr>
          <w:sz w:val="11"/>
          <w:lang w:val="el-GR"/>
        </w:rPr>
      </w:pPr>
    </w:p>
    <w:p w14:paraId="1CF90F68" w14:textId="77777777" w:rsidR="002268C2" w:rsidRPr="002268C2" w:rsidRDefault="002268C2" w:rsidP="002268C2">
      <w:pPr>
        <w:rPr>
          <w:sz w:val="11"/>
          <w:lang w:val="el-GR"/>
        </w:rPr>
      </w:pPr>
    </w:p>
    <w:p w14:paraId="19D0C1CE" w14:textId="77777777" w:rsidR="002268C2" w:rsidRPr="002268C2" w:rsidRDefault="002268C2" w:rsidP="002268C2">
      <w:pPr>
        <w:rPr>
          <w:sz w:val="11"/>
          <w:lang w:val="el-GR"/>
        </w:rPr>
      </w:pPr>
    </w:p>
    <w:p w14:paraId="78A7B813" w14:textId="77777777" w:rsidR="002268C2" w:rsidRPr="002268C2" w:rsidRDefault="002268C2" w:rsidP="002268C2">
      <w:pPr>
        <w:rPr>
          <w:sz w:val="11"/>
          <w:lang w:val="el-GR"/>
        </w:rPr>
      </w:pPr>
    </w:p>
    <w:p w14:paraId="554DB29A" w14:textId="77777777" w:rsidR="002268C2" w:rsidRPr="002268C2" w:rsidRDefault="002268C2" w:rsidP="002268C2">
      <w:pPr>
        <w:rPr>
          <w:sz w:val="11"/>
          <w:lang w:val="el-GR"/>
        </w:rPr>
      </w:pPr>
    </w:p>
    <w:p w14:paraId="20C9A7F9" w14:textId="77777777" w:rsidR="002268C2" w:rsidRPr="002268C2" w:rsidRDefault="002268C2" w:rsidP="002268C2">
      <w:pPr>
        <w:rPr>
          <w:sz w:val="11"/>
          <w:lang w:val="el-GR"/>
        </w:rPr>
      </w:pPr>
    </w:p>
    <w:p w14:paraId="7BA1F3C4" w14:textId="56583675" w:rsidR="002268C2" w:rsidRPr="002268C2" w:rsidRDefault="002268C2" w:rsidP="002268C2">
      <w:pPr>
        <w:rPr>
          <w:sz w:val="11"/>
          <w:lang w:val="el-GR"/>
        </w:rPr>
      </w:pPr>
    </w:p>
    <w:p w14:paraId="0F119C71" w14:textId="29261BDF" w:rsidR="002268C2" w:rsidRPr="002268C2" w:rsidRDefault="002268C2" w:rsidP="002268C2">
      <w:pPr>
        <w:rPr>
          <w:sz w:val="11"/>
          <w:lang w:val="el-GR"/>
        </w:rPr>
      </w:pPr>
    </w:p>
    <w:p w14:paraId="31AB66CE" w14:textId="2DFBD5C6" w:rsidR="002268C2" w:rsidRPr="002268C2" w:rsidRDefault="002268C2" w:rsidP="002268C2">
      <w:pPr>
        <w:rPr>
          <w:sz w:val="11"/>
          <w:lang w:val="el-GR"/>
        </w:rPr>
      </w:pPr>
    </w:p>
    <w:p w14:paraId="1793B8D1" w14:textId="05B7DF67" w:rsidR="002268C2" w:rsidRPr="002268C2" w:rsidRDefault="002268C2" w:rsidP="002268C2">
      <w:pPr>
        <w:rPr>
          <w:sz w:val="11"/>
          <w:lang w:val="el-GR"/>
        </w:rPr>
      </w:pPr>
    </w:p>
    <w:p w14:paraId="1925E473" w14:textId="084DB52B" w:rsidR="002268C2" w:rsidRPr="002268C2" w:rsidRDefault="00960CE3" w:rsidP="00F919AA">
      <w:pPr>
        <w:tabs>
          <w:tab w:val="left" w:pos="4568"/>
        </w:tabs>
        <w:rPr>
          <w:sz w:val="11"/>
          <w:lang w:val="el-GR"/>
        </w:rPr>
      </w:pPr>
      <w:r w:rsidRPr="002268C2">
        <w:rPr>
          <w:noProof/>
          <w:sz w:val="11"/>
          <w:lang w:val="el-GR" w:eastAsia="el-GR"/>
        </w:rPr>
        <w:drawing>
          <wp:anchor distT="0" distB="0" distL="114300" distR="114300" simplePos="0" relativeHeight="487604224" behindDoc="0" locked="0" layoutInCell="1" allowOverlap="1" wp14:anchorId="7BF53E43" wp14:editId="0174986A">
            <wp:simplePos x="0" y="0"/>
            <wp:positionH relativeFrom="column">
              <wp:posOffset>528320</wp:posOffset>
            </wp:positionH>
            <wp:positionV relativeFrom="paragraph">
              <wp:posOffset>402590</wp:posOffset>
            </wp:positionV>
            <wp:extent cx="2327910" cy="2042160"/>
            <wp:effectExtent l="0" t="0" r="0" b="0"/>
            <wp:wrapNone/>
            <wp:docPr id="40" name="Chart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2268C2">
        <w:rPr>
          <w:noProof/>
          <w:sz w:val="11"/>
          <w:lang w:val="el-GR" w:eastAsia="el-GR"/>
        </w:rPr>
        <mc:AlternateContent>
          <mc:Choice Requires="wps">
            <w:drawing>
              <wp:anchor distT="36576" distB="36576" distL="36576" distR="36576" simplePos="0" relativeHeight="487612416" behindDoc="0" locked="0" layoutInCell="1" allowOverlap="1" wp14:anchorId="3CC1124A" wp14:editId="5C714BC4">
                <wp:simplePos x="0" y="0"/>
                <wp:positionH relativeFrom="column">
                  <wp:posOffset>4084320</wp:posOffset>
                </wp:positionH>
                <wp:positionV relativeFrom="paragraph">
                  <wp:posOffset>119380</wp:posOffset>
                </wp:positionV>
                <wp:extent cx="2057400" cy="378460"/>
                <wp:effectExtent l="0" t="0" r="0" b="25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78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630971" w14:textId="3C7F7350" w:rsidR="002268C2" w:rsidRPr="00171B44" w:rsidRDefault="002268C2" w:rsidP="00171B44">
                            <w:pPr>
                              <w:jc w:val="center"/>
                              <w:rPr>
                                <w:rFonts w:cs="Arial"/>
                                <w:bCs/>
                                <w:color w:val="021342"/>
                                <w:lang w:val="el-GR"/>
                              </w:rPr>
                            </w:pPr>
                            <w:r w:rsidRPr="00604B3F">
                              <w:rPr>
                                <w:rFonts w:cs="Arial"/>
                                <w:bCs/>
                                <w:color w:val="021342"/>
                              </w:rPr>
                              <w:t>Δείκτης Κάλυψης NPE</w:t>
                            </w:r>
                            <w:r w:rsidR="00171B44">
                              <w:rPr>
                                <w:rFonts w:cs="Arial"/>
                                <w:bCs/>
                                <w:color w:val="021342"/>
                                <w:lang w:val="el-GR"/>
                              </w:rPr>
                              <w:t xml:space="preserve"> </w:t>
                            </w:r>
                            <w:r w:rsidRPr="00171B44">
                              <w:rPr>
                                <w:rFonts w:cs="Arial"/>
                                <w:bCs/>
                                <w:color w:val="021342"/>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1124A" id="Text Box 31" o:spid="_x0000_s1028" type="#_x0000_t202" style="position:absolute;margin-left:321.6pt;margin-top:9.4pt;width:162pt;height:29.8pt;z-index:487612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" filled="f" stroked="f" strokeweight="0" insetpen="t">
                <o:lock v:ext="edit" shapetype="t"/>
                <v:textbox inset="2.85pt,2.85pt,2.85pt,2.85pt">
                  <w:txbxContent>
                    <w:p w14:paraId="21630971" w14:textId="3C7F7350" w:rsidR="002268C2" w:rsidRPr="00171B44" w:rsidRDefault="002268C2" w:rsidP="00171B44">
                      <w:pPr>
                        <w:jc w:val="center"/>
                        <w:rPr>
                          <w:rFonts w:cs="Arial"/>
                          <w:bCs/>
                          <w:color w:val="021342"/>
                          <w:lang w:val="el-GR"/>
                        </w:rPr>
                      </w:pPr>
                      <w:r w:rsidRPr="00604B3F">
                        <w:rPr>
                          <w:rFonts w:cs="Arial"/>
                          <w:bCs/>
                          <w:color w:val="021342"/>
                        </w:rPr>
                        <w:t>Δείκτης Κάλυψης NPE</w:t>
                      </w:r>
                      <w:r w:rsidR="00171B44">
                        <w:rPr>
                          <w:rFonts w:cs="Arial"/>
                          <w:bCs/>
                          <w:color w:val="021342"/>
                          <w:lang w:val="el-GR"/>
                        </w:rPr>
                        <w:t xml:space="preserve"> </w:t>
                      </w:r>
                      <w:r w:rsidRPr="00171B44">
                        <w:rPr>
                          <w:rFonts w:cs="Arial"/>
                          <w:bCs/>
                          <w:color w:val="021342"/>
                        </w:rPr>
                        <w:t>(%)</w:t>
                      </w:r>
                    </w:p>
                  </w:txbxContent>
                </v:textbox>
              </v:shape>
            </w:pict>
          </mc:Fallback>
        </mc:AlternateContent>
      </w:r>
      <w:r w:rsidRPr="002268C2">
        <w:rPr>
          <w:noProof/>
          <w:sz w:val="11"/>
          <w:lang w:val="el-GR" w:eastAsia="el-GR"/>
        </w:rPr>
        <mc:AlternateContent>
          <mc:Choice Requires="wps">
            <w:drawing>
              <wp:anchor distT="36576" distB="36576" distL="36576" distR="36576" simplePos="0" relativeHeight="487605248" behindDoc="0" locked="0" layoutInCell="1" allowOverlap="1" wp14:anchorId="2BC0A3DD" wp14:editId="703FD8E9">
                <wp:simplePos x="0" y="0"/>
                <wp:positionH relativeFrom="column">
                  <wp:posOffset>454025</wp:posOffset>
                </wp:positionH>
                <wp:positionV relativeFrom="paragraph">
                  <wp:posOffset>137795</wp:posOffset>
                </wp:positionV>
                <wp:extent cx="2333625" cy="274320"/>
                <wp:effectExtent l="0" t="0" r="952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3362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1E2347" w14:textId="0077876D" w:rsidR="002268C2" w:rsidRPr="00171B44" w:rsidRDefault="002268C2" w:rsidP="00171B44">
                            <w:pPr>
                              <w:jc w:val="center"/>
                              <w:rPr>
                                <w:rFonts w:cs="Arial"/>
                                <w:bCs/>
                                <w:color w:val="021342"/>
                                <w:lang w:val="el-GR"/>
                              </w:rPr>
                            </w:pPr>
                            <w:r w:rsidRPr="00604B3F">
                              <w:rPr>
                                <w:rFonts w:cs="Arial"/>
                                <w:bCs/>
                                <w:color w:val="021342"/>
                              </w:rPr>
                              <w:t>Δείκτης NPE</w:t>
                            </w:r>
                            <w:r w:rsidR="00171B44">
                              <w:rPr>
                                <w:rFonts w:cs="Arial"/>
                                <w:bCs/>
                                <w:color w:val="021342"/>
                                <w:lang w:val="el-GR"/>
                              </w:rPr>
                              <w:t xml:space="preserve"> </w:t>
                            </w:r>
                            <w:r w:rsidRPr="00604B3F">
                              <w:rPr>
                                <w:rFonts w:cs="Arial"/>
                                <w:bCs/>
                                <w:color w:val="021342"/>
                              </w:rPr>
                              <w:t>(%)</w:t>
                            </w:r>
                          </w:p>
                          <w:p w14:paraId="673C5B98" w14:textId="77777777" w:rsidR="002268C2" w:rsidRPr="006C4FC5" w:rsidRDefault="002268C2" w:rsidP="002268C2">
                            <w:pPr>
                              <w:jc w:val="center"/>
                              <w:rPr>
                                <w:rFonts w:cs="Arial"/>
                                <w:bCs/>
                                <w:color w:val="000066"/>
                              </w:rPr>
                            </w:pPr>
                          </w:p>
                          <w:p w14:paraId="1192B947" w14:textId="77777777" w:rsidR="002268C2" w:rsidRPr="006C4FC5" w:rsidRDefault="002268C2" w:rsidP="00171B44">
                            <w:pPr>
                              <w:rPr>
                                <w:rFonts w:cs="Arial"/>
                                <w:bCs/>
                                <w:color w:val="00006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0A3DD" id="Text Box 41" o:spid="_x0000_s1029" type="#_x0000_t202" style="position:absolute;margin-left:35.75pt;margin-top:10.85pt;width:183.75pt;height:21.6pt;z-index:487605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" filled="f" stroked="f" strokeweight="0" insetpen="t">
                <o:lock v:ext="edit" shapetype="t"/>
                <v:textbox inset="2.85pt,2.85pt,2.85pt,2.85pt">
                  <w:txbxContent>
                    <w:p w14:paraId="681E2347" w14:textId="0077876D" w:rsidR="002268C2" w:rsidRPr="00171B44" w:rsidRDefault="002268C2" w:rsidP="00171B44">
                      <w:pPr>
                        <w:jc w:val="center"/>
                        <w:rPr>
                          <w:rFonts w:cs="Arial"/>
                          <w:bCs/>
                          <w:color w:val="021342"/>
                          <w:lang w:val="el-GR"/>
                        </w:rPr>
                      </w:pPr>
                      <w:r w:rsidRPr="00604B3F">
                        <w:rPr>
                          <w:rFonts w:cs="Arial"/>
                          <w:bCs/>
                          <w:color w:val="021342"/>
                        </w:rPr>
                        <w:t>Δείκτης NPE</w:t>
                      </w:r>
                      <w:r w:rsidR="00171B44">
                        <w:rPr>
                          <w:rFonts w:cs="Arial"/>
                          <w:bCs/>
                          <w:color w:val="021342"/>
                          <w:lang w:val="el-GR"/>
                        </w:rPr>
                        <w:t xml:space="preserve"> </w:t>
                      </w:r>
                      <w:r w:rsidRPr="00604B3F">
                        <w:rPr>
                          <w:rFonts w:cs="Arial"/>
                          <w:bCs/>
                          <w:color w:val="021342"/>
                        </w:rPr>
                        <w:t>(%)</w:t>
                      </w:r>
                    </w:p>
                    <w:p w14:paraId="673C5B98" w14:textId="77777777" w:rsidR="002268C2" w:rsidRPr="006C4FC5" w:rsidRDefault="002268C2" w:rsidP="002268C2">
                      <w:pPr>
                        <w:jc w:val="center"/>
                        <w:rPr>
                          <w:rFonts w:cs="Arial"/>
                          <w:bCs/>
                          <w:color w:val="000066"/>
                        </w:rPr>
                      </w:pPr>
                    </w:p>
                    <w:p w14:paraId="1192B947" w14:textId="77777777" w:rsidR="002268C2" w:rsidRPr="006C4FC5" w:rsidRDefault="002268C2" w:rsidP="00171B44">
                      <w:pPr>
                        <w:rPr>
                          <w:rFonts w:cs="Arial"/>
                          <w:bCs/>
                          <w:color w:val="000066"/>
                        </w:rPr>
                      </w:pPr>
                    </w:p>
                  </w:txbxContent>
                </v:textbox>
              </v:shape>
            </w:pict>
          </mc:Fallback>
        </mc:AlternateContent>
      </w:r>
      <w:r w:rsidRPr="002268C2">
        <w:rPr>
          <w:noProof/>
          <w:sz w:val="11"/>
          <w:lang w:val="el-GR" w:eastAsia="el-GR"/>
        </w:rPr>
        <w:drawing>
          <wp:anchor distT="0" distB="0" distL="114300" distR="114300" simplePos="0" relativeHeight="487611392" behindDoc="0" locked="0" layoutInCell="1" allowOverlap="1" wp14:anchorId="42D396C0" wp14:editId="6FF0497B">
            <wp:simplePos x="0" y="0"/>
            <wp:positionH relativeFrom="column">
              <wp:posOffset>3919220</wp:posOffset>
            </wp:positionH>
            <wp:positionV relativeFrom="paragraph">
              <wp:posOffset>459105</wp:posOffset>
            </wp:positionV>
            <wp:extent cx="2247900" cy="2096770"/>
            <wp:effectExtent l="0" t="0" r="0" b="0"/>
            <wp:wrapNone/>
            <wp:docPr id="33" name="Chart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2268C2">
        <w:rPr>
          <w:noProof/>
          <w:sz w:val="11"/>
          <w:lang w:val="el-GR" w:eastAsia="el-GR"/>
        </w:rPr>
        <mc:AlternateContent>
          <mc:Choice Requires="wps">
            <w:drawing>
              <wp:anchor distT="36576" distB="36576" distL="36576" distR="36576" simplePos="0" relativeHeight="487601152" behindDoc="1" locked="0" layoutInCell="1" allowOverlap="1" wp14:anchorId="02D8EB63" wp14:editId="739D2DBB">
                <wp:simplePos x="0" y="0"/>
                <wp:positionH relativeFrom="column">
                  <wp:posOffset>154940</wp:posOffset>
                </wp:positionH>
                <wp:positionV relativeFrom="paragraph">
                  <wp:posOffset>60960</wp:posOffset>
                </wp:positionV>
                <wp:extent cx="2990850" cy="2598420"/>
                <wp:effectExtent l="0" t="0" r="0" b="0"/>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90850" cy="2598420"/>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170A3C" id="Rounded Rectangle 38" o:spid="_x0000_s1026" style="position:absolute;margin-left:12.2pt;margin-top:4.8pt;width:235.5pt;height:204.6pt;z-index:-157153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" fillcolor="#dfe4e9" stroked="f" strokecolor="#006" insetpen="t">
                <v:shadow color="#ccc"/>
                <o:lock v:ext="edit" shapetype="t"/>
                <v:textbox inset="2.88pt,2.88pt,2.88pt,2.88pt"/>
              </v:roundrect>
            </w:pict>
          </mc:Fallback>
        </mc:AlternateContent>
      </w:r>
      <w:r w:rsidRPr="002268C2">
        <w:rPr>
          <w:noProof/>
          <w:sz w:val="11"/>
          <w:lang w:val="el-GR" w:eastAsia="el-GR"/>
        </w:rPr>
        <mc:AlternateContent>
          <mc:Choice Requires="wps">
            <w:drawing>
              <wp:anchor distT="36576" distB="36576" distL="36576" distR="36576" simplePos="0" relativeHeight="487603200" behindDoc="1" locked="0" layoutInCell="1" allowOverlap="1" wp14:anchorId="77B8F93A" wp14:editId="1C549322">
                <wp:simplePos x="0" y="0"/>
                <wp:positionH relativeFrom="column">
                  <wp:posOffset>3528060</wp:posOffset>
                </wp:positionH>
                <wp:positionV relativeFrom="paragraph">
                  <wp:posOffset>69850</wp:posOffset>
                </wp:positionV>
                <wp:extent cx="3076575" cy="2604135"/>
                <wp:effectExtent l="0" t="0" r="9525" b="5715"/>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76575" cy="2604135"/>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6A089" id="Rounded Rectangle 42" o:spid="_x0000_s1026" style="position:absolute;margin-left:277.8pt;margin-top:5.5pt;width:242.25pt;height:205.05pt;z-index:-15713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" fillcolor="#dfe4e9" stroked="f" strokecolor="#006" insetpen="t">
                <v:shadow color="#ccc"/>
                <o:lock v:ext="edit" shapetype="t"/>
                <v:textbox inset="2.88pt,2.88pt,2.88pt,2.88pt"/>
              </v:roundrect>
            </w:pict>
          </mc:Fallback>
        </mc:AlternateContent>
      </w:r>
      <w:r w:rsidR="00F919AA">
        <w:rPr>
          <w:sz w:val="11"/>
          <w:lang w:val="el-GR"/>
        </w:rPr>
        <w:tab/>
      </w:r>
    </w:p>
    <w:p w14:paraId="5DB9BDEF" w14:textId="61D34D06" w:rsidR="002268C2" w:rsidRPr="002268C2" w:rsidRDefault="002268C2" w:rsidP="002268C2">
      <w:pPr>
        <w:rPr>
          <w:sz w:val="11"/>
          <w:lang w:val="el-GR"/>
        </w:rPr>
      </w:pPr>
    </w:p>
    <w:p w14:paraId="39B84F78" w14:textId="77777777" w:rsidR="002268C2" w:rsidRPr="002268C2" w:rsidRDefault="002268C2" w:rsidP="002268C2">
      <w:pPr>
        <w:rPr>
          <w:sz w:val="11"/>
          <w:lang w:val="el-GR"/>
        </w:rPr>
      </w:pPr>
    </w:p>
    <w:p w14:paraId="6ECD79AB" w14:textId="77777777" w:rsidR="002268C2" w:rsidRPr="002268C2" w:rsidRDefault="002268C2" w:rsidP="002268C2">
      <w:pPr>
        <w:rPr>
          <w:sz w:val="11"/>
          <w:lang w:val="el-GR"/>
        </w:rPr>
      </w:pPr>
    </w:p>
    <w:p w14:paraId="5BC19579" w14:textId="77777777" w:rsidR="002268C2" w:rsidRPr="002268C2" w:rsidRDefault="002268C2" w:rsidP="002268C2">
      <w:pPr>
        <w:rPr>
          <w:sz w:val="11"/>
          <w:lang w:val="el-GR"/>
        </w:rPr>
      </w:pPr>
    </w:p>
    <w:p w14:paraId="2C9022A4" w14:textId="77777777" w:rsidR="002268C2" w:rsidRPr="002268C2" w:rsidRDefault="002268C2" w:rsidP="002268C2">
      <w:pPr>
        <w:rPr>
          <w:sz w:val="11"/>
          <w:lang w:val="el-GR"/>
        </w:rPr>
      </w:pPr>
    </w:p>
    <w:p w14:paraId="308DC5B2" w14:textId="77777777" w:rsidR="002268C2" w:rsidRPr="002268C2" w:rsidRDefault="002268C2" w:rsidP="002268C2">
      <w:pPr>
        <w:rPr>
          <w:sz w:val="11"/>
          <w:lang w:val="el-GR"/>
        </w:rPr>
      </w:pPr>
    </w:p>
    <w:p w14:paraId="49E60884" w14:textId="77777777" w:rsidR="002268C2" w:rsidRPr="002268C2" w:rsidRDefault="002268C2" w:rsidP="002268C2">
      <w:pPr>
        <w:rPr>
          <w:sz w:val="11"/>
          <w:lang w:val="el-GR"/>
        </w:rPr>
      </w:pPr>
    </w:p>
    <w:p w14:paraId="18E19B67" w14:textId="77777777" w:rsidR="002268C2" w:rsidRPr="002268C2" w:rsidRDefault="002268C2" w:rsidP="002268C2">
      <w:pPr>
        <w:rPr>
          <w:sz w:val="11"/>
          <w:lang w:val="el-GR"/>
        </w:rPr>
      </w:pPr>
    </w:p>
    <w:p w14:paraId="22138407" w14:textId="77777777" w:rsidR="002268C2" w:rsidRPr="002268C2" w:rsidRDefault="002268C2" w:rsidP="002268C2">
      <w:pPr>
        <w:rPr>
          <w:sz w:val="11"/>
          <w:lang w:val="el-GR"/>
        </w:rPr>
      </w:pPr>
    </w:p>
    <w:p w14:paraId="61BCD091" w14:textId="77777777" w:rsidR="002268C2" w:rsidRPr="002268C2" w:rsidRDefault="002268C2" w:rsidP="002268C2">
      <w:pPr>
        <w:rPr>
          <w:sz w:val="11"/>
          <w:lang w:val="el-GR"/>
        </w:rPr>
      </w:pPr>
    </w:p>
    <w:p w14:paraId="239A2438" w14:textId="77777777" w:rsidR="002268C2" w:rsidRPr="002268C2" w:rsidRDefault="002268C2" w:rsidP="002268C2">
      <w:pPr>
        <w:rPr>
          <w:sz w:val="11"/>
          <w:lang w:val="el-GR"/>
        </w:rPr>
      </w:pPr>
    </w:p>
    <w:p w14:paraId="6B6C2E24" w14:textId="77777777" w:rsidR="002268C2" w:rsidRPr="002268C2" w:rsidRDefault="002268C2" w:rsidP="002268C2">
      <w:pPr>
        <w:rPr>
          <w:sz w:val="11"/>
          <w:lang w:val="el-GR"/>
        </w:rPr>
      </w:pPr>
    </w:p>
    <w:p w14:paraId="303304F4" w14:textId="77777777" w:rsidR="002268C2" w:rsidRPr="002268C2" w:rsidRDefault="002268C2" w:rsidP="002268C2">
      <w:pPr>
        <w:rPr>
          <w:sz w:val="11"/>
          <w:lang w:val="el-GR"/>
        </w:rPr>
      </w:pPr>
    </w:p>
    <w:p w14:paraId="3051D172" w14:textId="77777777" w:rsidR="002268C2" w:rsidRPr="002268C2" w:rsidRDefault="002268C2" w:rsidP="002268C2">
      <w:pPr>
        <w:rPr>
          <w:sz w:val="11"/>
          <w:lang w:val="el-GR"/>
        </w:rPr>
      </w:pPr>
    </w:p>
    <w:p w14:paraId="4DDCBCDC" w14:textId="77777777" w:rsidR="002268C2" w:rsidRPr="002268C2" w:rsidRDefault="002268C2" w:rsidP="002268C2">
      <w:pPr>
        <w:rPr>
          <w:sz w:val="11"/>
          <w:lang w:val="el-GR"/>
        </w:rPr>
      </w:pPr>
    </w:p>
    <w:p w14:paraId="28461179" w14:textId="77777777" w:rsidR="002268C2" w:rsidRPr="002268C2" w:rsidRDefault="002268C2" w:rsidP="002268C2">
      <w:pPr>
        <w:rPr>
          <w:sz w:val="11"/>
          <w:lang w:val="el-GR"/>
        </w:rPr>
      </w:pPr>
    </w:p>
    <w:p w14:paraId="231928B9" w14:textId="77777777" w:rsidR="002268C2" w:rsidRPr="002268C2" w:rsidRDefault="002268C2" w:rsidP="002268C2">
      <w:pPr>
        <w:rPr>
          <w:sz w:val="11"/>
          <w:lang w:val="el-GR"/>
        </w:rPr>
      </w:pPr>
    </w:p>
    <w:p w14:paraId="173C0BEA" w14:textId="77777777" w:rsidR="002268C2" w:rsidRPr="002268C2" w:rsidRDefault="002268C2" w:rsidP="002268C2">
      <w:pPr>
        <w:rPr>
          <w:sz w:val="11"/>
          <w:lang w:val="el-GR"/>
        </w:rPr>
      </w:pPr>
    </w:p>
    <w:p w14:paraId="75A1C727" w14:textId="77777777" w:rsidR="002268C2" w:rsidRPr="002268C2" w:rsidRDefault="002268C2" w:rsidP="002268C2">
      <w:pPr>
        <w:rPr>
          <w:sz w:val="11"/>
          <w:lang w:val="el-GR"/>
        </w:rPr>
      </w:pPr>
    </w:p>
    <w:p w14:paraId="5A621761" w14:textId="77777777" w:rsidR="002268C2" w:rsidRPr="002268C2" w:rsidRDefault="002268C2" w:rsidP="002268C2">
      <w:pPr>
        <w:rPr>
          <w:sz w:val="11"/>
          <w:lang w:val="el-GR"/>
        </w:rPr>
      </w:pPr>
    </w:p>
    <w:p w14:paraId="0027D9F4" w14:textId="77777777" w:rsidR="002268C2" w:rsidRPr="002268C2" w:rsidRDefault="002268C2" w:rsidP="002268C2">
      <w:pPr>
        <w:rPr>
          <w:sz w:val="11"/>
          <w:lang w:val="el-GR"/>
        </w:rPr>
      </w:pPr>
    </w:p>
    <w:p w14:paraId="13E126D5" w14:textId="77777777" w:rsidR="002268C2" w:rsidRPr="002268C2" w:rsidRDefault="002268C2" w:rsidP="002268C2">
      <w:pPr>
        <w:rPr>
          <w:sz w:val="11"/>
          <w:lang w:val="el-GR"/>
        </w:rPr>
      </w:pPr>
    </w:p>
    <w:p w14:paraId="3F9B6DE8" w14:textId="77777777" w:rsidR="002268C2" w:rsidRPr="002268C2" w:rsidRDefault="002268C2" w:rsidP="002268C2">
      <w:pPr>
        <w:rPr>
          <w:sz w:val="11"/>
          <w:lang w:val="el-GR"/>
        </w:rPr>
      </w:pPr>
    </w:p>
    <w:p w14:paraId="48D42BCA" w14:textId="77777777" w:rsidR="002268C2" w:rsidRPr="002268C2" w:rsidRDefault="002268C2" w:rsidP="002268C2">
      <w:pPr>
        <w:rPr>
          <w:sz w:val="11"/>
          <w:lang w:val="el-GR"/>
        </w:rPr>
      </w:pPr>
    </w:p>
    <w:p w14:paraId="0EA0AD84" w14:textId="77777777" w:rsidR="002268C2" w:rsidRPr="002268C2" w:rsidRDefault="002268C2" w:rsidP="002268C2">
      <w:pPr>
        <w:rPr>
          <w:sz w:val="11"/>
          <w:lang w:val="el-GR"/>
        </w:rPr>
      </w:pPr>
    </w:p>
    <w:p w14:paraId="452D5F38" w14:textId="77777777" w:rsidR="002268C2" w:rsidRPr="002268C2" w:rsidRDefault="002268C2" w:rsidP="002268C2">
      <w:pPr>
        <w:rPr>
          <w:sz w:val="11"/>
          <w:lang w:val="el-GR"/>
        </w:rPr>
      </w:pPr>
    </w:p>
    <w:p w14:paraId="78AABF02" w14:textId="77777777" w:rsidR="002268C2" w:rsidRPr="002268C2" w:rsidRDefault="001F6436" w:rsidP="001F6436">
      <w:pPr>
        <w:tabs>
          <w:tab w:val="left" w:pos="8885"/>
        </w:tabs>
        <w:rPr>
          <w:sz w:val="11"/>
          <w:lang w:val="el-GR"/>
        </w:rPr>
      </w:pPr>
      <w:r>
        <w:rPr>
          <w:sz w:val="11"/>
          <w:lang w:val="el-GR"/>
        </w:rPr>
        <w:tab/>
      </w:r>
    </w:p>
    <w:p w14:paraId="496E9D7F" w14:textId="77777777" w:rsidR="002268C2" w:rsidRPr="002268C2" w:rsidRDefault="00125671" w:rsidP="00125671">
      <w:pPr>
        <w:tabs>
          <w:tab w:val="left" w:pos="2269"/>
        </w:tabs>
        <w:rPr>
          <w:sz w:val="11"/>
          <w:lang w:val="el-GR"/>
        </w:rPr>
      </w:pPr>
      <w:r>
        <w:rPr>
          <w:sz w:val="11"/>
          <w:lang w:val="el-GR"/>
        </w:rPr>
        <w:tab/>
      </w:r>
      <w:r w:rsidR="00A06D6C">
        <w:rPr>
          <w:sz w:val="11"/>
          <w:lang w:val="el-GR"/>
        </w:rPr>
        <w:tab/>
      </w:r>
    </w:p>
    <w:p w14:paraId="339CEF06" w14:textId="77777777" w:rsidR="002268C2" w:rsidRPr="002268C2" w:rsidRDefault="002268C2" w:rsidP="002268C2">
      <w:pPr>
        <w:rPr>
          <w:sz w:val="11"/>
          <w:lang w:val="el-GR"/>
        </w:rPr>
      </w:pPr>
    </w:p>
    <w:p w14:paraId="268A8383" w14:textId="77777777" w:rsidR="002268C2" w:rsidRPr="002268C2" w:rsidRDefault="002268C2" w:rsidP="002268C2">
      <w:pPr>
        <w:rPr>
          <w:sz w:val="11"/>
          <w:lang w:val="el-GR"/>
        </w:rPr>
      </w:pPr>
    </w:p>
    <w:p w14:paraId="5EA113C2" w14:textId="4A18D6CE" w:rsidR="007515EA" w:rsidRPr="007515EA" w:rsidRDefault="007515EA" w:rsidP="007515EA">
      <w:pPr>
        <w:rPr>
          <w:sz w:val="11"/>
          <w:lang w:val="el-GR"/>
        </w:rPr>
      </w:pPr>
    </w:p>
    <w:p w14:paraId="647FF4E2" w14:textId="7DAC7DAF" w:rsidR="007515EA" w:rsidRPr="007515EA" w:rsidRDefault="007515EA" w:rsidP="007515EA">
      <w:pPr>
        <w:rPr>
          <w:sz w:val="11"/>
          <w:lang w:val="el-GR"/>
        </w:rPr>
      </w:pPr>
    </w:p>
    <w:p w14:paraId="1BE2622A" w14:textId="7DA56331" w:rsidR="007515EA" w:rsidRPr="007515EA" w:rsidRDefault="007515EA" w:rsidP="007515EA">
      <w:pPr>
        <w:rPr>
          <w:sz w:val="11"/>
          <w:lang w:val="el-GR"/>
        </w:rPr>
      </w:pPr>
    </w:p>
    <w:p w14:paraId="56DC937D" w14:textId="1E8BB981" w:rsidR="007515EA" w:rsidRPr="007515EA" w:rsidRDefault="007515EA" w:rsidP="007515EA">
      <w:pPr>
        <w:rPr>
          <w:sz w:val="11"/>
          <w:lang w:val="el-GR"/>
        </w:rPr>
      </w:pPr>
    </w:p>
    <w:p w14:paraId="6712FF05" w14:textId="117D8D18" w:rsidR="007515EA" w:rsidRPr="007515EA" w:rsidRDefault="007515EA" w:rsidP="007515EA">
      <w:pPr>
        <w:rPr>
          <w:sz w:val="11"/>
          <w:lang w:val="el-GR"/>
        </w:rPr>
      </w:pPr>
    </w:p>
    <w:p w14:paraId="5ECE5023" w14:textId="77D6092A" w:rsidR="007515EA" w:rsidRPr="007515EA" w:rsidRDefault="007515EA" w:rsidP="007515EA">
      <w:pPr>
        <w:rPr>
          <w:sz w:val="11"/>
          <w:lang w:val="el-GR"/>
        </w:rPr>
      </w:pPr>
    </w:p>
    <w:p w14:paraId="2BE52914" w14:textId="2C8AECB2" w:rsidR="007515EA" w:rsidRPr="007515EA" w:rsidRDefault="007515EA" w:rsidP="007515EA">
      <w:pPr>
        <w:rPr>
          <w:sz w:val="11"/>
          <w:lang w:val="el-GR"/>
        </w:rPr>
      </w:pPr>
    </w:p>
    <w:p w14:paraId="1165C05B" w14:textId="2A344B2E" w:rsidR="007515EA" w:rsidRPr="007515EA" w:rsidRDefault="007515EA" w:rsidP="007515EA">
      <w:pPr>
        <w:rPr>
          <w:sz w:val="11"/>
          <w:lang w:val="el-GR"/>
        </w:rPr>
      </w:pPr>
    </w:p>
    <w:p w14:paraId="07911F9B" w14:textId="24305832" w:rsidR="007515EA" w:rsidRPr="007515EA" w:rsidRDefault="007515EA" w:rsidP="007515EA">
      <w:pPr>
        <w:rPr>
          <w:sz w:val="11"/>
          <w:lang w:val="el-GR"/>
        </w:rPr>
      </w:pPr>
    </w:p>
    <w:p w14:paraId="657627CA" w14:textId="39031508" w:rsidR="007515EA" w:rsidRPr="007515EA" w:rsidRDefault="00026226" w:rsidP="00026226">
      <w:pPr>
        <w:tabs>
          <w:tab w:val="left" w:pos="4381"/>
        </w:tabs>
        <w:rPr>
          <w:sz w:val="11"/>
          <w:lang w:val="el-GR"/>
        </w:rPr>
      </w:pPr>
      <w:r>
        <w:rPr>
          <w:sz w:val="11"/>
          <w:lang w:val="el-GR"/>
        </w:rPr>
        <w:tab/>
      </w:r>
    </w:p>
    <w:p w14:paraId="00E17037" w14:textId="1D0AD46D" w:rsidR="007515EA" w:rsidRPr="007515EA" w:rsidRDefault="00CE5DE1" w:rsidP="007515EA">
      <w:pPr>
        <w:rPr>
          <w:sz w:val="11"/>
          <w:lang w:val="el-GR"/>
        </w:rPr>
      </w:pPr>
      <w:r w:rsidRPr="002268C2">
        <w:rPr>
          <w:noProof/>
          <w:sz w:val="11"/>
          <w:lang w:val="el-GR" w:eastAsia="el-GR"/>
        </w:rPr>
        <mc:AlternateContent>
          <mc:Choice Requires="wps">
            <w:drawing>
              <wp:anchor distT="36576" distB="36576" distL="36576" distR="36576" simplePos="0" relativeHeight="487609344" behindDoc="1" locked="0" layoutInCell="1" allowOverlap="1" wp14:anchorId="7FF45166" wp14:editId="17972B48">
                <wp:simplePos x="0" y="0"/>
                <wp:positionH relativeFrom="column">
                  <wp:posOffset>3532505</wp:posOffset>
                </wp:positionH>
                <wp:positionV relativeFrom="paragraph">
                  <wp:posOffset>33020</wp:posOffset>
                </wp:positionV>
                <wp:extent cx="3076575" cy="2607945"/>
                <wp:effectExtent l="0" t="0" r="9525" b="1905"/>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76575" cy="2607945"/>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97A58C" id="Rounded Rectangle 29" o:spid="_x0000_s1026" style="position:absolute;margin-left:278.15pt;margin-top:2.6pt;width:242.25pt;height:205.35pt;z-index:-15707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" fillcolor="#dfe4e9" stroked="f" strokecolor="#006" insetpen="t">
                <v:shadow color="#ccc"/>
                <o:lock v:ext="edit" shapetype="t"/>
                <v:textbox inset="2.88pt,2.88pt,2.88pt,2.88pt"/>
              </v:roundrect>
            </w:pict>
          </mc:Fallback>
        </mc:AlternateContent>
      </w:r>
      <w:r w:rsidRPr="002268C2">
        <w:rPr>
          <w:noProof/>
          <w:sz w:val="11"/>
          <w:lang w:val="el-GR" w:eastAsia="el-GR"/>
        </w:rPr>
        <mc:AlternateContent>
          <mc:Choice Requires="wps">
            <w:drawing>
              <wp:anchor distT="36576" distB="36576" distL="36576" distR="36576" simplePos="0" relativeHeight="487608320" behindDoc="1" locked="0" layoutInCell="1" allowOverlap="1" wp14:anchorId="6B44459F" wp14:editId="111617AE">
                <wp:simplePos x="0" y="0"/>
                <wp:positionH relativeFrom="column">
                  <wp:posOffset>132080</wp:posOffset>
                </wp:positionH>
                <wp:positionV relativeFrom="paragraph">
                  <wp:posOffset>33020</wp:posOffset>
                </wp:positionV>
                <wp:extent cx="2990850" cy="2607945"/>
                <wp:effectExtent l="0" t="0" r="0" b="1905"/>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90850" cy="2607945"/>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B826DB" id="Rounded Rectangle 28" o:spid="_x0000_s1026" style="position:absolute;margin-left:10.4pt;margin-top:2.6pt;width:235.5pt;height:205.35pt;z-index:-15708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" fillcolor="#dfe4e9" stroked="f" strokecolor="#006" insetpen="t">
                <v:shadow color="#ccc"/>
                <o:lock v:ext="edit" shapetype="t"/>
                <v:textbox inset="2.88pt,2.88pt,2.88pt,2.88pt"/>
              </v:roundrect>
            </w:pict>
          </mc:Fallback>
        </mc:AlternateContent>
      </w:r>
      <w:r w:rsidRPr="002268C2">
        <w:rPr>
          <w:noProof/>
          <w:sz w:val="11"/>
          <w:lang w:val="el-GR" w:eastAsia="el-GR"/>
        </w:rPr>
        <w:drawing>
          <wp:anchor distT="0" distB="0" distL="114300" distR="114300" simplePos="0" relativeHeight="487620608" behindDoc="0" locked="0" layoutInCell="1" allowOverlap="1" wp14:anchorId="129E2932" wp14:editId="3A23F90C">
            <wp:simplePos x="0" y="0"/>
            <wp:positionH relativeFrom="column">
              <wp:posOffset>523240</wp:posOffset>
            </wp:positionH>
            <wp:positionV relativeFrom="paragraph">
              <wp:posOffset>467360</wp:posOffset>
            </wp:positionV>
            <wp:extent cx="2247900" cy="2096770"/>
            <wp:effectExtent l="0" t="0" r="0" b="0"/>
            <wp:wrapNone/>
            <wp:docPr id="1156887193" name="Chart 115688719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2268C2">
        <w:rPr>
          <w:noProof/>
          <w:sz w:val="11"/>
          <w:lang w:val="el-GR" w:eastAsia="el-GR"/>
        </w:rPr>
        <mc:AlternateContent>
          <mc:Choice Requires="wps">
            <w:drawing>
              <wp:anchor distT="36576" distB="36576" distL="36576" distR="36576" simplePos="0" relativeHeight="487602176" behindDoc="0" locked="0" layoutInCell="1" allowOverlap="1" wp14:anchorId="6BE6A7E4" wp14:editId="57CEF899">
                <wp:simplePos x="0" y="0"/>
                <wp:positionH relativeFrom="column">
                  <wp:posOffset>3995420</wp:posOffset>
                </wp:positionH>
                <wp:positionV relativeFrom="paragraph">
                  <wp:posOffset>66040</wp:posOffset>
                </wp:positionV>
                <wp:extent cx="2333625" cy="378460"/>
                <wp:effectExtent l="0" t="0" r="9525" b="254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33625" cy="378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938E55" w14:textId="77777777" w:rsidR="002268C2" w:rsidRPr="00171B44" w:rsidRDefault="002268C2" w:rsidP="00171B44">
                            <w:pPr>
                              <w:jc w:val="center"/>
                              <w:rPr>
                                <w:rFonts w:cs="Arial"/>
                                <w:bCs/>
                                <w:color w:val="021342"/>
                                <w:lang w:val="el-GR"/>
                              </w:rPr>
                            </w:pPr>
                            <w:r w:rsidRPr="00604B3F">
                              <w:rPr>
                                <w:rFonts w:cs="Arial"/>
                                <w:bCs/>
                                <w:color w:val="021342"/>
                              </w:rPr>
                              <w:t>Κεφαλαιακή Επάρκεια</w:t>
                            </w:r>
                            <w:r w:rsidR="00B86682">
                              <w:rPr>
                                <w:rFonts w:cs="Arial"/>
                                <w:bCs/>
                                <w:color w:val="021342"/>
                                <w:lang w:val="el-GR"/>
                              </w:rPr>
                              <w:t xml:space="preserve"> </w:t>
                            </w:r>
                            <w:r w:rsidRPr="00604B3F">
                              <w:rPr>
                                <w:rFonts w:cs="Arial"/>
                                <w:bCs/>
                                <w:color w:val="021342"/>
                              </w:rPr>
                              <w:t>(%</w:t>
                            </w:r>
                            <w:r w:rsidR="00171B44">
                              <w:rPr>
                                <w:rFonts w:cs="Arial"/>
                                <w:bCs/>
                                <w:color w:val="021342"/>
                                <w:lang w:val="el-GR"/>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6A7E4" id="Text Box 39" o:spid="_x0000_s1030" type="#_x0000_t202" style="position:absolute;margin-left:314.6pt;margin-top:5.2pt;width:183.75pt;height:29.8pt;z-index:487602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" filled="f" stroked="f" strokeweight="0" insetpen="t">
                <o:lock v:ext="edit" shapetype="t"/>
                <v:textbox inset="2.85pt,2.85pt,2.85pt,2.85pt">
                  <w:txbxContent>
                    <w:p w14:paraId="1E938E55" w14:textId="77777777" w:rsidR="002268C2" w:rsidRPr="00171B44" w:rsidRDefault="002268C2" w:rsidP="00171B44">
                      <w:pPr>
                        <w:jc w:val="center"/>
                        <w:rPr>
                          <w:rFonts w:cs="Arial"/>
                          <w:bCs/>
                          <w:color w:val="021342"/>
                          <w:lang w:val="el-GR"/>
                        </w:rPr>
                      </w:pPr>
                      <w:r w:rsidRPr="00604B3F">
                        <w:rPr>
                          <w:rFonts w:cs="Arial"/>
                          <w:bCs/>
                          <w:color w:val="021342"/>
                        </w:rPr>
                        <w:t>Κεφαλαιακή Επάρκεια</w:t>
                      </w:r>
                      <w:r w:rsidR="00B86682">
                        <w:rPr>
                          <w:rFonts w:cs="Arial"/>
                          <w:bCs/>
                          <w:color w:val="021342"/>
                          <w:lang w:val="el-GR"/>
                        </w:rPr>
                        <w:t xml:space="preserve"> </w:t>
                      </w:r>
                      <w:r w:rsidRPr="00604B3F">
                        <w:rPr>
                          <w:rFonts w:cs="Arial"/>
                          <w:bCs/>
                          <w:color w:val="021342"/>
                        </w:rPr>
                        <w:t>(%</w:t>
                      </w:r>
                      <w:r w:rsidR="00171B44">
                        <w:rPr>
                          <w:rFonts w:cs="Arial"/>
                          <w:bCs/>
                          <w:color w:val="021342"/>
                          <w:lang w:val="el-GR"/>
                        </w:rPr>
                        <w:t>)</w:t>
                      </w:r>
                    </w:p>
                  </w:txbxContent>
                </v:textbox>
              </v:shape>
            </w:pict>
          </mc:Fallback>
        </mc:AlternateContent>
      </w:r>
      <w:r w:rsidRPr="002268C2">
        <w:rPr>
          <w:noProof/>
          <w:sz w:val="11"/>
          <w:lang w:val="el-GR" w:eastAsia="el-GR"/>
        </w:rPr>
        <mc:AlternateContent>
          <mc:Choice Requires="wps">
            <w:drawing>
              <wp:anchor distT="36576" distB="36576" distL="36576" distR="36576" simplePos="0" relativeHeight="487618560" behindDoc="0" locked="0" layoutInCell="1" allowOverlap="1" wp14:anchorId="08F9CEDC" wp14:editId="78906DBE">
                <wp:simplePos x="0" y="0"/>
                <wp:positionH relativeFrom="column">
                  <wp:posOffset>539750</wp:posOffset>
                </wp:positionH>
                <wp:positionV relativeFrom="paragraph">
                  <wp:posOffset>25400</wp:posOffset>
                </wp:positionV>
                <wp:extent cx="2333625" cy="471805"/>
                <wp:effectExtent l="0" t="0" r="9525" b="4445"/>
                <wp:wrapNone/>
                <wp:docPr id="442390581" name="Text Box 442390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33625"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01BC35" w14:textId="77777777" w:rsidR="0025202B" w:rsidRPr="002C1E0E" w:rsidRDefault="002C1E0E" w:rsidP="002C1E0E">
                            <w:pPr>
                              <w:jc w:val="center"/>
                              <w:rPr>
                                <w:rFonts w:cs="Arial"/>
                                <w:bCs/>
                                <w:color w:val="021342"/>
                                <w:lang w:val="el-GR"/>
                              </w:rPr>
                            </w:pPr>
                            <w:r>
                              <w:rPr>
                                <w:rFonts w:cs="Arial"/>
                                <w:bCs/>
                                <w:color w:val="021342"/>
                                <w:lang w:val="el-GR"/>
                              </w:rPr>
                              <w:t>Απόδοση Ενσώματων Ιδίων Κεφαλαίων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9CEDC" id="Text Box 442390581" o:spid="_x0000_s1031" type="#_x0000_t202" style="position:absolute;margin-left:42.5pt;margin-top:2pt;width:183.75pt;height:37.15pt;z-index:487618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" filled="f" stroked="f" strokeweight="0" insetpen="t">
                <o:lock v:ext="edit" shapetype="t"/>
                <v:textbox inset="2.85pt,2.85pt,2.85pt,2.85pt">
                  <w:txbxContent>
                    <w:p w14:paraId="1001BC35" w14:textId="77777777" w:rsidR="0025202B" w:rsidRPr="002C1E0E" w:rsidRDefault="002C1E0E" w:rsidP="002C1E0E">
                      <w:pPr>
                        <w:jc w:val="center"/>
                        <w:rPr>
                          <w:rFonts w:cs="Arial"/>
                          <w:bCs/>
                          <w:color w:val="021342"/>
                          <w:lang w:val="el-GR"/>
                        </w:rPr>
                      </w:pPr>
                      <w:r>
                        <w:rPr>
                          <w:rFonts w:cs="Arial"/>
                          <w:bCs/>
                          <w:color w:val="021342"/>
                          <w:lang w:val="el-GR"/>
                        </w:rPr>
                        <w:t>Απόδοση Ενσώματων Ιδίων Κεφαλαίων (%)</w:t>
                      </w:r>
                    </w:p>
                  </w:txbxContent>
                </v:textbox>
              </v:shape>
            </w:pict>
          </mc:Fallback>
        </mc:AlternateContent>
      </w:r>
      <w:r w:rsidRPr="002268C2">
        <w:rPr>
          <w:noProof/>
          <w:sz w:val="11"/>
          <w:lang w:val="el-GR" w:eastAsia="el-GR"/>
        </w:rPr>
        <w:drawing>
          <wp:anchor distT="0" distB="0" distL="114300" distR="114300" simplePos="0" relativeHeight="487606272" behindDoc="0" locked="0" layoutInCell="1" allowOverlap="1" wp14:anchorId="6B3FB738" wp14:editId="699738BF">
            <wp:simplePos x="0" y="0"/>
            <wp:positionH relativeFrom="column">
              <wp:posOffset>3949065</wp:posOffset>
            </wp:positionH>
            <wp:positionV relativeFrom="paragraph">
              <wp:posOffset>486410</wp:posOffset>
            </wp:positionV>
            <wp:extent cx="2257425" cy="2037080"/>
            <wp:effectExtent l="0" t="0" r="0" b="0"/>
            <wp:wrapNone/>
            <wp:docPr id="37" name="Chart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639A9CCF" w14:textId="77777777" w:rsidR="007515EA" w:rsidRPr="007515EA" w:rsidRDefault="00026226" w:rsidP="00026226">
      <w:pPr>
        <w:tabs>
          <w:tab w:val="left" w:pos="4368"/>
        </w:tabs>
        <w:rPr>
          <w:sz w:val="11"/>
          <w:lang w:val="el-GR"/>
        </w:rPr>
      </w:pPr>
      <w:r>
        <w:rPr>
          <w:sz w:val="11"/>
          <w:lang w:val="el-GR"/>
        </w:rPr>
        <w:tab/>
      </w:r>
    </w:p>
    <w:p w14:paraId="3D7E9F32" w14:textId="77777777" w:rsidR="007515EA" w:rsidRPr="007515EA" w:rsidRDefault="007515EA" w:rsidP="007515EA">
      <w:pPr>
        <w:rPr>
          <w:sz w:val="11"/>
          <w:lang w:val="el-GR"/>
        </w:rPr>
      </w:pPr>
    </w:p>
    <w:p w14:paraId="3DAE18FB" w14:textId="77777777" w:rsidR="007515EA" w:rsidRPr="007515EA" w:rsidRDefault="007515EA" w:rsidP="007515EA">
      <w:pPr>
        <w:rPr>
          <w:sz w:val="11"/>
          <w:lang w:val="el-GR"/>
        </w:rPr>
      </w:pPr>
    </w:p>
    <w:p w14:paraId="5B012A87" w14:textId="77777777" w:rsidR="007515EA" w:rsidRPr="007515EA" w:rsidRDefault="007515EA" w:rsidP="007515EA">
      <w:pPr>
        <w:rPr>
          <w:sz w:val="11"/>
          <w:lang w:val="el-GR"/>
        </w:rPr>
      </w:pPr>
    </w:p>
    <w:p w14:paraId="56C9529C" w14:textId="77777777" w:rsidR="007515EA" w:rsidRPr="007515EA" w:rsidRDefault="007515EA" w:rsidP="007515EA">
      <w:pPr>
        <w:rPr>
          <w:sz w:val="11"/>
          <w:lang w:val="el-GR"/>
        </w:rPr>
      </w:pPr>
    </w:p>
    <w:p w14:paraId="04731526" w14:textId="77777777" w:rsidR="007515EA" w:rsidRPr="007515EA" w:rsidRDefault="007515EA" w:rsidP="007515EA">
      <w:pPr>
        <w:rPr>
          <w:sz w:val="11"/>
          <w:lang w:val="el-GR"/>
        </w:rPr>
      </w:pPr>
    </w:p>
    <w:p w14:paraId="4DFF0A8D" w14:textId="77777777" w:rsidR="007515EA" w:rsidRPr="007515EA" w:rsidRDefault="007515EA" w:rsidP="007515EA">
      <w:pPr>
        <w:rPr>
          <w:sz w:val="11"/>
          <w:lang w:val="el-GR"/>
        </w:rPr>
      </w:pPr>
    </w:p>
    <w:p w14:paraId="4C44A275" w14:textId="77777777" w:rsidR="007515EA" w:rsidRPr="007515EA" w:rsidRDefault="007515EA" w:rsidP="007515EA">
      <w:pPr>
        <w:rPr>
          <w:sz w:val="11"/>
          <w:lang w:val="el-GR"/>
        </w:rPr>
      </w:pPr>
    </w:p>
    <w:p w14:paraId="0019372D" w14:textId="77777777" w:rsidR="007515EA" w:rsidRPr="007515EA" w:rsidRDefault="007515EA" w:rsidP="007515EA">
      <w:pPr>
        <w:rPr>
          <w:sz w:val="11"/>
          <w:lang w:val="el-GR"/>
        </w:rPr>
      </w:pPr>
    </w:p>
    <w:p w14:paraId="62667690" w14:textId="77777777" w:rsidR="007515EA" w:rsidRPr="007515EA" w:rsidRDefault="007515EA" w:rsidP="007515EA">
      <w:pPr>
        <w:rPr>
          <w:sz w:val="11"/>
          <w:lang w:val="el-GR"/>
        </w:rPr>
      </w:pPr>
    </w:p>
    <w:p w14:paraId="0FDF5B84" w14:textId="77777777" w:rsidR="007515EA" w:rsidRPr="007515EA" w:rsidRDefault="007515EA" w:rsidP="007515EA">
      <w:pPr>
        <w:rPr>
          <w:sz w:val="11"/>
          <w:lang w:val="el-GR"/>
        </w:rPr>
      </w:pPr>
    </w:p>
    <w:p w14:paraId="06C698F8" w14:textId="77777777" w:rsidR="007515EA" w:rsidRPr="007515EA" w:rsidRDefault="007515EA" w:rsidP="007515EA">
      <w:pPr>
        <w:rPr>
          <w:sz w:val="11"/>
          <w:lang w:val="el-GR"/>
        </w:rPr>
      </w:pPr>
    </w:p>
    <w:p w14:paraId="0BE7168C" w14:textId="77777777" w:rsidR="007515EA" w:rsidRPr="007515EA" w:rsidRDefault="007515EA" w:rsidP="007515EA">
      <w:pPr>
        <w:rPr>
          <w:sz w:val="11"/>
          <w:lang w:val="el-GR"/>
        </w:rPr>
      </w:pPr>
    </w:p>
    <w:p w14:paraId="3B58B208" w14:textId="77777777" w:rsidR="007515EA" w:rsidRPr="007515EA" w:rsidRDefault="007515EA" w:rsidP="007515EA">
      <w:pPr>
        <w:rPr>
          <w:sz w:val="11"/>
          <w:lang w:val="el-GR"/>
        </w:rPr>
      </w:pPr>
    </w:p>
    <w:p w14:paraId="54B2A716" w14:textId="77777777" w:rsidR="007515EA" w:rsidRPr="007515EA" w:rsidRDefault="007515EA" w:rsidP="007515EA">
      <w:pPr>
        <w:rPr>
          <w:sz w:val="11"/>
          <w:lang w:val="el-GR"/>
        </w:rPr>
      </w:pPr>
    </w:p>
    <w:p w14:paraId="64C0CA16" w14:textId="77777777" w:rsidR="007515EA" w:rsidRPr="007515EA" w:rsidRDefault="007515EA" w:rsidP="007515EA">
      <w:pPr>
        <w:rPr>
          <w:sz w:val="11"/>
          <w:lang w:val="el-GR"/>
        </w:rPr>
      </w:pPr>
    </w:p>
    <w:p w14:paraId="531598B0" w14:textId="77777777" w:rsidR="007515EA" w:rsidRPr="007515EA" w:rsidRDefault="007515EA" w:rsidP="007515EA">
      <w:pPr>
        <w:rPr>
          <w:sz w:val="11"/>
          <w:lang w:val="el-GR"/>
        </w:rPr>
      </w:pPr>
    </w:p>
    <w:p w14:paraId="7E8F8AF3" w14:textId="77777777" w:rsidR="007515EA" w:rsidRPr="007515EA" w:rsidRDefault="007515EA" w:rsidP="007515EA">
      <w:pPr>
        <w:rPr>
          <w:sz w:val="11"/>
          <w:lang w:val="el-GR"/>
        </w:rPr>
      </w:pPr>
    </w:p>
    <w:p w14:paraId="63D28582" w14:textId="77777777" w:rsidR="007515EA" w:rsidRPr="007515EA" w:rsidRDefault="007515EA" w:rsidP="007515EA">
      <w:pPr>
        <w:rPr>
          <w:sz w:val="11"/>
          <w:lang w:val="el-GR"/>
        </w:rPr>
      </w:pPr>
    </w:p>
    <w:p w14:paraId="1E58C889" w14:textId="77777777" w:rsidR="007515EA" w:rsidRDefault="007515EA" w:rsidP="007515EA">
      <w:pPr>
        <w:rPr>
          <w:sz w:val="11"/>
          <w:lang w:val="el-GR"/>
        </w:rPr>
      </w:pPr>
    </w:p>
    <w:p w14:paraId="4F11F05B" w14:textId="77777777" w:rsidR="007515EA" w:rsidRDefault="007515EA" w:rsidP="007515EA">
      <w:pPr>
        <w:jc w:val="right"/>
        <w:rPr>
          <w:sz w:val="11"/>
          <w:lang w:val="el-GR"/>
        </w:rPr>
      </w:pPr>
    </w:p>
    <w:p w14:paraId="7E3EC2EC" w14:textId="77777777" w:rsidR="007515EA" w:rsidRDefault="007515EA" w:rsidP="007515EA">
      <w:pPr>
        <w:rPr>
          <w:sz w:val="11"/>
          <w:lang w:val="el-GR"/>
        </w:rPr>
      </w:pPr>
    </w:p>
    <w:p w14:paraId="48C8DF34" w14:textId="77777777" w:rsidR="00852D18" w:rsidRDefault="00852D18" w:rsidP="007515EA">
      <w:pPr>
        <w:rPr>
          <w:sz w:val="11"/>
          <w:lang w:val="el-GR"/>
        </w:rPr>
      </w:pPr>
    </w:p>
    <w:p w14:paraId="5D27B750" w14:textId="77777777" w:rsidR="00A65539" w:rsidRPr="00647F03" w:rsidRDefault="00A65539" w:rsidP="007515EA">
      <w:pPr>
        <w:rPr>
          <w:sz w:val="11"/>
          <w:lang w:val="el-GR"/>
        </w:rPr>
      </w:pPr>
    </w:p>
    <w:p w14:paraId="794B117A" w14:textId="77777777" w:rsidR="006F607C" w:rsidRPr="00647F03" w:rsidRDefault="006F607C" w:rsidP="007515EA">
      <w:pPr>
        <w:rPr>
          <w:sz w:val="11"/>
          <w:lang w:val="el-GR"/>
        </w:rPr>
      </w:pPr>
    </w:p>
    <w:p w14:paraId="6DE8473D" w14:textId="28979987" w:rsidR="00A23D10" w:rsidRDefault="00A23D10">
      <w:pPr>
        <w:rPr>
          <w:sz w:val="11"/>
          <w:lang w:val="el-GR"/>
        </w:rPr>
      </w:pPr>
      <w:r>
        <w:rPr>
          <w:sz w:val="11"/>
          <w:lang w:val="el-GR"/>
        </w:rPr>
        <w:br w:type="page"/>
      </w:r>
    </w:p>
    <w:p w14:paraId="5AE98B4F" w14:textId="77777777" w:rsidR="006F607C" w:rsidRPr="00647F03" w:rsidRDefault="006F607C" w:rsidP="007515EA">
      <w:pPr>
        <w:rPr>
          <w:sz w:val="11"/>
          <w:lang w:val="el-GR"/>
        </w:rPr>
      </w:pPr>
    </w:p>
    <w:p w14:paraId="79F58F39" w14:textId="77777777" w:rsidR="006F607C" w:rsidRPr="00647F03" w:rsidRDefault="006F607C" w:rsidP="007515EA">
      <w:pPr>
        <w:rPr>
          <w:sz w:val="11"/>
          <w:lang w:val="el-GR"/>
        </w:rPr>
      </w:pPr>
    </w:p>
    <w:p w14:paraId="3660906F" w14:textId="77777777" w:rsidR="00C6706F" w:rsidRPr="00647F03" w:rsidRDefault="00C6706F" w:rsidP="007515EA">
      <w:pPr>
        <w:rPr>
          <w:sz w:val="11"/>
          <w:lang w:val="el-GR"/>
        </w:rPr>
      </w:pPr>
    </w:p>
    <w:tbl>
      <w:tblPr>
        <w:tblW w:w="0" w:type="auto"/>
        <w:jc w:val="center"/>
        <w:tblBorders>
          <w:top w:val="single" w:sz="2" w:space="0" w:color="021142"/>
          <w:left w:val="single" w:sz="2" w:space="0" w:color="021142"/>
          <w:bottom w:val="single" w:sz="2" w:space="0" w:color="021142"/>
          <w:right w:val="single" w:sz="2" w:space="0" w:color="021142"/>
          <w:insideH w:val="single" w:sz="2" w:space="0" w:color="021142"/>
          <w:insideV w:val="single" w:sz="2" w:space="0" w:color="021142"/>
        </w:tblBorders>
        <w:tblLayout w:type="fixed"/>
        <w:tblCellMar>
          <w:left w:w="0" w:type="dxa"/>
          <w:right w:w="0" w:type="dxa"/>
        </w:tblCellMar>
        <w:tblLook w:val="01E0" w:firstRow="1" w:lastRow="1" w:firstColumn="1" w:lastColumn="1" w:noHBand="0" w:noVBand="0"/>
      </w:tblPr>
      <w:tblGrid>
        <w:gridCol w:w="4821"/>
        <w:gridCol w:w="1842"/>
        <w:gridCol w:w="1701"/>
        <w:gridCol w:w="1984"/>
      </w:tblGrid>
      <w:tr w:rsidR="00020F0D" w:rsidRPr="00AF2577" w14:paraId="3090B1C0" w14:textId="77777777" w:rsidTr="002849A0">
        <w:trPr>
          <w:trHeight w:val="525"/>
          <w:jc w:val="center"/>
        </w:trPr>
        <w:tc>
          <w:tcPr>
            <w:tcW w:w="4821" w:type="dxa"/>
            <w:tcBorders>
              <w:top w:val="nil"/>
              <w:left w:val="nil"/>
              <w:bottom w:val="single" w:sz="4" w:space="0" w:color="auto"/>
              <w:right w:val="nil"/>
            </w:tcBorders>
            <w:shd w:val="clear" w:color="auto" w:fill="021142"/>
            <w:vAlign w:val="center"/>
          </w:tcPr>
          <w:p w14:paraId="06AE3154" w14:textId="77777777" w:rsidR="00020F0D" w:rsidRPr="003277BD" w:rsidRDefault="00020F0D" w:rsidP="003F55F4">
            <w:pPr>
              <w:pStyle w:val="TableParagraph"/>
              <w:spacing w:before="125"/>
              <w:ind w:left="0" w:right="0"/>
              <w:jc w:val="left"/>
              <w:rPr>
                <w:sz w:val="20"/>
                <w:lang w:val="el-GR"/>
              </w:rPr>
            </w:pPr>
            <w:bookmarkStart w:id="3" w:name="_Hlk109210751"/>
            <w:r>
              <w:rPr>
                <w:color w:val="FFFFFF"/>
                <w:sz w:val="20"/>
              </w:rPr>
              <w:t>Βασικά</w:t>
            </w:r>
            <w:r>
              <w:rPr>
                <w:color w:val="FFFFFF"/>
                <w:spacing w:val="-11"/>
                <w:sz w:val="20"/>
              </w:rPr>
              <w:t xml:space="preserve"> </w:t>
            </w:r>
            <w:r>
              <w:rPr>
                <w:color w:val="FFFFFF"/>
                <w:sz w:val="20"/>
              </w:rPr>
              <w:t>Οικονομικά</w:t>
            </w:r>
            <w:r>
              <w:rPr>
                <w:color w:val="FFFFFF"/>
                <w:spacing w:val="-11"/>
                <w:sz w:val="20"/>
              </w:rPr>
              <w:t xml:space="preserve"> </w:t>
            </w:r>
            <w:r>
              <w:rPr>
                <w:color w:val="FFFFFF"/>
                <w:sz w:val="20"/>
              </w:rPr>
              <w:t xml:space="preserve">Μεγέθη </w:t>
            </w:r>
            <w:r>
              <w:rPr>
                <w:color w:val="FFFFFF"/>
                <w:sz w:val="20"/>
                <w:lang w:val="el-GR"/>
              </w:rPr>
              <w:t>(€εκ.)</w:t>
            </w:r>
          </w:p>
        </w:tc>
        <w:tc>
          <w:tcPr>
            <w:tcW w:w="1842" w:type="dxa"/>
            <w:tcBorders>
              <w:top w:val="nil"/>
              <w:left w:val="nil"/>
              <w:bottom w:val="single" w:sz="4" w:space="0" w:color="auto"/>
              <w:right w:val="nil"/>
            </w:tcBorders>
            <w:shd w:val="clear" w:color="auto" w:fill="021142"/>
            <w:vAlign w:val="center"/>
          </w:tcPr>
          <w:p w14:paraId="63A7181D" w14:textId="39914315" w:rsidR="00020F0D" w:rsidRPr="00061434" w:rsidRDefault="00020F0D" w:rsidP="002F4D5B">
            <w:pPr>
              <w:pStyle w:val="TableParagraph"/>
              <w:spacing w:before="125"/>
              <w:ind w:left="0" w:right="0"/>
              <w:rPr>
                <w:sz w:val="20"/>
                <w:lang w:val="el-GR"/>
              </w:rPr>
            </w:pPr>
            <w:r>
              <w:rPr>
                <w:color w:val="FFFFFF"/>
                <w:sz w:val="20"/>
                <w:lang w:val="el-GR"/>
              </w:rPr>
              <w:t>2025</w:t>
            </w:r>
          </w:p>
        </w:tc>
        <w:tc>
          <w:tcPr>
            <w:tcW w:w="1701" w:type="dxa"/>
            <w:tcBorders>
              <w:top w:val="nil"/>
              <w:left w:val="nil"/>
              <w:bottom w:val="single" w:sz="4" w:space="0" w:color="auto"/>
              <w:right w:val="nil"/>
            </w:tcBorders>
            <w:shd w:val="clear" w:color="auto" w:fill="021142"/>
            <w:vAlign w:val="center"/>
          </w:tcPr>
          <w:p w14:paraId="1C54FE02" w14:textId="5B499652" w:rsidR="00020F0D" w:rsidRPr="00364250" w:rsidRDefault="00020F0D" w:rsidP="002F4D5B">
            <w:pPr>
              <w:pStyle w:val="TableParagraph"/>
              <w:spacing w:before="125"/>
              <w:ind w:left="0" w:right="0"/>
              <w:rPr>
                <w:sz w:val="20"/>
                <w:lang w:val="el-GR"/>
              </w:rPr>
            </w:pPr>
            <w:r>
              <w:rPr>
                <w:sz w:val="20"/>
              </w:rPr>
              <w:t>2024</w:t>
            </w:r>
          </w:p>
        </w:tc>
        <w:tc>
          <w:tcPr>
            <w:tcW w:w="1984" w:type="dxa"/>
            <w:tcBorders>
              <w:top w:val="nil"/>
              <w:left w:val="nil"/>
              <w:bottom w:val="single" w:sz="4" w:space="0" w:color="auto"/>
              <w:right w:val="nil"/>
            </w:tcBorders>
            <w:shd w:val="clear" w:color="auto" w:fill="021142"/>
            <w:vAlign w:val="center"/>
          </w:tcPr>
          <w:p w14:paraId="03A154AB" w14:textId="1FB26450" w:rsidR="00020F0D" w:rsidRDefault="00480AA4" w:rsidP="002F4D5B">
            <w:pPr>
              <w:pStyle w:val="TableParagraph"/>
              <w:spacing w:before="125"/>
              <w:ind w:left="0" w:right="0"/>
              <w:rPr>
                <w:sz w:val="20"/>
              </w:rPr>
            </w:pPr>
            <w:r>
              <w:rPr>
                <w:color w:val="FFFFFF"/>
                <w:sz w:val="20"/>
                <w:lang w:val="el-GR"/>
              </w:rPr>
              <w:t xml:space="preserve">Μεταβολή </w:t>
            </w:r>
          </w:p>
        </w:tc>
      </w:tr>
      <w:tr w:rsidR="002C7663" w14:paraId="58028C59" w14:textId="77777777" w:rsidTr="002849A0">
        <w:trPr>
          <w:trHeight w:hRule="exact" w:val="454"/>
          <w:jc w:val="center"/>
        </w:trPr>
        <w:tc>
          <w:tcPr>
            <w:tcW w:w="4821" w:type="dxa"/>
            <w:tcBorders>
              <w:top w:val="single" w:sz="4" w:space="0" w:color="auto"/>
              <w:left w:val="single" w:sz="4" w:space="0" w:color="auto"/>
              <w:bottom w:val="single" w:sz="4" w:space="0" w:color="auto"/>
              <w:right w:val="single" w:sz="4" w:space="0" w:color="auto"/>
            </w:tcBorders>
            <w:vAlign w:val="center"/>
          </w:tcPr>
          <w:p w14:paraId="39FFE95E" w14:textId="77777777" w:rsidR="002C7663" w:rsidRDefault="002C7663" w:rsidP="002C7663">
            <w:pPr>
              <w:pStyle w:val="TableParagraph"/>
              <w:spacing w:before="124"/>
              <w:ind w:left="0" w:right="0"/>
              <w:jc w:val="left"/>
              <w:rPr>
                <w:sz w:val="20"/>
              </w:rPr>
            </w:pPr>
            <w:r>
              <w:rPr>
                <w:color w:val="021142"/>
                <w:sz w:val="20"/>
              </w:rPr>
              <w:t>Καθαρά</w:t>
            </w:r>
            <w:r>
              <w:rPr>
                <w:color w:val="021142"/>
                <w:spacing w:val="-11"/>
                <w:sz w:val="20"/>
              </w:rPr>
              <w:t xml:space="preserve"> </w:t>
            </w:r>
            <w:r>
              <w:rPr>
                <w:color w:val="021142"/>
                <w:sz w:val="20"/>
              </w:rPr>
              <w:t>Έσοδα</w:t>
            </w:r>
            <w:r>
              <w:rPr>
                <w:color w:val="021142"/>
                <w:spacing w:val="-11"/>
                <w:sz w:val="20"/>
              </w:rPr>
              <w:t xml:space="preserve"> </w:t>
            </w:r>
            <w:r>
              <w:rPr>
                <w:color w:val="021142"/>
                <w:sz w:val="20"/>
              </w:rPr>
              <w:t>από</w:t>
            </w:r>
            <w:r>
              <w:rPr>
                <w:color w:val="021142"/>
                <w:spacing w:val="-11"/>
                <w:sz w:val="20"/>
              </w:rPr>
              <w:t xml:space="preserve"> </w:t>
            </w:r>
            <w:r>
              <w:rPr>
                <w:color w:val="021142"/>
                <w:sz w:val="20"/>
              </w:rPr>
              <w:t>Τόκους</w:t>
            </w:r>
          </w:p>
        </w:tc>
        <w:tc>
          <w:tcPr>
            <w:tcW w:w="1842" w:type="dxa"/>
            <w:tcBorders>
              <w:top w:val="single" w:sz="4" w:space="0" w:color="auto"/>
              <w:left w:val="single" w:sz="4" w:space="0" w:color="auto"/>
              <w:bottom w:val="single" w:sz="4" w:space="0" w:color="auto"/>
              <w:right w:val="single" w:sz="4" w:space="0" w:color="auto"/>
            </w:tcBorders>
            <w:vAlign w:val="center"/>
          </w:tcPr>
          <w:p w14:paraId="29A89417" w14:textId="07150CA6" w:rsidR="002C7663" w:rsidRPr="004379E2" w:rsidRDefault="002C7663" w:rsidP="002C7663">
            <w:pPr>
              <w:pStyle w:val="TableParagraph"/>
              <w:spacing w:before="124"/>
              <w:ind w:left="0" w:right="0"/>
              <w:rPr>
                <w:color w:val="021142"/>
                <w:sz w:val="20"/>
                <w:lang w:val="el-GR"/>
              </w:rPr>
            </w:pPr>
            <w:r>
              <w:rPr>
                <w:color w:val="021142"/>
                <w:sz w:val="20"/>
                <w:lang w:val="el-GR"/>
              </w:rPr>
              <w:t>2.5</w:t>
            </w:r>
            <w:r>
              <w:rPr>
                <w:color w:val="021142"/>
                <w:sz w:val="20"/>
                <w:lang w:val="en-GB"/>
              </w:rPr>
              <w:t>49</w:t>
            </w:r>
          </w:p>
        </w:tc>
        <w:tc>
          <w:tcPr>
            <w:tcW w:w="1701" w:type="dxa"/>
            <w:tcBorders>
              <w:top w:val="single" w:sz="4" w:space="0" w:color="auto"/>
              <w:left w:val="single" w:sz="4" w:space="0" w:color="auto"/>
              <w:bottom w:val="single" w:sz="4" w:space="0" w:color="auto"/>
              <w:right w:val="single" w:sz="4" w:space="0" w:color="auto"/>
            </w:tcBorders>
            <w:vAlign w:val="center"/>
          </w:tcPr>
          <w:p w14:paraId="43460122" w14:textId="502B2A99" w:rsidR="002C7663" w:rsidRPr="007604E4" w:rsidRDefault="002C7663" w:rsidP="002C7663">
            <w:pPr>
              <w:pStyle w:val="TableParagraph"/>
              <w:spacing w:before="124"/>
              <w:ind w:left="0" w:right="0"/>
              <w:rPr>
                <w:color w:val="021142"/>
                <w:sz w:val="20"/>
                <w:lang w:val="el-GR"/>
              </w:rPr>
            </w:pPr>
            <w:r>
              <w:rPr>
                <w:color w:val="021142"/>
                <w:sz w:val="20"/>
                <w:lang w:val="el-GR"/>
              </w:rPr>
              <w:t>2</w:t>
            </w:r>
            <w:r w:rsidR="00661559">
              <w:rPr>
                <w:color w:val="021142"/>
                <w:sz w:val="20"/>
                <w:lang w:val="el-GR"/>
              </w:rPr>
              <w:t>.</w:t>
            </w:r>
            <w:r>
              <w:rPr>
                <w:color w:val="021142"/>
                <w:sz w:val="20"/>
                <w:lang w:val="en-GB"/>
              </w:rPr>
              <w:t>507</w:t>
            </w:r>
          </w:p>
        </w:tc>
        <w:tc>
          <w:tcPr>
            <w:tcW w:w="1984" w:type="dxa"/>
            <w:tcBorders>
              <w:top w:val="single" w:sz="4" w:space="0" w:color="auto"/>
              <w:left w:val="single" w:sz="4" w:space="0" w:color="auto"/>
              <w:bottom w:val="single" w:sz="4" w:space="0" w:color="auto"/>
              <w:right w:val="single" w:sz="4" w:space="0" w:color="auto"/>
            </w:tcBorders>
            <w:vAlign w:val="center"/>
          </w:tcPr>
          <w:p w14:paraId="6FA659D4" w14:textId="19130F84" w:rsidR="002C7663" w:rsidRPr="004379E2" w:rsidRDefault="0072143B" w:rsidP="002C7663">
            <w:pPr>
              <w:pStyle w:val="TableParagraph"/>
              <w:spacing w:before="124"/>
              <w:ind w:left="0" w:right="0"/>
              <w:rPr>
                <w:color w:val="021142"/>
                <w:sz w:val="20"/>
                <w:lang w:val="el-GR"/>
              </w:rPr>
            </w:pPr>
            <w:r>
              <w:rPr>
                <w:color w:val="021142"/>
                <w:sz w:val="20"/>
                <w:lang w:val="el-GR"/>
              </w:rPr>
              <w:t>1</w:t>
            </w:r>
            <w:r w:rsidR="002C7663" w:rsidRPr="00950E8F">
              <w:rPr>
                <w:color w:val="021142"/>
                <w:sz w:val="20"/>
                <w:lang w:val="el-GR"/>
              </w:rPr>
              <w:t>,</w:t>
            </w:r>
            <w:r>
              <w:rPr>
                <w:color w:val="021142"/>
                <w:sz w:val="20"/>
                <w:lang w:val="el-GR"/>
              </w:rPr>
              <w:t>7</w:t>
            </w:r>
            <w:r w:rsidR="002C7663" w:rsidRPr="00950E8F">
              <w:rPr>
                <w:color w:val="021142"/>
                <w:sz w:val="20"/>
                <w:lang w:val="el-GR"/>
              </w:rPr>
              <w:t>%</w:t>
            </w:r>
          </w:p>
        </w:tc>
      </w:tr>
      <w:tr w:rsidR="002C7663" w14:paraId="5306B6B9" w14:textId="77777777" w:rsidTr="002849A0">
        <w:trPr>
          <w:trHeight w:hRule="exact" w:val="454"/>
          <w:jc w:val="center"/>
        </w:trPr>
        <w:tc>
          <w:tcPr>
            <w:tcW w:w="4821" w:type="dxa"/>
            <w:tcBorders>
              <w:top w:val="single" w:sz="4" w:space="0" w:color="auto"/>
              <w:left w:val="single" w:sz="4" w:space="0" w:color="auto"/>
              <w:bottom w:val="single" w:sz="4" w:space="0" w:color="auto"/>
              <w:right w:val="single" w:sz="4" w:space="0" w:color="auto"/>
            </w:tcBorders>
            <w:vAlign w:val="center"/>
          </w:tcPr>
          <w:p w14:paraId="74CF233F" w14:textId="77777777" w:rsidR="002C7663" w:rsidRDefault="002C7663" w:rsidP="002C7663">
            <w:pPr>
              <w:pStyle w:val="TableParagraph"/>
              <w:ind w:left="0" w:right="0"/>
              <w:jc w:val="left"/>
              <w:rPr>
                <w:sz w:val="20"/>
              </w:rPr>
            </w:pPr>
            <w:r>
              <w:rPr>
                <w:color w:val="021142"/>
                <w:sz w:val="20"/>
              </w:rPr>
              <w:t>Καθαρά</w:t>
            </w:r>
            <w:r>
              <w:rPr>
                <w:color w:val="021142"/>
                <w:spacing w:val="-10"/>
                <w:sz w:val="20"/>
              </w:rPr>
              <w:t xml:space="preserve"> </w:t>
            </w:r>
            <w:r>
              <w:rPr>
                <w:color w:val="021142"/>
                <w:sz w:val="20"/>
              </w:rPr>
              <w:t>Έσοδα</w:t>
            </w:r>
            <w:r>
              <w:rPr>
                <w:color w:val="021142"/>
                <w:spacing w:val="-10"/>
                <w:sz w:val="20"/>
              </w:rPr>
              <w:t xml:space="preserve"> </w:t>
            </w:r>
            <w:r>
              <w:rPr>
                <w:color w:val="021142"/>
                <w:sz w:val="20"/>
              </w:rPr>
              <w:t>Προμηθειών</w:t>
            </w:r>
          </w:p>
        </w:tc>
        <w:tc>
          <w:tcPr>
            <w:tcW w:w="1842" w:type="dxa"/>
            <w:tcBorders>
              <w:top w:val="single" w:sz="4" w:space="0" w:color="auto"/>
              <w:left w:val="single" w:sz="4" w:space="0" w:color="auto"/>
              <w:bottom w:val="single" w:sz="4" w:space="0" w:color="auto"/>
              <w:right w:val="single" w:sz="4" w:space="0" w:color="auto"/>
            </w:tcBorders>
            <w:vAlign w:val="center"/>
          </w:tcPr>
          <w:p w14:paraId="49881DD3" w14:textId="638E88B5" w:rsidR="002C7663" w:rsidRPr="004379E2" w:rsidRDefault="002C7663" w:rsidP="002C7663">
            <w:pPr>
              <w:pStyle w:val="TableParagraph"/>
              <w:spacing w:before="124"/>
              <w:ind w:left="0" w:right="0"/>
              <w:rPr>
                <w:color w:val="021142"/>
                <w:sz w:val="20"/>
                <w:lang w:val="el-GR"/>
              </w:rPr>
            </w:pPr>
            <w:r>
              <w:rPr>
                <w:color w:val="021142"/>
                <w:sz w:val="20"/>
                <w:lang w:val="en-GB"/>
              </w:rPr>
              <w:t>770</w:t>
            </w:r>
          </w:p>
        </w:tc>
        <w:tc>
          <w:tcPr>
            <w:tcW w:w="1701" w:type="dxa"/>
            <w:tcBorders>
              <w:top w:val="single" w:sz="4" w:space="0" w:color="auto"/>
              <w:left w:val="single" w:sz="4" w:space="0" w:color="auto"/>
              <w:bottom w:val="single" w:sz="4" w:space="0" w:color="auto"/>
              <w:right w:val="single" w:sz="4" w:space="0" w:color="auto"/>
            </w:tcBorders>
            <w:vAlign w:val="center"/>
          </w:tcPr>
          <w:p w14:paraId="05ECFDE6" w14:textId="7A7E9C93" w:rsidR="002C7663" w:rsidRPr="007604E4" w:rsidRDefault="002C7663" w:rsidP="002C7663">
            <w:pPr>
              <w:pStyle w:val="TableParagraph"/>
              <w:spacing w:before="124"/>
              <w:ind w:left="0" w:right="0"/>
              <w:rPr>
                <w:color w:val="021142"/>
                <w:sz w:val="20"/>
                <w:lang w:val="el-GR"/>
              </w:rPr>
            </w:pPr>
            <w:r>
              <w:rPr>
                <w:color w:val="021142"/>
                <w:sz w:val="20"/>
                <w:lang w:val="en-GB"/>
              </w:rPr>
              <w:t>666</w:t>
            </w:r>
          </w:p>
        </w:tc>
        <w:tc>
          <w:tcPr>
            <w:tcW w:w="1984" w:type="dxa"/>
            <w:tcBorders>
              <w:top w:val="single" w:sz="4" w:space="0" w:color="auto"/>
              <w:left w:val="single" w:sz="4" w:space="0" w:color="auto"/>
              <w:bottom w:val="single" w:sz="4" w:space="0" w:color="auto"/>
              <w:right w:val="single" w:sz="4" w:space="0" w:color="auto"/>
            </w:tcBorders>
            <w:vAlign w:val="center"/>
          </w:tcPr>
          <w:p w14:paraId="6FD516A6" w14:textId="19173B4B" w:rsidR="002C7663" w:rsidRPr="004379E2" w:rsidRDefault="0072143B" w:rsidP="002C7663">
            <w:pPr>
              <w:pStyle w:val="TableParagraph"/>
              <w:spacing w:before="124"/>
              <w:ind w:left="0" w:right="0"/>
              <w:rPr>
                <w:color w:val="021142"/>
                <w:sz w:val="20"/>
                <w:lang w:val="el-GR"/>
              </w:rPr>
            </w:pPr>
            <w:r>
              <w:rPr>
                <w:color w:val="021142"/>
                <w:sz w:val="20"/>
                <w:lang w:val="el-GR"/>
              </w:rPr>
              <w:t>15</w:t>
            </w:r>
            <w:r w:rsidR="002C7663" w:rsidRPr="00950E8F">
              <w:rPr>
                <w:color w:val="021142"/>
                <w:sz w:val="20"/>
                <w:lang w:val="el-GR"/>
              </w:rPr>
              <w:t>,</w:t>
            </w:r>
            <w:r w:rsidR="002C7663">
              <w:rPr>
                <w:color w:val="021142"/>
                <w:sz w:val="20"/>
                <w:lang w:val="en-GB"/>
              </w:rPr>
              <w:t>7</w:t>
            </w:r>
            <w:r w:rsidR="002C7663" w:rsidRPr="00950E8F">
              <w:rPr>
                <w:color w:val="021142"/>
                <w:sz w:val="20"/>
                <w:lang w:val="el-GR"/>
              </w:rPr>
              <w:t>%</w:t>
            </w:r>
          </w:p>
        </w:tc>
      </w:tr>
      <w:tr w:rsidR="002C7663" w14:paraId="117A7B56" w14:textId="77777777" w:rsidTr="002849A0">
        <w:trPr>
          <w:trHeight w:hRule="exact" w:val="454"/>
          <w:jc w:val="center"/>
        </w:trPr>
        <w:tc>
          <w:tcPr>
            <w:tcW w:w="4821" w:type="dxa"/>
            <w:tcBorders>
              <w:top w:val="single" w:sz="4" w:space="0" w:color="auto"/>
              <w:left w:val="single" w:sz="4" w:space="0" w:color="auto"/>
              <w:bottom w:val="single" w:sz="4" w:space="0" w:color="auto"/>
              <w:right w:val="single" w:sz="4" w:space="0" w:color="auto"/>
            </w:tcBorders>
            <w:vAlign w:val="center"/>
          </w:tcPr>
          <w:p w14:paraId="439CBD09" w14:textId="77777777" w:rsidR="002C7663" w:rsidRDefault="002C7663" w:rsidP="002C7663">
            <w:pPr>
              <w:pStyle w:val="TableParagraph"/>
              <w:ind w:left="0" w:right="0"/>
              <w:jc w:val="left"/>
              <w:rPr>
                <w:sz w:val="20"/>
              </w:rPr>
            </w:pPr>
            <w:r>
              <w:rPr>
                <w:color w:val="021142"/>
                <w:spacing w:val="-1"/>
                <w:sz w:val="20"/>
              </w:rPr>
              <w:t>Λειτουργικά</w:t>
            </w:r>
            <w:r>
              <w:rPr>
                <w:color w:val="021142"/>
                <w:spacing w:val="-10"/>
                <w:sz w:val="20"/>
              </w:rPr>
              <w:t xml:space="preserve"> </w:t>
            </w:r>
            <w:r>
              <w:rPr>
                <w:color w:val="021142"/>
                <w:sz w:val="20"/>
              </w:rPr>
              <w:t>Έσοδα</w:t>
            </w:r>
          </w:p>
        </w:tc>
        <w:tc>
          <w:tcPr>
            <w:tcW w:w="1842" w:type="dxa"/>
            <w:tcBorders>
              <w:top w:val="single" w:sz="4" w:space="0" w:color="auto"/>
              <w:left w:val="single" w:sz="4" w:space="0" w:color="auto"/>
              <w:bottom w:val="single" w:sz="4" w:space="0" w:color="auto"/>
              <w:right w:val="single" w:sz="4" w:space="0" w:color="auto"/>
            </w:tcBorders>
            <w:vAlign w:val="center"/>
          </w:tcPr>
          <w:p w14:paraId="6F0CD656" w14:textId="4DE36D61" w:rsidR="002C7663" w:rsidRPr="004379E2" w:rsidRDefault="002C7663" w:rsidP="002C7663">
            <w:pPr>
              <w:pStyle w:val="TableParagraph"/>
              <w:spacing w:before="124"/>
              <w:ind w:left="0" w:right="0"/>
              <w:rPr>
                <w:color w:val="021142"/>
                <w:sz w:val="20"/>
                <w:lang w:val="el-GR"/>
              </w:rPr>
            </w:pPr>
            <w:r>
              <w:rPr>
                <w:color w:val="021142"/>
                <w:sz w:val="20"/>
                <w:lang w:val="el-GR"/>
              </w:rPr>
              <w:t>3.</w:t>
            </w:r>
            <w:r>
              <w:rPr>
                <w:color w:val="021142"/>
                <w:sz w:val="20"/>
                <w:lang w:val="en-GB"/>
              </w:rPr>
              <w:t>372</w:t>
            </w:r>
          </w:p>
        </w:tc>
        <w:tc>
          <w:tcPr>
            <w:tcW w:w="1701" w:type="dxa"/>
            <w:tcBorders>
              <w:top w:val="single" w:sz="4" w:space="0" w:color="auto"/>
              <w:left w:val="single" w:sz="4" w:space="0" w:color="auto"/>
              <w:bottom w:val="single" w:sz="4" w:space="0" w:color="auto"/>
              <w:right w:val="single" w:sz="4" w:space="0" w:color="auto"/>
            </w:tcBorders>
            <w:vAlign w:val="center"/>
          </w:tcPr>
          <w:p w14:paraId="5A8799CD" w14:textId="16CEF354" w:rsidR="002C7663" w:rsidRPr="007604E4" w:rsidRDefault="002C7663" w:rsidP="002C7663">
            <w:pPr>
              <w:pStyle w:val="TableParagraph"/>
              <w:spacing w:before="124"/>
              <w:ind w:left="0" w:right="0"/>
              <w:rPr>
                <w:color w:val="021142"/>
                <w:sz w:val="20"/>
                <w:lang w:val="el-GR"/>
              </w:rPr>
            </w:pPr>
            <w:r>
              <w:rPr>
                <w:color w:val="021142"/>
                <w:sz w:val="20"/>
                <w:lang w:val="en-GB"/>
              </w:rPr>
              <w:t>3</w:t>
            </w:r>
            <w:r w:rsidR="00661559">
              <w:rPr>
                <w:color w:val="021142"/>
                <w:sz w:val="20"/>
                <w:lang w:val="el-GR"/>
              </w:rPr>
              <w:t>.</w:t>
            </w:r>
            <w:r>
              <w:rPr>
                <w:color w:val="021142"/>
                <w:sz w:val="20"/>
                <w:lang w:val="en-GB"/>
              </w:rPr>
              <w:t>242</w:t>
            </w:r>
          </w:p>
        </w:tc>
        <w:tc>
          <w:tcPr>
            <w:tcW w:w="1984" w:type="dxa"/>
            <w:tcBorders>
              <w:top w:val="single" w:sz="4" w:space="0" w:color="auto"/>
              <w:left w:val="single" w:sz="4" w:space="0" w:color="auto"/>
              <w:bottom w:val="single" w:sz="4" w:space="0" w:color="auto"/>
              <w:right w:val="single" w:sz="4" w:space="0" w:color="auto"/>
            </w:tcBorders>
            <w:vAlign w:val="center"/>
          </w:tcPr>
          <w:p w14:paraId="1F24315B" w14:textId="22E4E326" w:rsidR="002C7663" w:rsidRPr="004379E2" w:rsidRDefault="0072143B" w:rsidP="002C7663">
            <w:pPr>
              <w:pStyle w:val="TableParagraph"/>
              <w:spacing w:before="124"/>
              <w:ind w:left="0" w:right="0"/>
              <w:rPr>
                <w:color w:val="021142"/>
                <w:sz w:val="20"/>
                <w:lang w:val="el-GR"/>
              </w:rPr>
            </w:pPr>
            <w:r>
              <w:rPr>
                <w:color w:val="021142"/>
                <w:sz w:val="20"/>
                <w:lang w:val="el-GR"/>
              </w:rPr>
              <w:t>4</w:t>
            </w:r>
            <w:r w:rsidR="002C7663" w:rsidRPr="00950E8F">
              <w:rPr>
                <w:color w:val="021142"/>
                <w:sz w:val="20"/>
                <w:lang w:val="el-GR"/>
              </w:rPr>
              <w:t>,</w:t>
            </w:r>
            <w:r>
              <w:rPr>
                <w:color w:val="021142"/>
                <w:sz w:val="20"/>
                <w:lang w:val="el-GR"/>
              </w:rPr>
              <w:t>0</w:t>
            </w:r>
            <w:r w:rsidR="002C7663" w:rsidRPr="00950E8F">
              <w:rPr>
                <w:color w:val="021142"/>
                <w:sz w:val="20"/>
                <w:lang w:val="el-GR"/>
              </w:rPr>
              <w:t>%</w:t>
            </w:r>
          </w:p>
        </w:tc>
      </w:tr>
      <w:tr w:rsidR="002C7663" w14:paraId="0028F17A" w14:textId="77777777" w:rsidTr="002849A0">
        <w:trPr>
          <w:trHeight w:hRule="exact" w:val="454"/>
          <w:jc w:val="center"/>
        </w:trPr>
        <w:tc>
          <w:tcPr>
            <w:tcW w:w="4821" w:type="dxa"/>
            <w:tcBorders>
              <w:top w:val="single" w:sz="4" w:space="0" w:color="auto"/>
              <w:left w:val="single" w:sz="4" w:space="0" w:color="auto"/>
              <w:bottom w:val="single" w:sz="4" w:space="0" w:color="auto"/>
              <w:right w:val="single" w:sz="4" w:space="0" w:color="auto"/>
            </w:tcBorders>
            <w:vAlign w:val="center"/>
          </w:tcPr>
          <w:p w14:paraId="22DA5275" w14:textId="77777777" w:rsidR="002C7663" w:rsidRDefault="002C7663" w:rsidP="002C7663">
            <w:pPr>
              <w:pStyle w:val="TableParagraph"/>
              <w:ind w:left="0" w:right="0"/>
              <w:jc w:val="left"/>
              <w:rPr>
                <w:sz w:val="20"/>
              </w:rPr>
            </w:pPr>
            <w:r>
              <w:rPr>
                <w:color w:val="021142"/>
                <w:spacing w:val="-1"/>
                <w:sz w:val="20"/>
              </w:rPr>
              <w:t>Λειτουργικά</w:t>
            </w:r>
            <w:r>
              <w:rPr>
                <w:color w:val="021142"/>
                <w:spacing w:val="-10"/>
                <w:sz w:val="20"/>
              </w:rPr>
              <w:t xml:space="preserve"> </w:t>
            </w:r>
            <w:r>
              <w:rPr>
                <w:color w:val="021142"/>
                <w:sz w:val="20"/>
              </w:rPr>
              <w:t>Έξοδα</w:t>
            </w:r>
          </w:p>
        </w:tc>
        <w:tc>
          <w:tcPr>
            <w:tcW w:w="1842" w:type="dxa"/>
            <w:tcBorders>
              <w:top w:val="single" w:sz="4" w:space="0" w:color="auto"/>
              <w:left w:val="single" w:sz="4" w:space="0" w:color="auto"/>
              <w:bottom w:val="single" w:sz="4" w:space="0" w:color="auto"/>
              <w:right w:val="single" w:sz="4" w:space="0" w:color="auto"/>
            </w:tcBorders>
            <w:vAlign w:val="center"/>
          </w:tcPr>
          <w:p w14:paraId="2C9A1F88" w14:textId="2BF3F946" w:rsidR="002C7663" w:rsidRPr="004379E2" w:rsidRDefault="002C7663" w:rsidP="002C7663">
            <w:pPr>
              <w:pStyle w:val="TableParagraph"/>
              <w:spacing w:before="124"/>
              <w:ind w:left="0" w:right="0"/>
              <w:rPr>
                <w:color w:val="021142"/>
                <w:sz w:val="20"/>
                <w:lang w:val="el-GR"/>
              </w:rPr>
            </w:pPr>
            <w:r>
              <w:rPr>
                <w:color w:val="021142"/>
                <w:sz w:val="20"/>
                <w:lang w:val="el-GR"/>
              </w:rPr>
              <w:t>1.</w:t>
            </w:r>
            <w:r>
              <w:rPr>
                <w:color w:val="021142"/>
                <w:sz w:val="20"/>
                <w:lang w:val="en-GB"/>
              </w:rPr>
              <w:t>258</w:t>
            </w:r>
          </w:p>
        </w:tc>
        <w:tc>
          <w:tcPr>
            <w:tcW w:w="1701" w:type="dxa"/>
            <w:tcBorders>
              <w:top w:val="single" w:sz="4" w:space="0" w:color="auto"/>
              <w:left w:val="single" w:sz="4" w:space="0" w:color="auto"/>
              <w:bottom w:val="single" w:sz="4" w:space="0" w:color="auto"/>
              <w:right w:val="single" w:sz="4" w:space="0" w:color="auto"/>
            </w:tcBorders>
            <w:vAlign w:val="center"/>
          </w:tcPr>
          <w:p w14:paraId="2FB873C2" w14:textId="17927D79" w:rsidR="002C7663" w:rsidRPr="007604E4" w:rsidRDefault="002C7663" w:rsidP="002C7663">
            <w:pPr>
              <w:pStyle w:val="TableParagraph"/>
              <w:spacing w:before="124"/>
              <w:ind w:left="0" w:right="0"/>
              <w:rPr>
                <w:color w:val="021142"/>
                <w:sz w:val="20"/>
                <w:lang w:val="el-GR"/>
              </w:rPr>
            </w:pPr>
            <w:r>
              <w:rPr>
                <w:color w:val="021142"/>
                <w:sz w:val="20"/>
                <w:lang w:val="en-GB"/>
              </w:rPr>
              <w:t>1</w:t>
            </w:r>
            <w:r w:rsidR="00661559">
              <w:rPr>
                <w:color w:val="021142"/>
                <w:sz w:val="20"/>
                <w:lang w:val="el-GR"/>
              </w:rPr>
              <w:t>.</w:t>
            </w:r>
            <w:r>
              <w:rPr>
                <w:color w:val="021142"/>
                <w:sz w:val="20"/>
                <w:lang w:val="en-GB"/>
              </w:rPr>
              <w:t>071</w:t>
            </w:r>
          </w:p>
        </w:tc>
        <w:tc>
          <w:tcPr>
            <w:tcW w:w="1984" w:type="dxa"/>
            <w:tcBorders>
              <w:top w:val="single" w:sz="4" w:space="0" w:color="auto"/>
              <w:left w:val="single" w:sz="4" w:space="0" w:color="auto"/>
              <w:bottom w:val="single" w:sz="4" w:space="0" w:color="auto"/>
              <w:right w:val="single" w:sz="4" w:space="0" w:color="auto"/>
            </w:tcBorders>
            <w:vAlign w:val="center"/>
          </w:tcPr>
          <w:p w14:paraId="523D9AAA" w14:textId="4A5468E9" w:rsidR="002C7663" w:rsidRPr="00950E8F" w:rsidRDefault="0072143B" w:rsidP="002C7663">
            <w:pPr>
              <w:pStyle w:val="TableParagraph"/>
              <w:spacing w:before="124"/>
              <w:ind w:left="0" w:right="0"/>
              <w:rPr>
                <w:color w:val="021142"/>
                <w:sz w:val="20"/>
                <w:highlight w:val="yellow"/>
                <w:lang w:val="el-GR"/>
              </w:rPr>
            </w:pPr>
            <w:r>
              <w:rPr>
                <w:color w:val="021142"/>
                <w:sz w:val="20"/>
                <w:lang w:val="el-GR"/>
              </w:rPr>
              <w:t>17</w:t>
            </w:r>
            <w:r w:rsidR="002C7663">
              <w:rPr>
                <w:color w:val="021142"/>
                <w:sz w:val="20"/>
                <w:lang w:val="el-GR"/>
              </w:rPr>
              <w:t>,</w:t>
            </w:r>
            <w:r>
              <w:rPr>
                <w:color w:val="021142"/>
                <w:sz w:val="20"/>
                <w:lang w:val="el-GR"/>
              </w:rPr>
              <w:t>4</w:t>
            </w:r>
            <w:r w:rsidR="002C7663" w:rsidRPr="008540EF">
              <w:rPr>
                <w:color w:val="021142"/>
                <w:sz w:val="20"/>
                <w:lang w:val="el-GR"/>
              </w:rPr>
              <w:t>%</w:t>
            </w:r>
          </w:p>
        </w:tc>
      </w:tr>
      <w:tr w:rsidR="002C7663" w14:paraId="1FE3DDE3" w14:textId="77777777" w:rsidTr="002849A0">
        <w:trPr>
          <w:trHeight w:hRule="exact" w:val="454"/>
          <w:jc w:val="center"/>
        </w:trPr>
        <w:tc>
          <w:tcPr>
            <w:tcW w:w="4821" w:type="dxa"/>
            <w:tcBorders>
              <w:top w:val="single" w:sz="4" w:space="0" w:color="auto"/>
              <w:left w:val="single" w:sz="4" w:space="0" w:color="auto"/>
              <w:bottom w:val="single" w:sz="4" w:space="0" w:color="auto"/>
              <w:right w:val="single" w:sz="4" w:space="0" w:color="auto"/>
            </w:tcBorders>
            <w:vAlign w:val="center"/>
          </w:tcPr>
          <w:p w14:paraId="3DC4826D" w14:textId="69388517" w:rsidR="002C7663" w:rsidRPr="003F55F4" w:rsidRDefault="002C7663" w:rsidP="002C7663">
            <w:pPr>
              <w:pStyle w:val="TableParagraph"/>
              <w:spacing w:before="37" w:line="240" w:lineRule="atLeast"/>
              <w:ind w:left="0" w:right="1027"/>
              <w:jc w:val="left"/>
              <w:rPr>
                <w:sz w:val="20"/>
                <w:lang w:val="el-GR"/>
              </w:rPr>
            </w:pPr>
            <w:r>
              <w:rPr>
                <w:color w:val="021142"/>
                <w:sz w:val="20"/>
              </w:rPr>
              <w:t>Οργανικά Κέρδη</w:t>
            </w:r>
            <w:r>
              <w:rPr>
                <w:color w:val="021142"/>
                <w:spacing w:val="1"/>
                <w:sz w:val="20"/>
              </w:rPr>
              <w:t xml:space="preserve"> </w:t>
            </w:r>
            <w:r>
              <w:rPr>
                <w:color w:val="021142"/>
                <w:spacing w:val="-3"/>
                <w:sz w:val="20"/>
              </w:rPr>
              <w:t>πρ</w:t>
            </w:r>
            <w:r>
              <w:rPr>
                <w:color w:val="021142"/>
                <w:spacing w:val="-3"/>
                <w:sz w:val="20"/>
                <w:lang w:val="el-GR"/>
              </w:rPr>
              <w:t xml:space="preserve">ο </w:t>
            </w:r>
            <w:r>
              <w:rPr>
                <w:color w:val="021142"/>
                <w:spacing w:val="-2"/>
                <w:sz w:val="20"/>
              </w:rPr>
              <w:t>Προβλέ</w:t>
            </w:r>
            <w:r>
              <w:rPr>
                <w:color w:val="021142"/>
                <w:spacing w:val="-2"/>
                <w:sz w:val="20"/>
                <w:lang w:val="el-GR"/>
              </w:rPr>
              <w:t>ψεων</w:t>
            </w:r>
          </w:p>
        </w:tc>
        <w:tc>
          <w:tcPr>
            <w:tcW w:w="1842" w:type="dxa"/>
            <w:tcBorders>
              <w:top w:val="single" w:sz="4" w:space="0" w:color="auto"/>
              <w:left w:val="single" w:sz="4" w:space="0" w:color="auto"/>
              <w:bottom w:val="single" w:sz="4" w:space="0" w:color="auto"/>
              <w:right w:val="single" w:sz="4" w:space="0" w:color="auto"/>
            </w:tcBorders>
            <w:vAlign w:val="center"/>
          </w:tcPr>
          <w:p w14:paraId="36CC76C7" w14:textId="5A077E80" w:rsidR="002C7663" w:rsidRPr="004379E2" w:rsidRDefault="002C7663" w:rsidP="002C7663">
            <w:pPr>
              <w:pStyle w:val="TableParagraph"/>
              <w:spacing w:before="124"/>
              <w:ind w:left="0" w:right="0"/>
              <w:rPr>
                <w:color w:val="021142"/>
                <w:sz w:val="20"/>
                <w:lang w:val="el-GR"/>
              </w:rPr>
            </w:pPr>
            <w:r>
              <w:rPr>
                <w:color w:val="021142"/>
                <w:sz w:val="20"/>
                <w:lang w:val="el-GR"/>
              </w:rPr>
              <w:t>2.</w:t>
            </w:r>
            <w:r>
              <w:rPr>
                <w:color w:val="021142"/>
                <w:sz w:val="20"/>
                <w:lang w:val="en-GB"/>
              </w:rPr>
              <w:t>061</w:t>
            </w:r>
          </w:p>
        </w:tc>
        <w:tc>
          <w:tcPr>
            <w:tcW w:w="1701" w:type="dxa"/>
            <w:tcBorders>
              <w:top w:val="single" w:sz="4" w:space="0" w:color="auto"/>
              <w:left w:val="single" w:sz="4" w:space="0" w:color="auto"/>
              <w:bottom w:val="single" w:sz="4" w:space="0" w:color="auto"/>
              <w:right w:val="single" w:sz="4" w:space="0" w:color="auto"/>
            </w:tcBorders>
            <w:vAlign w:val="center"/>
          </w:tcPr>
          <w:p w14:paraId="5CF576B9" w14:textId="3DCFB7AB" w:rsidR="002C7663" w:rsidRPr="007604E4" w:rsidRDefault="002C7663" w:rsidP="002C7663">
            <w:pPr>
              <w:pStyle w:val="TableParagraph"/>
              <w:spacing w:before="124"/>
              <w:ind w:left="0" w:right="0"/>
              <w:rPr>
                <w:color w:val="021142"/>
                <w:sz w:val="20"/>
                <w:lang w:val="el-GR"/>
              </w:rPr>
            </w:pPr>
            <w:r>
              <w:rPr>
                <w:color w:val="021142"/>
                <w:sz w:val="20"/>
                <w:lang w:val="en-GB"/>
              </w:rPr>
              <w:t>2.101</w:t>
            </w:r>
          </w:p>
        </w:tc>
        <w:tc>
          <w:tcPr>
            <w:tcW w:w="1984" w:type="dxa"/>
            <w:tcBorders>
              <w:top w:val="single" w:sz="4" w:space="0" w:color="auto"/>
              <w:left w:val="single" w:sz="4" w:space="0" w:color="auto"/>
              <w:bottom w:val="single" w:sz="4" w:space="0" w:color="auto"/>
              <w:right w:val="single" w:sz="4" w:space="0" w:color="auto"/>
            </w:tcBorders>
            <w:vAlign w:val="center"/>
          </w:tcPr>
          <w:p w14:paraId="4FD88D85" w14:textId="6DE711DE" w:rsidR="002C7663" w:rsidRPr="00950E8F" w:rsidRDefault="0072143B" w:rsidP="002C7663">
            <w:pPr>
              <w:pStyle w:val="TableParagraph"/>
              <w:spacing w:before="124"/>
              <w:ind w:left="0" w:right="0"/>
              <w:rPr>
                <w:color w:val="021142"/>
                <w:sz w:val="20"/>
                <w:highlight w:val="yellow"/>
                <w:lang w:val="el-GR"/>
              </w:rPr>
            </w:pPr>
            <w:r>
              <w:rPr>
                <w:color w:val="021142"/>
                <w:sz w:val="20"/>
                <w:lang w:val="el-GR"/>
              </w:rPr>
              <w:t>-1</w:t>
            </w:r>
            <w:r w:rsidR="00132D7C">
              <w:rPr>
                <w:color w:val="021142"/>
                <w:sz w:val="20"/>
                <w:lang w:val="el-GR"/>
              </w:rPr>
              <w:t>,9</w:t>
            </w:r>
            <w:r w:rsidR="002C7663" w:rsidRPr="008540EF">
              <w:rPr>
                <w:color w:val="021142"/>
                <w:sz w:val="20"/>
                <w:lang w:val="el-GR"/>
              </w:rPr>
              <w:t>%</w:t>
            </w:r>
          </w:p>
        </w:tc>
      </w:tr>
      <w:tr w:rsidR="002C7663" w14:paraId="73102B17" w14:textId="77777777" w:rsidTr="002849A0">
        <w:trPr>
          <w:trHeight w:hRule="exact" w:val="454"/>
          <w:jc w:val="center"/>
        </w:trPr>
        <w:tc>
          <w:tcPr>
            <w:tcW w:w="4821" w:type="dxa"/>
            <w:tcBorders>
              <w:top w:val="single" w:sz="4" w:space="0" w:color="auto"/>
              <w:left w:val="single" w:sz="4" w:space="0" w:color="auto"/>
              <w:bottom w:val="single" w:sz="4" w:space="0" w:color="auto"/>
              <w:right w:val="single" w:sz="4" w:space="0" w:color="auto"/>
            </w:tcBorders>
            <w:vAlign w:val="center"/>
          </w:tcPr>
          <w:p w14:paraId="03C41DB8" w14:textId="77777777" w:rsidR="002C7663" w:rsidRDefault="002C7663" w:rsidP="002C7663">
            <w:pPr>
              <w:pStyle w:val="TableParagraph"/>
              <w:ind w:left="0" w:right="0"/>
              <w:jc w:val="left"/>
              <w:rPr>
                <w:sz w:val="20"/>
              </w:rPr>
            </w:pPr>
            <w:r>
              <w:rPr>
                <w:color w:val="021142"/>
                <w:sz w:val="20"/>
              </w:rPr>
              <w:t>Κέρδη</w:t>
            </w:r>
            <w:r>
              <w:rPr>
                <w:color w:val="021142"/>
                <w:spacing w:val="-9"/>
                <w:sz w:val="20"/>
              </w:rPr>
              <w:t xml:space="preserve"> </w:t>
            </w:r>
            <w:r>
              <w:rPr>
                <w:color w:val="021142"/>
                <w:sz w:val="20"/>
              </w:rPr>
              <w:t>προ</w:t>
            </w:r>
            <w:r>
              <w:rPr>
                <w:color w:val="021142"/>
                <w:spacing w:val="-9"/>
                <w:sz w:val="20"/>
              </w:rPr>
              <w:t xml:space="preserve"> </w:t>
            </w:r>
            <w:r>
              <w:rPr>
                <w:color w:val="021142"/>
                <w:sz w:val="20"/>
              </w:rPr>
              <w:t>Προβλέψεων</w:t>
            </w:r>
          </w:p>
        </w:tc>
        <w:tc>
          <w:tcPr>
            <w:tcW w:w="1842" w:type="dxa"/>
            <w:tcBorders>
              <w:top w:val="single" w:sz="4" w:space="0" w:color="auto"/>
              <w:left w:val="single" w:sz="4" w:space="0" w:color="auto"/>
              <w:bottom w:val="single" w:sz="4" w:space="0" w:color="auto"/>
              <w:right w:val="single" w:sz="4" w:space="0" w:color="auto"/>
            </w:tcBorders>
            <w:vAlign w:val="center"/>
          </w:tcPr>
          <w:p w14:paraId="15B4BD90" w14:textId="48F316CA" w:rsidR="002C7663" w:rsidRPr="004379E2" w:rsidRDefault="002C7663" w:rsidP="002C7663">
            <w:pPr>
              <w:pStyle w:val="TableParagraph"/>
              <w:spacing w:before="124"/>
              <w:ind w:left="0" w:right="0"/>
              <w:rPr>
                <w:color w:val="021142"/>
                <w:sz w:val="20"/>
                <w:lang w:val="el-GR"/>
              </w:rPr>
            </w:pPr>
            <w:r>
              <w:rPr>
                <w:color w:val="021142"/>
                <w:sz w:val="20"/>
                <w:lang w:val="el-GR"/>
              </w:rPr>
              <w:t>2.1</w:t>
            </w:r>
            <w:r>
              <w:rPr>
                <w:color w:val="021142"/>
                <w:sz w:val="20"/>
                <w:lang w:val="en-GB"/>
              </w:rPr>
              <w:t>14</w:t>
            </w:r>
          </w:p>
        </w:tc>
        <w:tc>
          <w:tcPr>
            <w:tcW w:w="1701" w:type="dxa"/>
            <w:tcBorders>
              <w:top w:val="single" w:sz="4" w:space="0" w:color="auto"/>
              <w:left w:val="single" w:sz="4" w:space="0" w:color="auto"/>
              <w:bottom w:val="single" w:sz="4" w:space="0" w:color="auto"/>
              <w:right w:val="single" w:sz="4" w:space="0" w:color="auto"/>
            </w:tcBorders>
            <w:vAlign w:val="center"/>
          </w:tcPr>
          <w:p w14:paraId="51D90D1C" w14:textId="6161D9D4" w:rsidR="002C7663" w:rsidRPr="007604E4" w:rsidRDefault="002C7663" w:rsidP="002C7663">
            <w:pPr>
              <w:pStyle w:val="TableParagraph"/>
              <w:spacing w:before="124"/>
              <w:ind w:left="0" w:right="0"/>
              <w:rPr>
                <w:color w:val="021142"/>
                <w:sz w:val="20"/>
                <w:lang w:val="el-GR"/>
              </w:rPr>
            </w:pPr>
            <w:r>
              <w:rPr>
                <w:color w:val="021142"/>
                <w:sz w:val="20"/>
                <w:lang w:val="en-GB"/>
              </w:rPr>
              <w:t>2.171</w:t>
            </w:r>
          </w:p>
        </w:tc>
        <w:tc>
          <w:tcPr>
            <w:tcW w:w="1984" w:type="dxa"/>
            <w:tcBorders>
              <w:top w:val="single" w:sz="4" w:space="0" w:color="auto"/>
              <w:left w:val="single" w:sz="4" w:space="0" w:color="auto"/>
              <w:bottom w:val="single" w:sz="4" w:space="0" w:color="auto"/>
              <w:right w:val="single" w:sz="4" w:space="0" w:color="auto"/>
            </w:tcBorders>
            <w:vAlign w:val="center"/>
          </w:tcPr>
          <w:p w14:paraId="0ED8D62C" w14:textId="150FA692" w:rsidR="002C7663" w:rsidRPr="00950E8F" w:rsidRDefault="002C7663" w:rsidP="002C7663">
            <w:pPr>
              <w:pStyle w:val="TableParagraph"/>
              <w:spacing w:before="124"/>
              <w:ind w:left="0" w:right="0"/>
              <w:rPr>
                <w:color w:val="021142"/>
                <w:sz w:val="20"/>
                <w:highlight w:val="yellow"/>
                <w:lang w:val="el-GR"/>
              </w:rPr>
            </w:pPr>
            <w:r>
              <w:rPr>
                <w:color w:val="021142"/>
                <w:sz w:val="20"/>
                <w:lang w:val="en-GB"/>
              </w:rPr>
              <w:t>-</w:t>
            </w:r>
            <w:r w:rsidR="00132D7C">
              <w:rPr>
                <w:color w:val="021142"/>
                <w:sz w:val="20"/>
                <w:lang w:val="el-GR"/>
              </w:rPr>
              <w:t>2</w:t>
            </w:r>
            <w:r>
              <w:rPr>
                <w:color w:val="021142"/>
                <w:sz w:val="20"/>
                <w:lang w:val="el-GR"/>
              </w:rPr>
              <w:t>,</w:t>
            </w:r>
            <w:r w:rsidR="00132D7C">
              <w:rPr>
                <w:color w:val="021142"/>
                <w:sz w:val="20"/>
                <w:lang w:val="el-GR"/>
              </w:rPr>
              <w:t>6</w:t>
            </w:r>
            <w:r w:rsidRPr="008540EF">
              <w:rPr>
                <w:color w:val="021142"/>
                <w:sz w:val="20"/>
                <w:lang w:val="el-GR"/>
              </w:rPr>
              <w:t>%</w:t>
            </w:r>
          </w:p>
        </w:tc>
      </w:tr>
      <w:tr w:rsidR="002C7663" w14:paraId="6F675370" w14:textId="77777777" w:rsidTr="002849A0">
        <w:trPr>
          <w:trHeight w:hRule="exact" w:val="454"/>
          <w:jc w:val="center"/>
        </w:trPr>
        <w:tc>
          <w:tcPr>
            <w:tcW w:w="4821" w:type="dxa"/>
            <w:tcBorders>
              <w:top w:val="single" w:sz="4" w:space="0" w:color="auto"/>
              <w:left w:val="single" w:sz="4" w:space="0" w:color="auto"/>
              <w:bottom w:val="single" w:sz="4" w:space="0" w:color="auto"/>
              <w:right w:val="single" w:sz="4" w:space="0" w:color="auto"/>
            </w:tcBorders>
            <w:vAlign w:val="center"/>
          </w:tcPr>
          <w:p w14:paraId="3B3C665C" w14:textId="2EB19968" w:rsidR="002C7663" w:rsidRPr="003F55F4" w:rsidRDefault="002C7663" w:rsidP="002C7663">
            <w:pPr>
              <w:pStyle w:val="TableParagraph"/>
              <w:spacing w:before="50"/>
              <w:ind w:left="0" w:right="0"/>
              <w:jc w:val="left"/>
              <w:rPr>
                <w:sz w:val="20"/>
              </w:rPr>
            </w:pPr>
            <w:r>
              <w:rPr>
                <w:color w:val="021142"/>
                <w:sz w:val="20"/>
              </w:rPr>
              <w:t>Προβλέψεις</w:t>
            </w:r>
            <w:r>
              <w:rPr>
                <w:sz w:val="20"/>
                <w:lang w:val="el-GR"/>
              </w:rPr>
              <w:t xml:space="preserve"> </w:t>
            </w:r>
            <w:r>
              <w:rPr>
                <w:color w:val="021142"/>
                <w:spacing w:val="-1"/>
                <w:sz w:val="20"/>
              </w:rPr>
              <w:t>Πιστωτικ</w:t>
            </w:r>
            <w:r>
              <w:rPr>
                <w:color w:val="021142"/>
                <w:spacing w:val="-1"/>
                <w:sz w:val="20"/>
                <w:lang w:val="el-GR"/>
              </w:rPr>
              <w:t>ών</w:t>
            </w:r>
            <w:r>
              <w:rPr>
                <w:color w:val="021142"/>
                <w:spacing w:val="-10"/>
                <w:sz w:val="20"/>
              </w:rPr>
              <w:t xml:space="preserve"> </w:t>
            </w:r>
            <w:r>
              <w:rPr>
                <w:color w:val="021142"/>
                <w:spacing w:val="-1"/>
                <w:sz w:val="20"/>
              </w:rPr>
              <w:t>Κινδύν</w:t>
            </w:r>
            <w:r>
              <w:rPr>
                <w:color w:val="021142"/>
                <w:spacing w:val="-1"/>
                <w:sz w:val="20"/>
                <w:lang w:val="el-GR"/>
              </w:rPr>
              <w:t>ων</w:t>
            </w:r>
          </w:p>
        </w:tc>
        <w:tc>
          <w:tcPr>
            <w:tcW w:w="1842" w:type="dxa"/>
            <w:tcBorders>
              <w:top w:val="single" w:sz="4" w:space="0" w:color="auto"/>
              <w:left w:val="single" w:sz="4" w:space="0" w:color="auto"/>
              <w:bottom w:val="single" w:sz="4" w:space="0" w:color="auto"/>
              <w:right w:val="single" w:sz="4" w:space="0" w:color="auto"/>
            </w:tcBorders>
            <w:vAlign w:val="center"/>
          </w:tcPr>
          <w:p w14:paraId="172F98E9" w14:textId="71E5F275" w:rsidR="002C7663" w:rsidRPr="004379E2" w:rsidRDefault="002C7663" w:rsidP="002C7663">
            <w:pPr>
              <w:pStyle w:val="TableParagraph"/>
              <w:spacing w:before="124"/>
              <w:ind w:left="0" w:right="0"/>
              <w:rPr>
                <w:color w:val="021142"/>
                <w:sz w:val="20"/>
                <w:lang w:val="el-GR"/>
              </w:rPr>
            </w:pPr>
            <w:r>
              <w:rPr>
                <w:color w:val="021142"/>
                <w:sz w:val="20"/>
                <w:lang w:val="en-GB"/>
              </w:rPr>
              <w:t>308</w:t>
            </w:r>
          </w:p>
        </w:tc>
        <w:tc>
          <w:tcPr>
            <w:tcW w:w="1701" w:type="dxa"/>
            <w:tcBorders>
              <w:top w:val="single" w:sz="4" w:space="0" w:color="auto"/>
              <w:left w:val="single" w:sz="4" w:space="0" w:color="auto"/>
              <w:bottom w:val="single" w:sz="4" w:space="0" w:color="auto"/>
              <w:right w:val="single" w:sz="4" w:space="0" w:color="auto"/>
            </w:tcBorders>
            <w:vAlign w:val="center"/>
          </w:tcPr>
          <w:p w14:paraId="1809F30C" w14:textId="1B3E7E4F" w:rsidR="002C7663" w:rsidRPr="007604E4" w:rsidRDefault="002C7663" w:rsidP="002C7663">
            <w:pPr>
              <w:pStyle w:val="TableParagraph"/>
              <w:spacing w:before="124"/>
              <w:ind w:left="0" w:right="0"/>
              <w:rPr>
                <w:color w:val="021142"/>
                <w:sz w:val="20"/>
                <w:lang w:val="el-GR"/>
              </w:rPr>
            </w:pPr>
            <w:r>
              <w:rPr>
                <w:color w:val="021142"/>
                <w:sz w:val="20"/>
                <w:lang w:val="en-GB"/>
              </w:rPr>
              <w:t>319</w:t>
            </w:r>
          </w:p>
        </w:tc>
        <w:tc>
          <w:tcPr>
            <w:tcW w:w="1984" w:type="dxa"/>
            <w:tcBorders>
              <w:top w:val="single" w:sz="4" w:space="0" w:color="auto"/>
              <w:left w:val="single" w:sz="4" w:space="0" w:color="auto"/>
              <w:bottom w:val="single" w:sz="4" w:space="0" w:color="auto"/>
              <w:right w:val="single" w:sz="4" w:space="0" w:color="auto"/>
            </w:tcBorders>
            <w:vAlign w:val="center"/>
          </w:tcPr>
          <w:p w14:paraId="50BDC303" w14:textId="377C55F1" w:rsidR="002C7663" w:rsidRPr="00950E8F" w:rsidRDefault="00132D7C" w:rsidP="002C7663">
            <w:pPr>
              <w:pStyle w:val="TableParagraph"/>
              <w:spacing w:before="124"/>
              <w:ind w:left="0" w:right="0"/>
              <w:rPr>
                <w:color w:val="021142"/>
                <w:sz w:val="20"/>
                <w:highlight w:val="yellow"/>
                <w:lang w:val="el-GR"/>
              </w:rPr>
            </w:pPr>
            <w:r>
              <w:rPr>
                <w:color w:val="021142"/>
                <w:sz w:val="20"/>
                <w:lang w:val="el-GR"/>
              </w:rPr>
              <w:t>-3,6</w:t>
            </w:r>
            <w:r w:rsidR="002C7663" w:rsidRPr="0043202F">
              <w:rPr>
                <w:color w:val="021142"/>
                <w:sz w:val="20"/>
                <w:lang w:val="en-GB"/>
              </w:rPr>
              <w:t>%</w:t>
            </w:r>
          </w:p>
        </w:tc>
      </w:tr>
      <w:tr w:rsidR="002C7663" w14:paraId="580C3F4C" w14:textId="77777777" w:rsidTr="002849A0">
        <w:trPr>
          <w:trHeight w:hRule="exact" w:val="454"/>
          <w:jc w:val="center"/>
        </w:trPr>
        <w:tc>
          <w:tcPr>
            <w:tcW w:w="4821" w:type="dxa"/>
            <w:tcBorders>
              <w:top w:val="single" w:sz="4" w:space="0" w:color="auto"/>
              <w:left w:val="single" w:sz="4" w:space="0" w:color="auto"/>
              <w:bottom w:val="single" w:sz="4" w:space="0" w:color="auto"/>
              <w:right w:val="single" w:sz="4" w:space="0" w:color="auto"/>
            </w:tcBorders>
            <w:vAlign w:val="center"/>
          </w:tcPr>
          <w:p w14:paraId="69F8D596" w14:textId="77777777" w:rsidR="002C7663" w:rsidRPr="006277C6" w:rsidRDefault="002C7663" w:rsidP="002C7663">
            <w:pPr>
              <w:pStyle w:val="TableParagraph"/>
              <w:spacing w:before="50"/>
              <w:ind w:left="0" w:right="0"/>
              <w:jc w:val="left"/>
              <w:rPr>
                <w:color w:val="021142"/>
                <w:sz w:val="20"/>
                <w:lang w:val="el-GR"/>
              </w:rPr>
            </w:pPr>
            <w:r>
              <w:rPr>
                <w:color w:val="021142"/>
                <w:sz w:val="20"/>
                <w:lang w:val="el-GR"/>
              </w:rPr>
              <w:t xml:space="preserve">Οργανικά Λειτουργικά Κέρδη </w:t>
            </w:r>
          </w:p>
        </w:tc>
        <w:tc>
          <w:tcPr>
            <w:tcW w:w="1842" w:type="dxa"/>
            <w:tcBorders>
              <w:top w:val="single" w:sz="4" w:space="0" w:color="auto"/>
              <w:left w:val="single" w:sz="4" w:space="0" w:color="auto"/>
              <w:bottom w:val="single" w:sz="4" w:space="0" w:color="auto"/>
              <w:right w:val="single" w:sz="4" w:space="0" w:color="auto"/>
            </w:tcBorders>
            <w:vAlign w:val="center"/>
          </w:tcPr>
          <w:p w14:paraId="0A26DCE6" w14:textId="7A1D913C" w:rsidR="002C7663" w:rsidRPr="004379E2" w:rsidRDefault="002C7663" w:rsidP="002C7663">
            <w:pPr>
              <w:pStyle w:val="TableParagraph"/>
              <w:spacing w:before="124"/>
              <w:ind w:left="0" w:right="0"/>
              <w:rPr>
                <w:color w:val="021142"/>
                <w:sz w:val="20"/>
              </w:rPr>
            </w:pPr>
            <w:r>
              <w:rPr>
                <w:color w:val="021142"/>
                <w:sz w:val="20"/>
                <w:lang w:val="el-GR"/>
              </w:rPr>
              <w:t>1.7</w:t>
            </w:r>
            <w:r>
              <w:rPr>
                <w:color w:val="021142"/>
                <w:sz w:val="20"/>
                <w:lang w:val="en-GB"/>
              </w:rPr>
              <w:t>53</w:t>
            </w:r>
          </w:p>
        </w:tc>
        <w:tc>
          <w:tcPr>
            <w:tcW w:w="1701" w:type="dxa"/>
            <w:tcBorders>
              <w:top w:val="single" w:sz="4" w:space="0" w:color="auto"/>
              <w:left w:val="single" w:sz="4" w:space="0" w:color="auto"/>
              <w:bottom w:val="single" w:sz="4" w:space="0" w:color="auto"/>
              <w:right w:val="single" w:sz="4" w:space="0" w:color="auto"/>
            </w:tcBorders>
            <w:vAlign w:val="center"/>
          </w:tcPr>
          <w:p w14:paraId="0FF50B45" w14:textId="2006ED20" w:rsidR="002C7663" w:rsidRPr="007604E4" w:rsidRDefault="002C7663" w:rsidP="002C7663">
            <w:pPr>
              <w:pStyle w:val="TableParagraph"/>
              <w:spacing w:before="124"/>
              <w:ind w:left="0" w:right="0"/>
              <w:rPr>
                <w:color w:val="021142"/>
                <w:sz w:val="20"/>
                <w:lang w:val="el-GR"/>
              </w:rPr>
            </w:pPr>
            <w:r>
              <w:rPr>
                <w:color w:val="021142"/>
                <w:sz w:val="20"/>
                <w:lang w:val="el-GR"/>
              </w:rPr>
              <w:t>1</w:t>
            </w:r>
            <w:r w:rsidR="0072143B">
              <w:rPr>
                <w:color w:val="021142"/>
                <w:sz w:val="20"/>
                <w:lang w:val="el-GR"/>
              </w:rPr>
              <w:t>.</w:t>
            </w:r>
            <w:r>
              <w:rPr>
                <w:color w:val="021142"/>
                <w:sz w:val="20"/>
                <w:lang w:val="en-GB"/>
              </w:rPr>
              <w:t>782</w:t>
            </w:r>
          </w:p>
        </w:tc>
        <w:tc>
          <w:tcPr>
            <w:tcW w:w="1984" w:type="dxa"/>
            <w:tcBorders>
              <w:top w:val="single" w:sz="4" w:space="0" w:color="auto"/>
              <w:left w:val="single" w:sz="4" w:space="0" w:color="auto"/>
              <w:bottom w:val="single" w:sz="4" w:space="0" w:color="auto"/>
              <w:right w:val="single" w:sz="4" w:space="0" w:color="auto"/>
            </w:tcBorders>
            <w:vAlign w:val="center"/>
          </w:tcPr>
          <w:p w14:paraId="46BE13E2" w14:textId="5E14D9DD" w:rsidR="002C7663" w:rsidRPr="00950E8F" w:rsidRDefault="002C7663" w:rsidP="002C7663">
            <w:pPr>
              <w:pStyle w:val="TableParagraph"/>
              <w:spacing w:before="124"/>
              <w:ind w:left="0" w:right="0"/>
              <w:rPr>
                <w:color w:val="021142"/>
                <w:sz w:val="20"/>
                <w:highlight w:val="yellow"/>
                <w:lang w:val="el-GR"/>
              </w:rPr>
            </w:pPr>
            <w:r>
              <w:rPr>
                <w:color w:val="021142"/>
                <w:sz w:val="20"/>
                <w:lang w:val="en-GB"/>
              </w:rPr>
              <w:t>-</w:t>
            </w:r>
            <w:r w:rsidR="00132D7C">
              <w:rPr>
                <w:color w:val="021142"/>
                <w:sz w:val="20"/>
                <w:lang w:val="el-GR"/>
              </w:rPr>
              <w:t>1</w:t>
            </w:r>
            <w:r>
              <w:rPr>
                <w:color w:val="021142"/>
                <w:sz w:val="20"/>
                <w:lang w:val="el-GR"/>
              </w:rPr>
              <w:t>,</w:t>
            </w:r>
            <w:r w:rsidR="00132D7C">
              <w:rPr>
                <w:color w:val="021142"/>
                <w:sz w:val="20"/>
                <w:lang w:val="el-GR"/>
              </w:rPr>
              <w:t>6</w:t>
            </w:r>
            <w:r w:rsidRPr="008540EF">
              <w:rPr>
                <w:color w:val="021142"/>
                <w:sz w:val="20"/>
                <w:lang w:val="el-GR"/>
              </w:rPr>
              <w:t>%</w:t>
            </w:r>
          </w:p>
        </w:tc>
      </w:tr>
      <w:tr w:rsidR="002C7663" w14:paraId="6303A101" w14:textId="77777777" w:rsidTr="002849A0">
        <w:trPr>
          <w:trHeight w:hRule="exact" w:val="454"/>
          <w:jc w:val="center"/>
        </w:trPr>
        <w:tc>
          <w:tcPr>
            <w:tcW w:w="4821" w:type="dxa"/>
            <w:tcBorders>
              <w:top w:val="single" w:sz="4" w:space="0" w:color="auto"/>
              <w:left w:val="single" w:sz="4" w:space="0" w:color="auto"/>
              <w:bottom w:val="single" w:sz="4" w:space="0" w:color="auto"/>
              <w:right w:val="single" w:sz="4" w:space="0" w:color="auto"/>
            </w:tcBorders>
            <w:vAlign w:val="center"/>
          </w:tcPr>
          <w:p w14:paraId="68E51F3F" w14:textId="2257E5A2" w:rsidR="002C7663" w:rsidRDefault="002C7663" w:rsidP="002C7663">
            <w:pPr>
              <w:pStyle w:val="TableParagraph"/>
              <w:spacing w:before="37" w:line="240" w:lineRule="atLeast"/>
              <w:ind w:left="0" w:right="1082"/>
              <w:jc w:val="left"/>
              <w:rPr>
                <w:sz w:val="20"/>
              </w:rPr>
            </w:pPr>
            <w:r>
              <w:rPr>
                <w:color w:val="021142"/>
                <w:spacing w:val="-2"/>
                <w:sz w:val="20"/>
              </w:rPr>
              <w:t>Προσαρμοσμένα</w:t>
            </w:r>
            <w:r>
              <w:rPr>
                <w:color w:val="021142"/>
                <w:spacing w:val="-47"/>
                <w:sz w:val="20"/>
              </w:rPr>
              <w:t xml:space="preserve"> </w:t>
            </w:r>
            <w:r>
              <w:rPr>
                <w:color w:val="021142"/>
                <w:spacing w:val="-47"/>
                <w:sz w:val="20"/>
                <w:lang w:val="el-GR"/>
              </w:rPr>
              <w:t xml:space="preserve">          </w:t>
            </w:r>
            <w:r>
              <w:rPr>
                <w:color w:val="021142"/>
                <w:sz w:val="20"/>
              </w:rPr>
              <w:t>Καθαρά</w:t>
            </w:r>
            <w:r>
              <w:rPr>
                <w:color w:val="021142"/>
                <w:spacing w:val="-4"/>
                <w:sz w:val="20"/>
              </w:rPr>
              <w:t xml:space="preserve"> </w:t>
            </w:r>
            <w:r>
              <w:rPr>
                <w:color w:val="021142"/>
                <w:sz w:val="20"/>
              </w:rPr>
              <w:t>Κέρδη</w:t>
            </w:r>
          </w:p>
        </w:tc>
        <w:tc>
          <w:tcPr>
            <w:tcW w:w="1842" w:type="dxa"/>
            <w:tcBorders>
              <w:top w:val="single" w:sz="4" w:space="0" w:color="auto"/>
              <w:left w:val="single" w:sz="4" w:space="0" w:color="auto"/>
              <w:bottom w:val="single" w:sz="4" w:space="0" w:color="auto"/>
              <w:right w:val="single" w:sz="4" w:space="0" w:color="auto"/>
            </w:tcBorders>
            <w:vAlign w:val="center"/>
          </w:tcPr>
          <w:p w14:paraId="38ECAF85" w14:textId="68942CF9" w:rsidR="002C7663" w:rsidRPr="004379E2" w:rsidRDefault="002C7663" w:rsidP="002C7663">
            <w:pPr>
              <w:pStyle w:val="TableParagraph"/>
              <w:spacing w:before="124"/>
              <w:ind w:left="0" w:right="0"/>
              <w:rPr>
                <w:color w:val="021142"/>
                <w:sz w:val="20"/>
              </w:rPr>
            </w:pPr>
            <w:r>
              <w:rPr>
                <w:color w:val="021142"/>
                <w:sz w:val="20"/>
                <w:lang w:val="el-GR"/>
              </w:rPr>
              <w:t>1.4</w:t>
            </w:r>
            <w:r>
              <w:rPr>
                <w:color w:val="021142"/>
                <w:sz w:val="20"/>
                <w:lang w:val="en-GB"/>
              </w:rPr>
              <w:t>12</w:t>
            </w:r>
          </w:p>
        </w:tc>
        <w:tc>
          <w:tcPr>
            <w:tcW w:w="1701" w:type="dxa"/>
            <w:tcBorders>
              <w:top w:val="single" w:sz="4" w:space="0" w:color="auto"/>
              <w:left w:val="single" w:sz="4" w:space="0" w:color="auto"/>
              <w:bottom w:val="single" w:sz="4" w:space="0" w:color="auto"/>
              <w:right w:val="single" w:sz="4" w:space="0" w:color="auto"/>
            </w:tcBorders>
            <w:vAlign w:val="center"/>
          </w:tcPr>
          <w:p w14:paraId="6B164FEA" w14:textId="160BEFFB" w:rsidR="002C7663" w:rsidRPr="007604E4" w:rsidRDefault="002C7663" w:rsidP="002C7663">
            <w:pPr>
              <w:pStyle w:val="TableParagraph"/>
              <w:spacing w:before="124"/>
              <w:ind w:left="0" w:right="0"/>
              <w:rPr>
                <w:color w:val="021142"/>
                <w:sz w:val="20"/>
                <w:lang w:val="el-GR"/>
              </w:rPr>
            </w:pPr>
            <w:r>
              <w:rPr>
                <w:color w:val="021142"/>
                <w:sz w:val="20"/>
                <w:lang w:val="el-GR"/>
              </w:rPr>
              <w:t>1</w:t>
            </w:r>
            <w:r w:rsidR="0072143B">
              <w:rPr>
                <w:color w:val="021142"/>
                <w:sz w:val="20"/>
                <w:lang w:val="el-GR"/>
              </w:rPr>
              <w:t>.</w:t>
            </w:r>
            <w:r>
              <w:rPr>
                <w:color w:val="021142"/>
                <w:sz w:val="20"/>
                <w:lang w:val="en-GB"/>
              </w:rPr>
              <w:t>484</w:t>
            </w:r>
          </w:p>
        </w:tc>
        <w:tc>
          <w:tcPr>
            <w:tcW w:w="1984" w:type="dxa"/>
            <w:tcBorders>
              <w:top w:val="single" w:sz="4" w:space="0" w:color="auto"/>
              <w:left w:val="single" w:sz="4" w:space="0" w:color="auto"/>
              <w:bottom w:val="single" w:sz="4" w:space="0" w:color="auto"/>
              <w:right w:val="single" w:sz="4" w:space="0" w:color="auto"/>
            </w:tcBorders>
            <w:vAlign w:val="center"/>
          </w:tcPr>
          <w:p w14:paraId="5204B29A" w14:textId="661D2008" w:rsidR="002C7663" w:rsidRPr="00950E8F" w:rsidRDefault="002C7663" w:rsidP="002C7663">
            <w:pPr>
              <w:pStyle w:val="TableParagraph"/>
              <w:spacing w:before="124"/>
              <w:ind w:left="0" w:right="0"/>
              <w:rPr>
                <w:color w:val="021142"/>
                <w:sz w:val="20"/>
                <w:highlight w:val="yellow"/>
                <w:lang w:val="el-GR"/>
              </w:rPr>
            </w:pPr>
            <w:r w:rsidRPr="008540EF">
              <w:rPr>
                <w:color w:val="021142"/>
                <w:sz w:val="20"/>
                <w:lang w:val="el-GR"/>
              </w:rPr>
              <w:t>-</w:t>
            </w:r>
            <w:r w:rsidR="00132D7C">
              <w:rPr>
                <w:color w:val="021142"/>
                <w:sz w:val="20"/>
                <w:lang w:val="el-GR"/>
              </w:rPr>
              <w:t>4</w:t>
            </w:r>
            <w:r>
              <w:rPr>
                <w:color w:val="021142"/>
                <w:sz w:val="20"/>
                <w:lang w:val="el-GR"/>
              </w:rPr>
              <w:t>,</w:t>
            </w:r>
            <w:r w:rsidR="00132D7C">
              <w:rPr>
                <w:color w:val="021142"/>
                <w:sz w:val="20"/>
                <w:lang w:val="el-GR"/>
              </w:rPr>
              <w:t>9</w:t>
            </w:r>
            <w:r w:rsidRPr="008540EF">
              <w:rPr>
                <w:color w:val="021142"/>
                <w:sz w:val="20"/>
                <w:lang w:val="el-GR"/>
              </w:rPr>
              <w:t>%</w:t>
            </w:r>
          </w:p>
        </w:tc>
      </w:tr>
      <w:tr w:rsidR="002C7663" w14:paraId="7C65E6A0" w14:textId="77777777" w:rsidTr="002849A0">
        <w:trPr>
          <w:trHeight w:hRule="exact" w:val="454"/>
          <w:jc w:val="center"/>
        </w:trPr>
        <w:tc>
          <w:tcPr>
            <w:tcW w:w="4821" w:type="dxa"/>
            <w:tcBorders>
              <w:top w:val="single" w:sz="4" w:space="0" w:color="auto"/>
              <w:left w:val="single" w:sz="4" w:space="0" w:color="auto"/>
              <w:bottom w:val="single" w:sz="4" w:space="0" w:color="auto"/>
              <w:right w:val="single" w:sz="4" w:space="0" w:color="auto"/>
            </w:tcBorders>
            <w:vAlign w:val="center"/>
          </w:tcPr>
          <w:p w14:paraId="1D448526" w14:textId="77777777" w:rsidR="002C7663" w:rsidRPr="000655B9" w:rsidRDefault="002C7663" w:rsidP="002C7663">
            <w:pPr>
              <w:pStyle w:val="TableParagraph"/>
              <w:ind w:left="0" w:right="0"/>
              <w:jc w:val="left"/>
              <w:rPr>
                <w:sz w:val="20"/>
                <w:lang w:val="el-GR"/>
              </w:rPr>
            </w:pPr>
            <w:r w:rsidRPr="000655B9">
              <w:rPr>
                <w:color w:val="021142"/>
                <w:sz w:val="20"/>
                <w:lang w:val="el-GR"/>
              </w:rPr>
              <w:t>Καθαρά</w:t>
            </w:r>
            <w:r w:rsidRPr="000655B9">
              <w:rPr>
                <w:color w:val="021142"/>
                <w:spacing w:val="-9"/>
                <w:sz w:val="20"/>
                <w:lang w:val="el-GR"/>
              </w:rPr>
              <w:t xml:space="preserve"> </w:t>
            </w:r>
            <w:r w:rsidRPr="000655B9">
              <w:rPr>
                <w:color w:val="021142"/>
                <w:sz w:val="20"/>
                <w:lang w:val="el-GR"/>
              </w:rPr>
              <w:t>Κέρδη</w:t>
            </w:r>
            <w:r w:rsidRPr="000655B9">
              <w:rPr>
                <w:color w:val="021142"/>
                <w:spacing w:val="-8"/>
                <w:sz w:val="20"/>
                <w:lang w:val="el-GR"/>
              </w:rPr>
              <w:t xml:space="preserve"> </w:t>
            </w:r>
            <w:r w:rsidRPr="000655B9">
              <w:rPr>
                <w:color w:val="021142"/>
                <w:sz w:val="20"/>
                <w:lang w:val="el-GR"/>
              </w:rPr>
              <w:t xml:space="preserve">μετά </w:t>
            </w:r>
            <w:r>
              <w:rPr>
                <w:color w:val="021142"/>
                <w:sz w:val="20"/>
                <w:lang w:val="el-GR"/>
              </w:rPr>
              <w:t>από</w:t>
            </w:r>
            <w:r w:rsidRPr="000655B9">
              <w:rPr>
                <w:color w:val="021142"/>
                <w:spacing w:val="-8"/>
                <w:sz w:val="20"/>
                <w:lang w:val="el-GR"/>
              </w:rPr>
              <w:t xml:space="preserve"> </w:t>
            </w:r>
            <w:r w:rsidRPr="000655B9">
              <w:rPr>
                <w:color w:val="021142"/>
                <w:sz w:val="20"/>
                <w:lang w:val="el-GR"/>
              </w:rPr>
              <w:t>φόρ</w:t>
            </w:r>
            <w:r>
              <w:rPr>
                <w:color w:val="021142"/>
                <w:sz w:val="20"/>
                <w:lang w:val="el-GR"/>
              </w:rPr>
              <w:t>ους</w:t>
            </w:r>
          </w:p>
        </w:tc>
        <w:tc>
          <w:tcPr>
            <w:tcW w:w="1842" w:type="dxa"/>
            <w:tcBorders>
              <w:top w:val="single" w:sz="4" w:space="0" w:color="auto"/>
              <w:left w:val="single" w:sz="4" w:space="0" w:color="auto"/>
              <w:bottom w:val="single" w:sz="4" w:space="0" w:color="auto"/>
              <w:right w:val="single" w:sz="4" w:space="0" w:color="auto"/>
            </w:tcBorders>
            <w:vAlign w:val="center"/>
          </w:tcPr>
          <w:p w14:paraId="68B4B7DA" w14:textId="20C69218" w:rsidR="002C7663" w:rsidRPr="004379E2" w:rsidRDefault="002C7663" w:rsidP="002C7663">
            <w:pPr>
              <w:pStyle w:val="TableParagraph"/>
              <w:spacing w:before="124"/>
              <w:ind w:left="0" w:right="0"/>
              <w:rPr>
                <w:color w:val="021142"/>
                <w:sz w:val="20"/>
                <w:lang w:val="el-GR"/>
              </w:rPr>
            </w:pPr>
            <w:r>
              <w:rPr>
                <w:color w:val="021142"/>
                <w:sz w:val="20"/>
                <w:lang w:val="el-GR"/>
              </w:rPr>
              <w:t>1.</w:t>
            </w:r>
            <w:r>
              <w:rPr>
                <w:color w:val="021142"/>
                <w:sz w:val="20"/>
                <w:lang w:val="en-GB"/>
              </w:rPr>
              <w:t>36</w:t>
            </w:r>
            <w:r w:rsidR="00F91EB7">
              <w:rPr>
                <w:color w:val="021142"/>
                <w:sz w:val="20"/>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14:paraId="77FE171C" w14:textId="6B6CC6E4" w:rsidR="002C7663" w:rsidRPr="007604E4" w:rsidRDefault="002C7663" w:rsidP="002C7663">
            <w:pPr>
              <w:pStyle w:val="TableParagraph"/>
              <w:spacing w:before="124"/>
              <w:ind w:left="0" w:right="0"/>
              <w:rPr>
                <w:color w:val="021142"/>
                <w:sz w:val="20"/>
                <w:lang w:val="el-GR"/>
              </w:rPr>
            </w:pPr>
            <w:r>
              <w:rPr>
                <w:color w:val="021142"/>
                <w:sz w:val="20"/>
                <w:lang w:val="en-GB"/>
              </w:rPr>
              <w:t>1</w:t>
            </w:r>
            <w:r w:rsidR="0072143B">
              <w:rPr>
                <w:color w:val="021142"/>
                <w:sz w:val="20"/>
                <w:lang w:val="el-GR"/>
              </w:rPr>
              <w:t>.</w:t>
            </w:r>
            <w:r>
              <w:rPr>
                <w:color w:val="021142"/>
                <w:sz w:val="20"/>
                <w:lang w:val="en-GB"/>
              </w:rPr>
              <w:t>448</w:t>
            </w:r>
          </w:p>
        </w:tc>
        <w:tc>
          <w:tcPr>
            <w:tcW w:w="1984" w:type="dxa"/>
            <w:tcBorders>
              <w:top w:val="single" w:sz="4" w:space="0" w:color="auto"/>
              <w:left w:val="single" w:sz="4" w:space="0" w:color="auto"/>
              <w:bottom w:val="single" w:sz="4" w:space="0" w:color="auto"/>
              <w:right w:val="single" w:sz="4" w:space="0" w:color="auto"/>
            </w:tcBorders>
            <w:vAlign w:val="center"/>
          </w:tcPr>
          <w:p w14:paraId="69C9831B" w14:textId="5BD0A422" w:rsidR="002C7663" w:rsidRPr="00950E8F" w:rsidRDefault="002C7663" w:rsidP="002C7663">
            <w:pPr>
              <w:pStyle w:val="TableParagraph"/>
              <w:spacing w:before="124"/>
              <w:ind w:left="0" w:right="0"/>
              <w:rPr>
                <w:color w:val="021142"/>
                <w:sz w:val="20"/>
                <w:highlight w:val="yellow"/>
                <w:lang w:val="el-GR"/>
              </w:rPr>
            </w:pPr>
            <w:r w:rsidRPr="0043202F">
              <w:rPr>
                <w:color w:val="021142"/>
                <w:sz w:val="20"/>
                <w:lang w:val="en-GB"/>
              </w:rPr>
              <w:t>-</w:t>
            </w:r>
            <w:r w:rsidR="00132D7C">
              <w:rPr>
                <w:color w:val="021142"/>
                <w:sz w:val="20"/>
                <w:lang w:val="el-GR"/>
              </w:rPr>
              <w:t>6</w:t>
            </w:r>
            <w:r>
              <w:rPr>
                <w:color w:val="021142"/>
                <w:sz w:val="20"/>
                <w:lang w:val="el-GR"/>
              </w:rPr>
              <w:t>,</w:t>
            </w:r>
            <w:r>
              <w:rPr>
                <w:color w:val="021142"/>
                <w:sz w:val="20"/>
                <w:lang w:val="en-GB"/>
              </w:rPr>
              <w:t>0</w:t>
            </w:r>
            <w:r w:rsidRPr="0043202F">
              <w:rPr>
                <w:color w:val="021142"/>
                <w:sz w:val="20"/>
                <w:lang w:val="en-GB"/>
              </w:rPr>
              <w:t>%</w:t>
            </w:r>
          </w:p>
        </w:tc>
      </w:tr>
      <w:bookmarkEnd w:id="3"/>
    </w:tbl>
    <w:p w14:paraId="6C4D78AA" w14:textId="77777777" w:rsidR="00852D18" w:rsidRPr="00D33982" w:rsidRDefault="00852D18">
      <w:pPr>
        <w:pStyle w:val="BodyText"/>
        <w:spacing w:before="9"/>
        <w:rPr>
          <w:b/>
          <w:sz w:val="15"/>
          <w:lang w:val="el-GR"/>
        </w:rPr>
      </w:pPr>
    </w:p>
    <w:tbl>
      <w:tblPr>
        <w:tblW w:w="0" w:type="auto"/>
        <w:tblInd w:w="270" w:type="dxa"/>
        <w:tblBorders>
          <w:top w:val="single" w:sz="2" w:space="0" w:color="021142"/>
          <w:left w:val="single" w:sz="2" w:space="0" w:color="021142"/>
          <w:bottom w:val="single" w:sz="2" w:space="0" w:color="021142"/>
          <w:right w:val="single" w:sz="2" w:space="0" w:color="021142"/>
          <w:insideH w:val="single" w:sz="2" w:space="0" w:color="021142"/>
          <w:insideV w:val="single" w:sz="2" w:space="0" w:color="021142"/>
        </w:tblBorders>
        <w:tblLayout w:type="fixed"/>
        <w:tblCellMar>
          <w:left w:w="0" w:type="dxa"/>
          <w:right w:w="0" w:type="dxa"/>
        </w:tblCellMar>
        <w:tblLook w:val="01E0" w:firstRow="1" w:lastRow="1" w:firstColumn="1" w:lastColumn="1" w:noHBand="0" w:noVBand="0"/>
      </w:tblPr>
      <w:tblGrid>
        <w:gridCol w:w="4833"/>
        <w:gridCol w:w="2835"/>
        <w:gridCol w:w="2788"/>
      </w:tblGrid>
      <w:tr w:rsidR="00364250" w14:paraId="5D8C7D65" w14:textId="77777777" w:rsidTr="002849A0">
        <w:trPr>
          <w:trHeight w:val="385"/>
        </w:trPr>
        <w:tc>
          <w:tcPr>
            <w:tcW w:w="4833" w:type="dxa"/>
            <w:tcBorders>
              <w:top w:val="nil"/>
              <w:left w:val="nil"/>
              <w:bottom w:val="single" w:sz="4" w:space="0" w:color="auto"/>
              <w:right w:val="nil"/>
            </w:tcBorders>
            <w:shd w:val="clear" w:color="auto" w:fill="021142"/>
          </w:tcPr>
          <w:p w14:paraId="731B0B5D" w14:textId="28E4B8D6" w:rsidR="00364250" w:rsidRPr="00950E8F" w:rsidRDefault="00364250" w:rsidP="00364250">
            <w:pPr>
              <w:pStyle w:val="TableParagraph"/>
              <w:spacing w:before="125"/>
              <w:ind w:left="80" w:right="0"/>
              <w:jc w:val="left"/>
              <w:rPr>
                <w:sz w:val="20"/>
                <w:lang w:val="el-GR"/>
              </w:rPr>
            </w:pPr>
            <w:r>
              <w:rPr>
                <w:color w:val="FFFFFF"/>
                <w:spacing w:val="-1"/>
                <w:sz w:val="20"/>
              </w:rPr>
              <w:t>Στοιχεία</w:t>
            </w:r>
            <w:r>
              <w:rPr>
                <w:color w:val="FFFFFF"/>
                <w:spacing w:val="-9"/>
                <w:sz w:val="20"/>
              </w:rPr>
              <w:t xml:space="preserve"> </w:t>
            </w:r>
            <w:r>
              <w:rPr>
                <w:color w:val="FFFFFF"/>
                <w:spacing w:val="-1"/>
                <w:sz w:val="20"/>
              </w:rPr>
              <w:t>Ισολογισμού</w:t>
            </w:r>
            <w:r w:rsidR="00480AA4">
              <w:rPr>
                <w:color w:val="FFFFFF"/>
                <w:spacing w:val="-1"/>
                <w:sz w:val="20"/>
                <w:lang w:val="el-GR"/>
              </w:rPr>
              <w:t xml:space="preserve"> </w:t>
            </w:r>
            <w:r w:rsidR="00480AA4">
              <w:rPr>
                <w:color w:val="FFFFFF"/>
                <w:sz w:val="20"/>
                <w:lang w:val="el-GR"/>
              </w:rPr>
              <w:t>(€εκ.)</w:t>
            </w:r>
          </w:p>
        </w:tc>
        <w:tc>
          <w:tcPr>
            <w:tcW w:w="2835" w:type="dxa"/>
            <w:tcBorders>
              <w:top w:val="nil"/>
              <w:left w:val="nil"/>
              <w:bottom w:val="single" w:sz="4" w:space="0" w:color="auto"/>
              <w:right w:val="nil"/>
            </w:tcBorders>
            <w:shd w:val="clear" w:color="auto" w:fill="021142"/>
          </w:tcPr>
          <w:p w14:paraId="6F8FE77E" w14:textId="7EBBB53C" w:rsidR="00364250" w:rsidRPr="00D33982" w:rsidRDefault="00D56F06" w:rsidP="00364250">
            <w:pPr>
              <w:pStyle w:val="TableParagraph"/>
              <w:spacing w:before="125"/>
              <w:ind w:left="541" w:right="538"/>
              <w:rPr>
                <w:sz w:val="20"/>
                <w:szCs w:val="20"/>
              </w:rPr>
            </w:pPr>
            <w:r>
              <w:rPr>
                <w:color w:val="FFFFFF"/>
                <w:sz w:val="20"/>
                <w:lang w:val="el-GR"/>
              </w:rPr>
              <w:t>2025</w:t>
            </w:r>
          </w:p>
        </w:tc>
        <w:tc>
          <w:tcPr>
            <w:tcW w:w="2788" w:type="dxa"/>
            <w:tcBorders>
              <w:top w:val="nil"/>
              <w:left w:val="nil"/>
              <w:bottom w:val="single" w:sz="4" w:space="0" w:color="auto"/>
              <w:right w:val="nil"/>
            </w:tcBorders>
            <w:shd w:val="clear" w:color="auto" w:fill="021142"/>
          </w:tcPr>
          <w:p w14:paraId="7EB0BE96" w14:textId="49AF741C" w:rsidR="00364250" w:rsidRPr="00D33982" w:rsidRDefault="00D56F06" w:rsidP="00364250">
            <w:pPr>
              <w:pStyle w:val="TableParagraph"/>
              <w:spacing w:before="125"/>
              <w:ind w:left="541" w:right="538"/>
              <w:rPr>
                <w:sz w:val="20"/>
                <w:szCs w:val="20"/>
              </w:rPr>
            </w:pPr>
            <w:r>
              <w:rPr>
                <w:sz w:val="20"/>
              </w:rPr>
              <w:t>2024</w:t>
            </w:r>
          </w:p>
        </w:tc>
      </w:tr>
      <w:tr w:rsidR="00F644DC" w14:paraId="06BE09BB" w14:textId="77777777" w:rsidTr="002849A0">
        <w:trPr>
          <w:trHeight w:val="451"/>
        </w:trPr>
        <w:tc>
          <w:tcPr>
            <w:tcW w:w="4833" w:type="dxa"/>
            <w:tcBorders>
              <w:top w:val="single" w:sz="4" w:space="0" w:color="auto"/>
              <w:left w:val="single" w:sz="4" w:space="0" w:color="auto"/>
              <w:bottom w:val="single" w:sz="4" w:space="0" w:color="auto"/>
              <w:right w:val="single" w:sz="4" w:space="0" w:color="auto"/>
            </w:tcBorders>
            <w:vAlign w:val="center"/>
          </w:tcPr>
          <w:p w14:paraId="71B38419" w14:textId="77777777" w:rsidR="00F644DC" w:rsidRDefault="00F644DC" w:rsidP="00F644DC">
            <w:pPr>
              <w:pStyle w:val="TableParagraph"/>
              <w:spacing w:before="124"/>
              <w:ind w:left="78" w:right="0"/>
              <w:jc w:val="left"/>
              <w:rPr>
                <w:sz w:val="20"/>
              </w:rPr>
            </w:pPr>
            <w:r>
              <w:rPr>
                <w:color w:val="021142"/>
                <w:spacing w:val="-1"/>
                <w:sz w:val="20"/>
              </w:rPr>
              <w:t>Καταναλωτικά</w:t>
            </w:r>
            <w:r>
              <w:rPr>
                <w:color w:val="021142"/>
                <w:spacing w:val="-9"/>
                <w:sz w:val="20"/>
              </w:rPr>
              <w:t xml:space="preserve"> </w:t>
            </w:r>
            <w:r>
              <w:rPr>
                <w:color w:val="021142"/>
                <w:spacing w:val="-1"/>
                <w:sz w:val="20"/>
              </w:rPr>
              <w:t>Δάνεια</w:t>
            </w:r>
          </w:p>
        </w:tc>
        <w:tc>
          <w:tcPr>
            <w:tcW w:w="2835" w:type="dxa"/>
            <w:tcBorders>
              <w:top w:val="single" w:sz="4" w:space="0" w:color="auto"/>
              <w:left w:val="single" w:sz="4" w:space="0" w:color="auto"/>
              <w:bottom w:val="single" w:sz="4" w:space="0" w:color="auto"/>
              <w:right w:val="single" w:sz="4" w:space="0" w:color="auto"/>
            </w:tcBorders>
            <w:vAlign w:val="center"/>
          </w:tcPr>
          <w:p w14:paraId="0EDFAF51" w14:textId="7DE408F1" w:rsidR="00F644DC" w:rsidRPr="001965CB" w:rsidRDefault="00F644DC" w:rsidP="00F644DC">
            <w:pPr>
              <w:pStyle w:val="TableParagraph"/>
              <w:spacing w:before="124"/>
              <w:rPr>
                <w:color w:val="021142"/>
                <w:sz w:val="20"/>
                <w:szCs w:val="20"/>
              </w:rPr>
            </w:pPr>
            <w:r>
              <w:rPr>
                <w:color w:val="021142"/>
                <w:sz w:val="20"/>
                <w:szCs w:val="20"/>
                <w:lang w:val="en-GB"/>
              </w:rPr>
              <w:t>4.8</w:t>
            </w:r>
            <w:r w:rsidR="001C119A">
              <w:rPr>
                <w:color w:val="021142"/>
                <w:sz w:val="20"/>
                <w:szCs w:val="20"/>
                <w:lang w:val="en-GB"/>
              </w:rPr>
              <w:t>16</w:t>
            </w:r>
          </w:p>
        </w:tc>
        <w:tc>
          <w:tcPr>
            <w:tcW w:w="2788" w:type="dxa"/>
            <w:tcBorders>
              <w:top w:val="single" w:sz="4" w:space="0" w:color="auto"/>
              <w:left w:val="single" w:sz="4" w:space="0" w:color="auto"/>
              <w:bottom w:val="single" w:sz="4" w:space="0" w:color="auto"/>
              <w:right w:val="single" w:sz="4" w:space="0" w:color="auto"/>
            </w:tcBorders>
            <w:vAlign w:val="center"/>
          </w:tcPr>
          <w:p w14:paraId="36557032" w14:textId="136F52AD" w:rsidR="00F644DC" w:rsidRPr="001965CB" w:rsidRDefault="00F644DC" w:rsidP="00F644DC">
            <w:pPr>
              <w:pStyle w:val="TableParagraph"/>
              <w:spacing w:before="124"/>
              <w:rPr>
                <w:color w:val="021142"/>
                <w:sz w:val="20"/>
                <w:szCs w:val="20"/>
              </w:rPr>
            </w:pPr>
            <w:r>
              <w:rPr>
                <w:color w:val="021142"/>
                <w:sz w:val="20"/>
                <w:szCs w:val="20"/>
                <w:lang w:val="en-GB"/>
              </w:rPr>
              <w:t>4.535</w:t>
            </w:r>
          </w:p>
        </w:tc>
      </w:tr>
      <w:tr w:rsidR="00F644DC" w14:paraId="47C49800" w14:textId="77777777" w:rsidTr="002849A0">
        <w:trPr>
          <w:trHeight w:val="448"/>
        </w:trPr>
        <w:tc>
          <w:tcPr>
            <w:tcW w:w="4833" w:type="dxa"/>
            <w:tcBorders>
              <w:top w:val="single" w:sz="4" w:space="0" w:color="auto"/>
              <w:left w:val="single" w:sz="4" w:space="0" w:color="auto"/>
              <w:bottom w:val="single" w:sz="4" w:space="0" w:color="auto"/>
              <w:right w:val="single" w:sz="4" w:space="0" w:color="auto"/>
            </w:tcBorders>
            <w:vAlign w:val="center"/>
          </w:tcPr>
          <w:p w14:paraId="4387FD10" w14:textId="77777777" w:rsidR="00F644DC" w:rsidRDefault="00F644DC" w:rsidP="00F644DC">
            <w:pPr>
              <w:pStyle w:val="TableParagraph"/>
              <w:ind w:left="78" w:right="0"/>
              <w:jc w:val="left"/>
              <w:rPr>
                <w:sz w:val="20"/>
              </w:rPr>
            </w:pPr>
            <w:r>
              <w:rPr>
                <w:color w:val="021142"/>
                <w:spacing w:val="-1"/>
                <w:sz w:val="20"/>
              </w:rPr>
              <w:t>Στεγαστικά</w:t>
            </w:r>
            <w:r>
              <w:rPr>
                <w:color w:val="021142"/>
                <w:spacing w:val="-10"/>
                <w:sz w:val="20"/>
              </w:rPr>
              <w:t xml:space="preserve"> </w:t>
            </w:r>
            <w:r>
              <w:rPr>
                <w:color w:val="021142"/>
                <w:sz w:val="20"/>
              </w:rPr>
              <w:t>Δάνεια</w:t>
            </w:r>
          </w:p>
        </w:tc>
        <w:tc>
          <w:tcPr>
            <w:tcW w:w="2835" w:type="dxa"/>
            <w:tcBorders>
              <w:top w:val="single" w:sz="4" w:space="0" w:color="auto"/>
              <w:left w:val="single" w:sz="4" w:space="0" w:color="auto"/>
              <w:bottom w:val="single" w:sz="4" w:space="0" w:color="auto"/>
              <w:right w:val="single" w:sz="4" w:space="0" w:color="auto"/>
            </w:tcBorders>
            <w:vAlign w:val="center"/>
          </w:tcPr>
          <w:p w14:paraId="53041625" w14:textId="3037F75E" w:rsidR="00F644DC" w:rsidRPr="001965CB" w:rsidRDefault="00F644DC" w:rsidP="00F644DC">
            <w:pPr>
              <w:pStyle w:val="TableParagraph"/>
              <w:spacing w:before="124"/>
              <w:rPr>
                <w:color w:val="021142"/>
                <w:sz w:val="20"/>
                <w:szCs w:val="20"/>
              </w:rPr>
            </w:pPr>
            <w:r>
              <w:rPr>
                <w:color w:val="021142"/>
                <w:sz w:val="20"/>
                <w:szCs w:val="20"/>
              </w:rPr>
              <w:t>12.9</w:t>
            </w:r>
            <w:r w:rsidR="001C119A">
              <w:rPr>
                <w:color w:val="021142"/>
                <w:sz w:val="20"/>
                <w:szCs w:val="20"/>
              </w:rPr>
              <w:t>34</w:t>
            </w:r>
          </w:p>
        </w:tc>
        <w:tc>
          <w:tcPr>
            <w:tcW w:w="2788" w:type="dxa"/>
            <w:tcBorders>
              <w:top w:val="single" w:sz="4" w:space="0" w:color="auto"/>
              <w:left w:val="single" w:sz="4" w:space="0" w:color="auto"/>
              <w:bottom w:val="single" w:sz="4" w:space="0" w:color="auto"/>
              <w:right w:val="single" w:sz="4" w:space="0" w:color="auto"/>
            </w:tcBorders>
            <w:vAlign w:val="center"/>
          </w:tcPr>
          <w:p w14:paraId="5ED26048" w14:textId="3745B35F" w:rsidR="00F644DC" w:rsidRPr="001965CB" w:rsidRDefault="00F644DC" w:rsidP="00F644DC">
            <w:pPr>
              <w:pStyle w:val="TableParagraph"/>
              <w:spacing w:before="124"/>
              <w:rPr>
                <w:color w:val="021142"/>
                <w:sz w:val="20"/>
                <w:szCs w:val="20"/>
              </w:rPr>
            </w:pPr>
            <w:r>
              <w:rPr>
                <w:color w:val="021142"/>
                <w:sz w:val="20"/>
                <w:szCs w:val="20"/>
                <w:lang w:val="en-GB"/>
              </w:rPr>
              <w:t>12.474</w:t>
            </w:r>
          </w:p>
        </w:tc>
      </w:tr>
      <w:tr w:rsidR="00F644DC" w14:paraId="1A004A68" w14:textId="77777777" w:rsidTr="002849A0">
        <w:trPr>
          <w:trHeight w:val="448"/>
        </w:trPr>
        <w:tc>
          <w:tcPr>
            <w:tcW w:w="4833" w:type="dxa"/>
            <w:tcBorders>
              <w:top w:val="single" w:sz="4" w:space="0" w:color="auto"/>
              <w:left w:val="single" w:sz="4" w:space="0" w:color="auto"/>
              <w:bottom w:val="single" w:sz="4" w:space="0" w:color="auto"/>
              <w:right w:val="single" w:sz="4" w:space="0" w:color="auto"/>
            </w:tcBorders>
            <w:vAlign w:val="center"/>
          </w:tcPr>
          <w:p w14:paraId="5C081CC7" w14:textId="77777777" w:rsidR="00F644DC" w:rsidRDefault="00F644DC" w:rsidP="00F644DC">
            <w:pPr>
              <w:pStyle w:val="TableParagraph"/>
              <w:ind w:left="78" w:right="0"/>
              <w:jc w:val="left"/>
              <w:rPr>
                <w:sz w:val="20"/>
              </w:rPr>
            </w:pPr>
            <w:r>
              <w:rPr>
                <w:color w:val="021142"/>
                <w:sz w:val="20"/>
              </w:rPr>
              <w:t>Δάνεια</w:t>
            </w:r>
            <w:r>
              <w:rPr>
                <w:color w:val="021142"/>
                <w:spacing w:val="-7"/>
                <w:sz w:val="20"/>
              </w:rPr>
              <w:t xml:space="preserve"> </w:t>
            </w:r>
            <w:r>
              <w:rPr>
                <w:color w:val="021142"/>
                <w:sz w:val="20"/>
              </w:rPr>
              <w:t>προς</w:t>
            </w:r>
            <w:r>
              <w:rPr>
                <w:color w:val="021142"/>
                <w:spacing w:val="-6"/>
                <w:sz w:val="20"/>
              </w:rPr>
              <w:t xml:space="preserve"> </w:t>
            </w:r>
            <w:r>
              <w:rPr>
                <w:color w:val="021142"/>
                <w:sz w:val="20"/>
              </w:rPr>
              <w:t>Μικρές</w:t>
            </w:r>
            <w:r>
              <w:rPr>
                <w:color w:val="021142"/>
                <w:spacing w:val="-6"/>
                <w:sz w:val="20"/>
              </w:rPr>
              <w:t xml:space="preserve"> </w:t>
            </w:r>
            <w:r>
              <w:rPr>
                <w:color w:val="021142"/>
                <w:sz w:val="20"/>
              </w:rPr>
              <w:t>Επιχειρήσεις</w:t>
            </w:r>
          </w:p>
        </w:tc>
        <w:tc>
          <w:tcPr>
            <w:tcW w:w="2835" w:type="dxa"/>
            <w:tcBorders>
              <w:top w:val="single" w:sz="4" w:space="0" w:color="auto"/>
              <w:left w:val="single" w:sz="4" w:space="0" w:color="auto"/>
              <w:bottom w:val="single" w:sz="4" w:space="0" w:color="auto"/>
              <w:right w:val="single" w:sz="4" w:space="0" w:color="auto"/>
            </w:tcBorders>
            <w:vAlign w:val="center"/>
          </w:tcPr>
          <w:p w14:paraId="3E44E3E5" w14:textId="6E19A7B0" w:rsidR="00F644DC" w:rsidRPr="001965CB" w:rsidRDefault="00F644DC" w:rsidP="00F644DC">
            <w:pPr>
              <w:pStyle w:val="TableParagraph"/>
              <w:spacing w:before="124"/>
              <w:rPr>
                <w:color w:val="021142"/>
                <w:sz w:val="20"/>
                <w:szCs w:val="20"/>
              </w:rPr>
            </w:pPr>
            <w:r>
              <w:rPr>
                <w:color w:val="021142"/>
                <w:sz w:val="20"/>
                <w:szCs w:val="20"/>
              </w:rPr>
              <w:t>3.5</w:t>
            </w:r>
            <w:r w:rsidR="001C119A">
              <w:rPr>
                <w:color w:val="021142"/>
                <w:sz w:val="20"/>
                <w:szCs w:val="20"/>
              </w:rPr>
              <w:t>71</w:t>
            </w:r>
          </w:p>
        </w:tc>
        <w:tc>
          <w:tcPr>
            <w:tcW w:w="2788" w:type="dxa"/>
            <w:tcBorders>
              <w:top w:val="single" w:sz="4" w:space="0" w:color="auto"/>
              <w:left w:val="single" w:sz="4" w:space="0" w:color="auto"/>
              <w:bottom w:val="single" w:sz="4" w:space="0" w:color="auto"/>
              <w:right w:val="single" w:sz="4" w:space="0" w:color="auto"/>
            </w:tcBorders>
            <w:vAlign w:val="center"/>
          </w:tcPr>
          <w:p w14:paraId="73E7ADB7" w14:textId="72C5533F" w:rsidR="00F644DC" w:rsidRPr="001965CB" w:rsidRDefault="00F644DC" w:rsidP="00F644DC">
            <w:pPr>
              <w:pStyle w:val="TableParagraph"/>
              <w:spacing w:before="124"/>
              <w:rPr>
                <w:color w:val="021142"/>
                <w:sz w:val="20"/>
                <w:szCs w:val="20"/>
              </w:rPr>
            </w:pPr>
            <w:r>
              <w:rPr>
                <w:color w:val="021142"/>
                <w:sz w:val="20"/>
                <w:szCs w:val="20"/>
              </w:rPr>
              <w:t>3.586</w:t>
            </w:r>
          </w:p>
        </w:tc>
      </w:tr>
      <w:tr w:rsidR="00F644DC" w:rsidRPr="00364250" w14:paraId="14243C4D" w14:textId="77777777" w:rsidTr="002849A0">
        <w:trPr>
          <w:trHeight w:val="448"/>
        </w:trPr>
        <w:tc>
          <w:tcPr>
            <w:tcW w:w="4833" w:type="dxa"/>
            <w:tcBorders>
              <w:top w:val="single" w:sz="4" w:space="0" w:color="auto"/>
              <w:left w:val="single" w:sz="4" w:space="0" w:color="auto"/>
              <w:bottom w:val="single" w:sz="4" w:space="0" w:color="auto"/>
              <w:right w:val="single" w:sz="4" w:space="0" w:color="auto"/>
            </w:tcBorders>
            <w:vAlign w:val="center"/>
          </w:tcPr>
          <w:p w14:paraId="18333440" w14:textId="77777777" w:rsidR="00F644DC" w:rsidRPr="005511E3" w:rsidRDefault="00F644DC" w:rsidP="00F644DC">
            <w:pPr>
              <w:pStyle w:val="TableParagraph"/>
              <w:ind w:left="78" w:right="0"/>
              <w:jc w:val="left"/>
              <w:rPr>
                <w:sz w:val="20"/>
                <w:lang w:val="el-GR"/>
              </w:rPr>
            </w:pPr>
            <w:r w:rsidRPr="005511E3">
              <w:rPr>
                <w:color w:val="021142"/>
                <w:sz w:val="20"/>
                <w:lang w:val="el-GR"/>
              </w:rPr>
              <w:t>Δάνεια</w:t>
            </w:r>
            <w:r w:rsidRPr="005511E3">
              <w:rPr>
                <w:color w:val="021142"/>
                <w:spacing w:val="-7"/>
                <w:sz w:val="20"/>
                <w:lang w:val="el-GR"/>
              </w:rPr>
              <w:t xml:space="preserve"> </w:t>
            </w:r>
            <w:r w:rsidRPr="005511E3">
              <w:rPr>
                <w:color w:val="021142"/>
                <w:sz w:val="20"/>
                <w:lang w:val="el-GR"/>
              </w:rPr>
              <w:t>προς</w:t>
            </w:r>
            <w:r w:rsidRPr="005511E3">
              <w:rPr>
                <w:color w:val="021142"/>
                <w:spacing w:val="-7"/>
                <w:sz w:val="20"/>
                <w:lang w:val="el-GR"/>
              </w:rPr>
              <w:t xml:space="preserve"> </w:t>
            </w:r>
            <w:r w:rsidRPr="005511E3">
              <w:rPr>
                <w:color w:val="021142"/>
                <w:sz w:val="20"/>
                <w:lang w:val="el-GR"/>
              </w:rPr>
              <w:t>Μεσαίες</w:t>
            </w:r>
            <w:r w:rsidRPr="005511E3">
              <w:rPr>
                <w:color w:val="021142"/>
                <w:spacing w:val="-7"/>
                <w:sz w:val="20"/>
                <w:lang w:val="el-GR"/>
              </w:rPr>
              <w:t xml:space="preserve"> </w:t>
            </w:r>
            <w:r w:rsidRPr="005511E3">
              <w:rPr>
                <w:color w:val="021142"/>
                <w:sz w:val="20"/>
                <w:lang w:val="el-GR"/>
              </w:rPr>
              <w:t>&amp;</w:t>
            </w:r>
            <w:r w:rsidRPr="005511E3">
              <w:rPr>
                <w:color w:val="021142"/>
                <w:spacing w:val="-7"/>
                <w:sz w:val="20"/>
                <w:lang w:val="el-GR"/>
              </w:rPr>
              <w:t xml:space="preserve"> </w:t>
            </w:r>
            <w:r w:rsidRPr="005511E3">
              <w:rPr>
                <w:color w:val="021142"/>
                <w:sz w:val="20"/>
                <w:lang w:val="el-GR"/>
              </w:rPr>
              <w:t>Μεγάλες</w:t>
            </w:r>
            <w:r w:rsidRPr="005511E3">
              <w:rPr>
                <w:color w:val="021142"/>
                <w:spacing w:val="-6"/>
                <w:sz w:val="20"/>
                <w:lang w:val="el-GR"/>
              </w:rPr>
              <w:t xml:space="preserve"> </w:t>
            </w:r>
            <w:r w:rsidRPr="005511E3">
              <w:rPr>
                <w:color w:val="021142"/>
                <w:sz w:val="20"/>
                <w:lang w:val="el-GR"/>
              </w:rPr>
              <w:t>Επιχειρήσεις</w:t>
            </w:r>
          </w:p>
        </w:tc>
        <w:tc>
          <w:tcPr>
            <w:tcW w:w="2835" w:type="dxa"/>
            <w:tcBorders>
              <w:top w:val="single" w:sz="4" w:space="0" w:color="auto"/>
              <w:left w:val="single" w:sz="4" w:space="0" w:color="auto"/>
              <w:bottom w:val="single" w:sz="4" w:space="0" w:color="auto"/>
              <w:right w:val="single" w:sz="4" w:space="0" w:color="auto"/>
            </w:tcBorders>
            <w:vAlign w:val="center"/>
          </w:tcPr>
          <w:p w14:paraId="7F684520" w14:textId="69430345" w:rsidR="00F644DC" w:rsidRPr="001965CB" w:rsidRDefault="00F644DC" w:rsidP="00F644DC">
            <w:pPr>
              <w:pStyle w:val="TableParagraph"/>
              <w:spacing w:before="124"/>
              <w:rPr>
                <w:color w:val="021142"/>
                <w:sz w:val="20"/>
                <w:szCs w:val="20"/>
              </w:rPr>
            </w:pPr>
            <w:r>
              <w:rPr>
                <w:color w:val="021142"/>
                <w:sz w:val="20"/>
                <w:szCs w:val="20"/>
                <w:lang w:val="en-GB"/>
              </w:rPr>
              <w:t>30.72</w:t>
            </w:r>
            <w:r w:rsidR="001C119A">
              <w:rPr>
                <w:color w:val="021142"/>
                <w:sz w:val="20"/>
                <w:szCs w:val="20"/>
                <w:lang w:val="en-GB"/>
              </w:rPr>
              <w:t>1</w:t>
            </w:r>
          </w:p>
        </w:tc>
        <w:tc>
          <w:tcPr>
            <w:tcW w:w="2788" w:type="dxa"/>
            <w:tcBorders>
              <w:top w:val="single" w:sz="4" w:space="0" w:color="auto"/>
              <w:left w:val="single" w:sz="4" w:space="0" w:color="auto"/>
              <w:bottom w:val="single" w:sz="4" w:space="0" w:color="auto"/>
              <w:right w:val="single" w:sz="4" w:space="0" w:color="auto"/>
            </w:tcBorders>
            <w:vAlign w:val="center"/>
          </w:tcPr>
          <w:p w14:paraId="5E30E092" w14:textId="021262FC" w:rsidR="00F644DC" w:rsidRPr="001965CB" w:rsidRDefault="00F644DC" w:rsidP="00F644DC">
            <w:pPr>
              <w:pStyle w:val="TableParagraph"/>
              <w:spacing w:before="124"/>
              <w:rPr>
                <w:color w:val="021142"/>
                <w:sz w:val="20"/>
                <w:szCs w:val="20"/>
              </w:rPr>
            </w:pPr>
            <w:r>
              <w:rPr>
                <w:color w:val="021142"/>
                <w:sz w:val="20"/>
                <w:szCs w:val="20"/>
                <w:lang w:val="en-GB"/>
              </w:rPr>
              <w:t>27.307</w:t>
            </w:r>
          </w:p>
        </w:tc>
      </w:tr>
      <w:tr w:rsidR="00F644DC" w14:paraId="0975FDF7" w14:textId="77777777" w:rsidTr="002849A0">
        <w:trPr>
          <w:trHeight w:val="448"/>
        </w:trPr>
        <w:tc>
          <w:tcPr>
            <w:tcW w:w="4833" w:type="dxa"/>
            <w:tcBorders>
              <w:top w:val="single" w:sz="4" w:space="0" w:color="auto"/>
              <w:left w:val="single" w:sz="4" w:space="0" w:color="auto"/>
              <w:bottom w:val="single" w:sz="4" w:space="0" w:color="auto"/>
              <w:right w:val="single" w:sz="4" w:space="0" w:color="auto"/>
            </w:tcBorders>
            <w:vAlign w:val="center"/>
          </w:tcPr>
          <w:p w14:paraId="4D2A01BB" w14:textId="77777777" w:rsidR="00F644DC" w:rsidRDefault="00F644DC" w:rsidP="00F644DC">
            <w:pPr>
              <w:pStyle w:val="TableParagraph"/>
              <w:ind w:left="78" w:right="0"/>
              <w:jc w:val="left"/>
              <w:rPr>
                <w:sz w:val="20"/>
              </w:rPr>
            </w:pPr>
            <w:r>
              <w:rPr>
                <w:color w:val="021142"/>
                <w:spacing w:val="-1"/>
                <w:sz w:val="20"/>
              </w:rPr>
              <w:t>Σύνολο</w:t>
            </w:r>
            <w:r>
              <w:rPr>
                <w:color w:val="021142"/>
                <w:spacing w:val="-10"/>
                <w:sz w:val="20"/>
              </w:rPr>
              <w:t xml:space="preserve"> </w:t>
            </w:r>
            <w:r>
              <w:rPr>
                <w:color w:val="021142"/>
                <w:spacing w:val="-1"/>
                <w:sz w:val="20"/>
              </w:rPr>
              <w:t>Χορηγήσεων</w:t>
            </w:r>
            <w:r>
              <w:rPr>
                <w:color w:val="021142"/>
                <w:spacing w:val="-9"/>
                <w:sz w:val="20"/>
              </w:rPr>
              <w:t xml:space="preserve"> </w:t>
            </w:r>
            <w:r>
              <w:rPr>
                <w:color w:val="021142"/>
                <w:sz w:val="20"/>
              </w:rPr>
              <w:t>(προ</w:t>
            </w:r>
            <w:r>
              <w:rPr>
                <w:color w:val="021142"/>
                <w:spacing w:val="-9"/>
                <w:sz w:val="20"/>
              </w:rPr>
              <w:t xml:space="preserve"> </w:t>
            </w:r>
            <w:r>
              <w:rPr>
                <w:color w:val="021142"/>
                <w:sz w:val="20"/>
              </w:rPr>
              <w:t>προβλέψεων)</w:t>
            </w:r>
          </w:p>
        </w:tc>
        <w:tc>
          <w:tcPr>
            <w:tcW w:w="2835" w:type="dxa"/>
            <w:tcBorders>
              <w:top w:val="single" w:sz="4" w:space="0" w:color="auto"/>
              <w:left w:val="single" w:sz="4" w:space="0" w:color="auto"/>
              <w:bottom w:val="single" w:sz="4" w:space="0" w:color="auto"/>
              <w:right w:val="single" w:sz="4" w:space="0" w:color="auto"/>
            </w:tcBorders>
            <w:vAlign w:val="center"/>
          </w:tcPr>
          <w:p w14:paraId="5F913FC5" w14:textId="43B2315C" w:rsidR="00F644DC" w:rsidRPr="001965CB" w:rsidRDefault="00F644DC" w:rsidP="00F644DC">
            <w:pPr>
              <w:pStyle w:val="TableParagraph"/>
              <w:spacing w:before="124"/>
              <w:rPr>
                <w:color w:val="021142"/>
                <w:sz w:val="20"/>
                <w:szCs w:val="20"/>
              </w:rPr>
            </w:pPr>
            <w:r>
              <w:rPr>
                <w:color w:val="021142"/>
                <w:sz w:val="20"/>
                <w:szCs w:val="20"/>
              </w:rPr>
              <w:t>5</w:t>
            </w:r>
            <w:r w:rsidR="001C119A">
              <w:rPr>
                <w:color w:val="021142"/>
                <w:sz w:val="20"/>
                <w:szCs w:val="20"/>
              </w:rPr>
              <w:t>5</w:t>
            </w:r>
            <w:r>
              <w:rPr>
                <w:color w:val="021142"/>
                <w:sz w:val="20"/>
                <w:szCs w:val="20"/>
              </w:rPr>
              <w:t>.</w:t>
            </w:r>
            <w:r w:rsidR="00DD4A52">
              <w:rPr>
                <w:color w:val="021142"/>
                <w:sz w:val="20"/>
                <w:szCs w:val="20"/>
              </w:rPr>
              <w:t>972</w:t>
            </w:r>
          </w:p>
        </w:tc>
        <w:tc>
          <w:tcPr>
            <w:tcW w:w="2788" w:type="dxa"/>
            <w:tcBorders>
              <w:top w:val="single" w:sz="4" w:space="0" w:color="auto"/>
              <w:left w:val="single" w:sz="4" w:space="0" w:color="auto"/>
              <w:bottom w:val="single" w:sz="4" w:space="0" w:color="auto"/>
              <w:right w:val="single" w:sz="4" w:space="0" w:color="auto"/>
            </w:tcBorders>
            <w:vAlign w:val="center"/>
          </w:tcPr>
          <w:p w14:paraId="6248446D" w14:textId="261C81CC" w:rsidR="00F644DC" w:rsidRPr="001965CB" w:rsidRDefault="00F644DC" w:rsidP="00F644DC">
            <w:pPr>
              <w:pStyle w:val="TableParagraph"/>
              <w:spacing w:before="124"/>
              <w:rPr>
                <w:color w:val="021142"/>
                <w:sz w:val="20"/>
                <w:szCs w:val="20"/>
              </w:rPr>
            </w:pPr>
            <w:r>
              <w:rPr>
                <w:color w:val="021142"/>
                <w:sz w:val="20"/>
                <w:szCs w:val="20"/>
                <w:lang w:val="en-GB"/>
              </w:rPr>
              <w:t>52.2</w:t>
            </w:r>
            <w:r w:rsidR="00DD4A52">
              <w:rPr>
                <w:color w:val="021142"/>
                <w:sz w:val="20"/>
                <w:szCs w:val="20"/>
                <w:lang w:val="en-GB"/>
              </w:rPr>
              <w:t>62</w:t>
            </w:r>
          </w:p>
        </w:tc>
      </w:tr>
      <w:tr w:rsidR="00F644DC" w14:paraId="187EDDC3" w14:textId="77777777" w:rsidTr="002849A0">
        <w:trPr>
          <w:trHeight w:val="448"/>
        </w:trPr>
        <w:tc>
          <w:tcPr>
            <w:tcW w:w="4833" w:type="dxa"/>
            <w:tcBorders>
              <w:top w:val="single" w:sz="4" w:space="0" w:color="auto"/>
              <w:left w:val="single" w:sz="4" w:space="0" w:color="auto"/>
              <w:bottom w:val="single" w:sz="4" w:space="0" w:color="auto"/>
              <w:right w:val="single" w:sz="4" w:space="0" w:color="auto"/>
            </w:tcBorders>
            <w:vAlign w:val="center"/>
          </w:tcPr>
          <w:p w14:paraId="0E9CA395" w14:textId="77777777" w:rsidR="00F644DC" w:rsidRDefault="00F644DC" w:rsidP="00F644DC">
            <w:pPr>
              <w:pStyle w:val="TableParagraph"/>
              <w:ind w:left="78" w:right="0"/>
              <w:jc w:val="left"/>
              <w:rPr>
                <w:sz w:val="20"/>
              </w:rPr>
            </w:pPr>
            <w:r>
              <w:rPr>
                <w:color w:val="021142"/>
                <w:spacing w:val="-1"/>
                <w:sz w:val="20"/>
              </w:rPr>
              <w:t>Σύνολο</w:t>
            </w:r>
            <w:r>
              <w:rPr>
                <w:color w:val="021142"/>
                <w:spacing w:val="-9"/>
                <w:sz w:val="20"/>
              </w:rPr>
              <w:t xml:space="preserve"> </w:t>
            </w:r>
            <w:r>
              <w:rPr>
                <w:color w:val="021142"/>
                <w:spacing w:val="-1"/>
                <w:sz w:val="20"/>
              </w:rPr>
              <w:t>Καταθέσεων</w:t>
            </w:r>
          </w:p>
        </w:tc>
        <w:tc>
          <w:tcPr>
            <w:tcW w:w="2835" w:type="dxa"/>
            <w:tcBorders>
              <w:top w:val="single" w:sz="4" w:space="0" w:color="auto"/>
              <w:left w:val="single" w:sz="4" w:space="0" w:color="auto"/>
              <w:bottom w:val="single" w:sz="4" w:space="0" w:color="auto"/>
              <w:right w:val="single" w:sz="4" w:space="0" w:color="auto"/>
            </w:tcBorders>
            <w:vAlign w:val="center"/>
          </w:tcPr>
          <w:p w14:paraId="2A3C3D1C" w14:textId="2EAC2DC0" w:rsidR="00F644DC" w:rsidRPr="001965CB" w:rsidRDefault="00F644DC" w:rsidP="00F644DC">
            <w:pPr>
              <w:pStyle w:val="TableParagraph"/>
              <w:spacing w:before="124"/>
              <w:rPr>
                <w:color w:val="021142"/>
                <w:sz w:val="20"/>
                <w:szCs w:val="20"/>
              </w:rPr>
            </w:pPr>
            <w:r>
              <w:rPr>
                <w:color w:val="021142"/>
                <w:sz w:val="20"/>
                <w:szCs w:val="20"/>
              </w:rPr>
              <w:t>82.7</w:t>
            </w:r>
            <w:r w:rsidR="00DD4A52">
              <w:rPr>
                <w:color w:val="021142"/>
                <w:sz w:val="20"/>
                <w:szCs w:val="20"/>
              </w:rPr>
              <w:t>04</w:t>
            </w:r>
          </w:p>
        </w:tc>
        <w:tc>
          <w:tcPr>
            <w:tcW w:w="2788" w:type="dxa"/>
            <w:tcBorders>
              <w:top w:val="single" w:sz="4" w:space="0" w:color="auto"/>
              <w:left w:val="single" w:sz="4" w:space="0" w:color="auto"/>
              <w:bottom w:val="single" w:sz="4" w:space="0" w:color="auto"/>
              <w:right w:val="single" w:sz="4" w:space="0" w:color="auto"/>
            </w:tcBorders>
            <w:vAlign w:val="center"/>
          </w:tcPr>
          <w:p w14:paraId="64011491" w14:textId="1E63F2E6" w:rsidR="00F644DC" w:rsidRPr="001965CB" w:rsidRDefault="00F644DC" w:rsidP="00F644DC">
            <w:pPr>
              <w:pStyle w:val="TableParagraph"/>
              <w:spacing w:before="124"/>
              <w:rPr>
                <w:color w:val="021142"/>
                <w:sz w:val="20"/>
                <w:szCs w:val="20"/>
              </w:rPr>
            </w:pPr>
            <w:r>
              <w:rPr>
                <w:color w:val="021142"/>
                <w:sz w:val="20"/>
                <w:szCs w:val="20"/>
                <w:lang w:val="en-GB"/>
              </w:rPr>
              <w:t>78.59</w:t>
            </w:r>
            <w:r w:rsidR="00DD4A52">
              <w:rPr>
                <w:color w:val="021142"/>
                <w:sz w:val="20"/>
                <w:szCs w:val="20"/>
                <w:lang w:val="en-GB"/>
              </w:rPr>
              <w:t>3</w:t>
            </w:r>
          </w:p>
        </w:tc>
      </w:tr>
      <w:tr w:rsidR="00F644DC" w14:paraId="2B7B1272" w14:textId="77777777" w:rsidTr="002849A0">
        <w:trPr>
          <w:trHeight w:val="364"/>
        </w:trPr>
        <w:tc>
          <w:tcPr>
            <w:tcW w:w="4833" w:type="dxa"/>
            <w:tcBorders>
              <w:top w:val="single" w:sz="4" w:space="0" w:color="auto"/>
              <w:left w:val="single" w:sz="4" w:space="0" w:color="auto"/>
              <w:bottom w:val="single" w:sz="4" w:space="0" w:color="auto"/>
              <w:right w:val="single" w:sz="4" w:space="0" w:color="auto"/>
            </w:tcBorders>
            <w:vAlign w:val="center"/>
          </w:tcPr>
          <w:p w14:paraId="560E4892" w14:textId="77777777" w:rsidR="00F644DC" w:rsidRDefault="00F644DC" w:rsidP="00F644DC">
            <w:pPr>
              <w:pStyle w:val="TableParagraph"/>
              <w:ind w:left="78" w:right="0"/>
              <w:jc w:val="left"/>
              <w:rPr>
                <w:sz w:val="20"/>
              </w:rPr>
            </w:pPr>
            <w:r>
              <w:rPr>
                <w:color w:val="021142"/>
                <w:spacing w:val="-1"/>
                <w:sz w:val="20"/>
              </w:rPr>
              <w:t>Σύνολο</w:t>
            </w:r>
            <w:r>
              <w:rPr>
                <w:color w:val="021142"/>
                <w:spacing w:val="-10"/>
                <w:sz w:val="20"/>
              </w:rPr>
              <w:t xml:space="preserve"> </w:t>
            </w:r>
            <w:r>
              <w:rPr>
                <w:color w:val="021142"/>
                <w:spacing w:val="-1"/>
                <w:sz w:val="20"/>
              </w:rPr>
              <w:t>Ενεργητικού</w:t>
            </w:r>
          </w:p>
        </w:tc>
        <w:tc>
          <w:tcPr>
            <w:tcW w:w="2835" w:type="dxa"/>
            <w:tcBorders>
              <w:top w:val="single" w:sz="4" w:space="0" w:color="auto"/>
              <w:left w:val="single" w:sz="4" w:space="0" w:color="auto"/>
              <w:bottom w:val="single" w:sz="4" w:space="0" w:color="auto"/>
              <w:right w:val="single" w:sz="4" w:space="0" w:color="auto"/>
            </w:tcBorders>
            <w:vAlign w:val="center"/>
          </w:tcPr>
          <w:p w14:paraId="7D02F4DC" w14:textId="7B6A145A" w:rsidR="00F644DC" w:rsidRPr="001301F7" w:rsidRDefault="00F644DC" w:rsidP="00F644DC">
            <w:pPr>
              <w:pStyle w:val="TableParagraph"/>
              <w:spacing w:before="124"/>
              <w:rPr>
                <w:color w:val="021142"/>
                <w:sz w:val="20"/>
                <w:szCs w:val="20"/>
              </w:rPr>
            </w:pPr>
            <w:r>
              <w:rPr>
                <w:color w:val="021142"/>
                <w:sz w:val="20"/>
                <w:szCs w:val="20"/>
              </w:rPr>
              <w:t>107.97</w:t>
            </w:r>
            <w:r w:rsidR="00DD4A52">
              <w:rPr>
                <w:color w:val="021142"/>
                <w:sz w:val="20"/>
                <w:szCs w:val="20"/>
              </w:rPr>
              <w:t>6</w:t>
            </w:r>
          </w:p>
        </w:tc>
        <w:tc>
          <w:tcPr>
            <w:tcW w:w="2788" w:type="dxa"/>
            <w:tcBorders>
              <w:top w:val="single" w:sz="4" w:space="0" w:color="auto"/>
              <w:left w:val="single" w:sz="4" w:space="0" w:color="auto"/>
              <w:bottom w:val="single" w:sz="4" w:space="0" w:color="auto"/>
              <w:right w:val="single" w:sz="4" w:space="0" w:color="auto"/>
            </w:tcBorders>
            <w:vAlign w:val="center"/>
          </w:tcPr>
          <w:p w14:paraId="7578845E" w14:textId="47460FD1" w:rsidR="00F644DC" w:rsidRPr="001965CB" w:rsidRDefault="00F644DC" w:rsidP="00F644DC">
            <w:pPr>
              <w:pStyle w:val="TableParagraph"/>
              <w:spacing w:before="124"/>
              <w:rPr>
                <w:color w:val="021142"/>
                <w:sz w:val="20"/>
                <w:szCs w:val="20"/>
              </w:rPr>
            </w:pPr>
            <w:r>
              <w:rPr>
                <w:color w:val="021142"/>
                <w:sz w:val="20"/>
                <w:szCs w:val="20"/>
                <w:lang w:val="en-GB"/>
              </w:rPr>
              <w:t>101.150</w:t>
            </w:r>
          </w:p>
        </w:tc>
      </w:tr>
    </w:tbl>
    <w:p w14:paraId="2B7F627A" w14:textId="77777777" w:rsidR="00852D18" w:rsidRDefault="00852D18">
      <w:pPr>
        <w:pStyle w:val="BodyText"/>
        <w:spacing w:before="6" w:after="1"/>
        <w:rPr>
          <w:b/>
          <w:sz w:val="15"/>
        </w:rPr>
      </w:pPr>
    </w:p>
    <w:tbl>
      <w:tblPr>
        <w:tblW w:w="0" w:type="auto"/>
        <w:tblInd w:w="270" w:type="dxa"/>
        <w:tblBorders>
          <w:top w:val="single" w:sz="2" w:space="0" w:color="021142"/>
          <w:left w:val="single" w:sz="2" w:space="0" w:color="021142"/>
          <w:bottom w:val="single" w:sz="2" w:space="0" w:color="021142"/>
          <w:right w:val="single" w:sz="2" w:space="0" w:color="021142"/>
          <w:insideH w:val="single" w:sz="2" w:space="0" w:color="021142"/>
          <w:insideV w:val="single" w:sz="2" w:space="0" w:color="021142"/>
        </w:tblBorders>
        <w:tblLayout w:type="fixed"/>
        <w:tblCellMar>
          <w:left w:w="0" w:type="dxa"/>
          <w:right w:w="0" w:type="dxa"/>
        </w:tblCellMar>
        <w:tblLook w:val="01E0" w:firstRow="1" w:lastRow="1" w:firstColumn="1" w:lastColumn="1" w:noHBand="0" w:noVBand="0"/>
      </w:tblPr>
      <w:tblGrid>
        <w:gridCol w:w="5232"/>
        <w:gridCol w:w="2612"/>
        <w:gridCol w:w="2612"/>
      </w:tblGrid>
      <w:tr w:rsidR="00364250" w14:paraId="6ECFB396" w14:textId="77777777" w:rsidTr="002849A0">
        <w:trPr>
          <w:trHeight w:val="437"/>
        </w:trPr>
        <w:tc>
          <w:tcPr>
            <w:tcW w:w="5232" w:type="dxa"/>
            <w:tcBorders>
              <w:top w:val="nil"/>
              <w:left w:val="nil"/>
              <w:bottom w:val="single" w:sz="4" w:space="0" w:color="auto"/>
              <w:right w:val="nil"/>
            </w:tcBorders>
            <w:shd w:val="clear" w:color="auto" w:fill="021142"/>
            <w:vAlign w:val="center"/>
          </w:tcPr>
          <w:p w14:paraId="50F1AB99" w14:textId="77777777" w:rsidR="00364250" w:rsidRPr="00FF4409" w:rsidRDefault="00364250" w:rsidP="00364250">
            <w:pPr>
              <w:pStyle w:val="TableParagraph"/>
              <w:spacing w:before="125"/>
              <w:ind w:left="80" w:right="0"/>
              <w:jc w:val="left"/>
              <w:rPr>
                <w:color w:val="FFFFFF"/>
                <w:spacing w:val="-1"/>
                <w:sz w:val="20"/>
              </w:rPr>
            </w:pPr>
            <w:r>
              <w:rPr>
                <w:color w:val="FFFFFF"/>
                <w:spacing w:val="-1"/>
                <w:sz w:val="20"/>
              </w:rPr>
              <w:t>Χρηματοοικονομικοί</w:t>
            </w:r>
            <w:r w:rsidRPr="00FF4409">
              <w:rPr>
                <w:color w:val="FFFFFF"/>
                <w:spacing w:val="-1"/>
                <w:sz w:val="20"/>
              </w:rPr>
              <w:t xml:space="preserve"> Δείκτες</w:t>
            </w:r>
          </w:p>
        </w:tc>
        <w:tc>
          <w:tcPr>
            <w:tcW w:w="2612" w:type="dxa"/>
            <w:tcBorders>
              <w:top w:val="nil"/>
              <w:left w:val="nil"/>
              <w:bottom w:val="single" w:sz="4" w:space="0" w:color="auto"/>
              <w:right w:val="nil"/>
            </w:tcBorders>
            <w:shd w:val="clear" w:color="auto" w:fill="021142"/>
          </w:tcPr>
          <w:p w14:paraId="6250FF25" w14:textId="45A63A2F" w:rsidR="00364250" w:rsidRPr="00E755D1" w:rsidRDefault="00D56F06" w:rsidP="00364250">
            <w:pPr>
              <w:pStyle w:val="TableParagraph"/>
              <w:spacing w:before="125"/>
              <w:ind w:left="541" w:right="538"/>
              <w:rPr>
                <w:color w:val="FFFFFF"/>
                <w:sz w:val="20"/>
                <w:lang w:val="el-GR"/>
              </w:rPr>
            </w:pPr>
            <w:r>
              <w:rPr>
                <w:color w:val="FFFFFF"/>
                <w:sz w:val="20"/>
                <w:lang w:val="el-GR"/>
              </w:rPr>
              <w:t>2025</w:t>
            </w:r>
          </w:p>
        </w:tc>
        <w:tc>
          <w:tcPr>
            <w:tcW w:w="2612" w:type="dxa"/>
            <w:tcBorders>
              <w:top w:val="nil"/>
              <w:left w:val="nil"/>
              <w:bottom w:val="single" w:sz="4" w:space="0" w:color="auto"/>
              <w:right w:val="nil"/>
            </w:tcBorders>
            <w:shd w:val="clear" w:color="auto" w:fill="021142"/>
          </w:tcPr>
          <w:p w14:paraId="5859243A" w14:textId="4095E5A9" w:rsidR="00364250" w:rsidRPr="00E755D1" w:rsidRDefault="00D56F06" w:rsidP="00364250">
            <w:pPr>
              <w:pStyle w:val="TableParagraph"/>
              <w:spacing w:before="125"/>
              <w:ind w:left="541" w:right="538"/>
              <w:rPr>
                <w:color w:val="FFFFFF"/>
                <w:sz w:val="20"/>
                <w:lang w:val="el-GR"/>
              </w:rPr>
            </w:pPr>
            <w:r>
              <w:rPr>
                <w:sz w:val="20"/>
              </w:rPr>
              <w:t>2024</w:t>
            </w:r>
          </w:p>
        </w:tc>
      </w:tr>
      <w:tr w:rsidR="00D953B6" w14:paraId="4C59CF8B" w14:textId="77777777" w:rsidTr="002849A0">
        <w:trPr>
          <w:trHeight w:hRule="exact" w:val="454"/>
        </w:trPr>
        <w:tc>
          <w:tcPr>
            <w:tcW w:w="5232" w:type="dxa"/>
            <w:tcBorders>
              <w:top w:val="single" w:sz="4" w:space="0" w:color="auto"/>
              <w:left w:val="single" w:sz="4" w:space="0" w:color="auto"/>
              <w:bottom w:val="single" w:sz="4" w:space="0" w:color="auto"/>
              <w:right w:val="single" w:sz="4" w:space="0" w:color="auto"/>
            </w:tcBorders>
            <w:vAlign w:val="center"/>
          </w:tcPr>
          <w:p w14:paraId="31297EA0" w14:textId="77777777" w:rsidR="00D953B6" w:rsidRDefault="00D953B6" w:rsidP="00D953B6">
            <w:pPr>
              <w:pStyle w:val="TableParagraph"/>
              <w:spacing w:before="124"/>
              <w:ind w:left="78" w:right="0"/>
              <w:jc w:val="left"/>
              <w:rPr>
                <w:sz w:val="20"/>
              </w:rPr>
            </w:pPr>
            <w:r>
              <w:rPr>
                <w:color w:val="021142"/>
                <w:sz w:val="20"/>
              </w:rPr>
              <w:t>Καθαρό</w:t>
            </w:r>
            <w:r>
              <w:rPr>
                <w:color w:val="021142"/>
                <w:spacing w:val="-10"/>
                <w:sz w:val="20"/>
              </w:rPr>
              <w:t xml:space="preserve"> </w:t>
            </w:r>
            <w:r>
              <w:rPr>
                <w:color w:val="021142"/>
                <w:sz w:val="20"/>
              </w:rPr>
              <w:t>Περιθώριο</w:t>
            </w:r>
            <w:r>
              <w:rPr>
                <w:color w:val="021142"/>
                <w:spacing w:val="-10"/>
                <w:sz w:val="20"/>
              </w:rPr>
              <w:t xml:space="preserve"> </w:t>
            </w:r>
            <w:r>
              <w:rPr>
                <w:color w:val="021142"/>
                <w:sz w:val="20"/>
              </w:rPr>
              <w:t>Επιτοκίου</w:t>
            </w:r>
          </w:p>
        </w:tc>
        <w:tc>
          <w:tcPr>
            <w:tcW w:w="2612" w:type="dxa"/>
            <w:tcBorders>
              <w:top w:val="single" w:sz="4" w:space="0" w:color="auto"/>
              <w:left w:val="single" w:sz="4" w:space="0" w:color="auto"/>
              <w:bottom w:val="single" w:sz="4" w:space="0" w:color="auto"/>
              <w:right w:val="single" w:sz="4" w:space="0" w:color="auto"/>
            </w:tcBorders>
            <w:vAlign w:val="center"/>
          </w:tcPr>
          <w:p w14:paraId="1FEB80CA" w14:textId="2F9BC6BE" w:rsidR="00D953B6" w:rsidRPr="003570AB" w:rsidRDefault="00D953B6" w:rsidP="00D953B6">
            <w:pPr>
              <w:pStyle w:val="TableParagraph"/>
              <w:spacing w:before="124"/>
              <w:rPr>
                <w:color w:val="021142"/>
                <w:sz w:val="20"/>
              </w:rPr>
            </w:pPr>
            <w:r w:rsidRPr="003570AB">
              <w:rPr>
                <w:color w:val="021142"/>
                <w:sz w:val="20"/>
                <w:lang w:val="el-GR"/>
              </w:rPr>
              <w:t>2</w:t>
            </w:r>
            <w:r w:rsidR="006E036F">
              <w:rPr>
                <w:color w:val="021142"/>
                <w:sz w:val="20"/>
                <w:lang w:val="el-GR"/>
              </w:rPr>
              <w:t>,</w:t>
            </w:r>
            <w:r w:rsidR="00F009F9">
              <w:rPr>
                <w:color w:val="021142"/>
                <w:sz w:val="20"/>
                <w:lang w:val="en-GB"/>
              </w:rPr>
              <w:t>4</w:t>
            </w:r>
            <w:r w:rsidR="00DD4A52">
              <w:rPr>
                <w:color w:val="021142"/>
                <w:sz w:val="20"/>
                <w:lang w:val="en-GB"/>
              </w:rPr>
              <w:t>8</w:t>
            </w:r>
            <w:r w:rsidRPr="003570AB">
              <w:rPr>
                <w:color w:val="021142"/>
                <w:sz w:val="20"/>
              </w:rPr>
              <w:t>%</w:t>
            </w:r>
          </w:p>
        </w:tc>
        <w:tc>
          <w:tcPr>
            <w:tcW w:w="2612" w:type="dxa"/>
            <w:tcBorders>
              <w:top w:val="single" w:sz="4" w:space="0" w:color="auto"/>
              <w:left w:val="single" w:sz="4" w:space="0" w:color="auto"/>
              <w:bottom w:val="single" w:sz="4" w:space="0" w:color="auto"/>
              <w:right w:val="single" w:sz="4" w:space="0" w:color="auto"/>
            </w:tcBorders>
            <w:vAlign w:val="center"/>
          </w:tcPr>
          <w:p w14:paraId="28B895DC" w14:textId="5DCEC687" w:rsidR="00D953B6" w:rsidRPr="00ED4CDD" w:rsidRDefault="00D953B6" w:rsidP="00D953B6">
            <w:pPr>
              <w:pStyle w:val="TableParagraph"/>
              <w:spacing w:before="124"/>
              <w:rPr>
                <w:color w:val="021142"/>
                <w:sz w:val="20"/>
              </w:rPr>
            </w:pPr>
            <w:r>
              <w:rPr>
                <w:color w:val="021142"/>
                <w:sz w:val="20"/>
                <w:lang w:val="el-GR"/>
              </w:rPr>
              <w:t>2</w:t>
            </w:r>
            <w:r w:rsidR="006E036F">
              <w:rPr>
                <w:color w:val="021142"/>
                <w:sz w:val="20"/>
                <w:lang w:val="en-GB"/>
              </w:rPr>
              <w:t>,</w:t>
            </w:r>
            <w:r w:rsidR="00281B7F">
              <w:rPr>
                <w:color w:val="021142"/>
                <w:sz w:val="20"/>
                <w:lang w:val="el-GR"/>
              </w:rPr>
              <w:t>73</w:t>
            </w:r>
            <w:r>
              <w:rPr>
                <w:color w:val="021142"/>
                <w:sz w:val="20"/>
              </w:rPr>
              <w:t>%</w:t>
            </w:r>
          </w:p>
        </w:tc>
      </w:tr>
      <w:tr w:rsidR="00D953B6" w14:paraId="7D048D77" w14:textId="77777777" w:rsidTr="002849A0">
        <w:trPr>
          <w:trHeight w:hRule="exact" w:val="454"/>
        </w:trPr>
        <w:tc>
          <w:tcPr>
            <w:tcW w:w="5232" w:type="dxa"/>
            <w:tcBorders>
              <w:top w:val="single" w:sz="4" w:space="0" w:color="auto"/>
              <w:left w:val="single" w:sz="4" w:space="0" w:color="auto"/>
              <w:bottom w:val="single" w:sz="4" w:space="0" w:color="auto"/>
              <w:right w:val="single" w:sz="4" w:space="0" w:color="auto"/>
            </w:tcBorders>
            <w:vAlign w:val="center"/>
          </w:tcPr>
          <w:p w14:paraId="2C7BF14C" w14:textId="77777777" w:rsidR="00D953B6" w:rsidRDefault="00D953B6" w:rsidP="00D953B6">
            <w:pPr>
              <w:pStyle w:val="TableParagraph"/>
              <w:ind w:left="78" w:right="0"/>
              <w:jc w:val="left"/>
              <w:rPr>
                <w:sz w:val="20"/>
              </w:rPr>
            </w:pPr>
            <w:r>
              <w:rPr>
                <w:color w:val="021142"/>
                <w:sz w:val="20"/>
              </w:rPr>
              <w:t>Δείκτης</w:t>
            </w:r>
            <w:r>
              <w:rPr>
                <w:color w:val="021142"/>
                <w:spacing w:val="-7"/>
                <w:sz w:val="20"/>
              </w:rPr>
              <w:t xml:space="preserve"> </w:t>
            </w:r>
            <w:r>
              <w:rPr>
                <w:color w:val="021142"/>
                <w:sz w:val="20"/>
              </w:rPr>
              <w:t>Κόστους</w:t>
            </w:r>
            <w:r>
              <w:rPr>
                <w:color w:val="021142"/>
                <w:spacing w:val="-7"/>
                <w:sz w:val="20"/>
              </w:rPr>
              <w:t xml:space="preserve"> </w:t>
            </w:r>
            <w:r>
              <w:rPr>
                <w:color w:val="021142"/>
                <w:sz w:val="20"/>
              </w:rPr>
              <w:t>προς</w:t>
            </w:r>
            <w:r>
              <w:rPr>
                <w:color w:val="021142"/>
                <w:spacing w:val="-7"/>
                <w:sz w:val="20"/>
              </w:rPr>
              <w:t xml:space="preserve"> </w:t>
            </w:r>
            <w:r>
              <w:rPr>
                <w:color w:val="021142"/>
                <w:sz w:val="20"/>
              </w:rPr>
              <w:t>Έσοδα</w:t>
            </w:r>
          </w:p>
        </w:tc>
        <w:tc>
          <w:tcPr>
            <w:tcW w:w="2612" w:type="dxa"/>
            <w:tcBorders>
              <w:top w:val="single" w:sz="4" w:space="0" w:color="auto"/>
              <w:left w:val="single" w:sz="4" w:space="0" w:color="auto"/>
              <w:bottom w:val="single" w:sz="4" w:space="0" w:color="auto"/>
              <w:right w:val="single" w:sz="4" w:space="0" w:color="auto"/>
            </w:tcBorders>
            <w:vAlign w:val="center"/>
          </w:tcPr>
          <w:p w14:paraId="29E4B65F" w14:textId="41BD765C" w:rsidR="00D953B6" w:rsidRPr="003570AB" w:rsidRDefault="00D953B6" w:rsidP="00D953B6">
            <w:pPr>
              <w:pStyle w:val="TableParagraph"/>
              <w:spacing w:before="124"/>
              <w:rPr>
                <w:color w:val="021142"/>
                <w:sz w:val="20"/>
                <w:lang w:val="el-GR"/>
              </w:rPr>
            </w:pPr>
            <w:r w:rsidRPr="003570AB">
              <w:rPr>
                <w:color w:val="021142"/>
                <w:sz w:val="20"/>
                <w:lang w:val="el-GR"/>
              </w:rPr>
              <w:t>3</w:t>
            </w:r>
            <w:r w:rsidR="00281B7F">
              <w:rPr>
                <w:color w:val="021142"/>
                <w:sz w:val="20"/>
                <w:lang w:val="el-GR"/>
              </w:rPr>
              <w:t>7</w:t>
            </w:r>
            <w:r w:rsidR="006E036F">
              <w:rPr>
                <w:color w:val="021142"/>
                <w:sz w:val="20"/>
                <w:lang w:val="el-GR"/>
              </w:rPr>
              <w:t>,</w:t>
            </w:r>
            <w:r w:rsidR="00281B7F">
              <w:rPr>
                <w:color w:val="021142"/>
                <w:sz w:val="20"/>
                <w:lang w:val="el-GR"/>
              </w:rPr>
              <w:t>3</w:t>
            </w:r>
            <w:r w:rsidRPr="003570AB">
              <w:rPr>
                <w:color w:val="021142"/>
                <w:sz w:val="20"/>
              </w:rPr>
              <w:t>%</w:t>
            </w:r>
          </w:p>
        </w:tc>
        <w:tc>
          <w:tcPr>
            <w:tcW w:w="2612" w:type="dxa"/>
            <w:tcBorders>
              <w:top w:val="single" w:sz="4" w:space="0" w:color="auto"/>
              <w:left w:val="single" w:sz="4" w:space="0" w:color="auto"/>
              <w:bottom w:val="single" w:sz="4" w:space="0" w:color="auto"/>
              <w:right w:val="single" w:sz="4" w:space="0" w:color="auto"/>
            </w:tcBorders>
            <w:vAlign w:val="center"/>
          </w:tcPr>
          <w:p w14:paraId="4635121C" w14:textId="39D34072" w:rsidR="00D953B6" w:rsidRPr="00ED4CDD" w:rsidRDefault="00D953B6" w:rsidP="00D953B6">
            <w:pPr>
              <w:pStyle w:val="TableParagraph"/>
              <w:spacing w:before="124"/>
              <w:rPr>
                <w:color w:val="021142"/>
                <w:sz w:val="20"/>
              </w:rPr>
            </w:pPr>
            <w:r>
              <w:rPr>
                <w:color w:val="021142"/>
                <w:sz w:val="20"/>
                <w:lang w:val="el-GR"/>
              </w:rPr>
              <w:t>3</w:t>
            </w:r>
            <w:r w:rsidR="00281B7F">
              <w:rPr>
                <w:color w:val="021142"/>
                <w:sz w:val="20"/>
                <w:lang w:val="el-GR"/>
              </w:rPr>
              <w:t>3</w:t>
            </w:r>
            <w:r w:rsidR="006E036F">
              <w:rPr>
                <w:color w:val="021142"/>
                <w:sz w:val="20"/>
                <w:lang w:val="en-GB"/>
              </w:rPr>
              <w:t>,</w:t>
            </w:r>
            <w:r w:rsidR="00281B7F">
              <w:rPr>
                <w:color w:val="021142"/>
                <w:sz w:val="20"/>
                <w:lang w:val="el-GR"/>
              </w:rPr>
              <w:t>0</w:t>
            </w:r>
            <w:r>
              <w:rPr>
                <w:color w:val="021142"/>
                <w:sz w:val="20"/>
              </w:rPr>
              <w:t>%</w:t>
            </w:r>
          </w:p>
        </w:tc>
      </w:tr>
      <w:tr w:rsidR="00D953B6" w14:paraId="1FAE1415" w14:textId="77777777" w:rsidTr="002849A0">
        <w:trPr>
          <w:trHeight w:hRule="exact" w:val="454"/>
        </w:trPr>
        <w:tc>
          <w:tcPr>
            <w:tcW w:w="5232" w:type="dxa"/>
            <w:tcBorders>
              <w:top w:val="single" w:sz="4" w:space="0" w:color="auto"/>
              <w:left w:val="single" w:sz="4" w:space="0" w:color="auto"/>
              <w:bottom w:val="single" w:sz="4" w:space="0" w:color="auto"/>
              <w:right w:val="single" w:sz="4" w:space="0" w:color="auto"/>
            </w:tcBorders>
            <w:vAlign w:val="center"/>
          </w:tcPr>
          <w:p w14:paraId="32B41182" w14:textId="4619BD6D" w:rsidR="00D953B6" w:rsidRDefault="00D953B6" w:rsidP="00D953B6">
            <w:pPr>
              <w:pStyle w:val="TableParagraph"/>
              <w:ind w:left="78" w:right="0"/>
              <w:jc w:val="left"/>
              <w:rPr>
                <w:sz w:val="20"/>
              </w:rPr>
            </w:pPr>
            <w:r>
              <w:rPr>
                <w:color w:val="021142"/>
                <w:sz w:val="20"/>
              </w:rPr>
              <w:t>Μη</w:t>
            </w:r>
            <w:r>
              <w:rPr>
                <w:color w:val="021142"/>
                <w:spacing w:val="-12"/>
                <w:sz w:val="20"/>
              </w:rPr>
              <w:t xml:space="preserve"> </w:t>
            </w:r>
            <w:r>
              <w:rPr>
                <w:color w:val="021142"/>
                <w:sz w:val="20"/>
              </w:rPr>
              <w:t>Εξυπηρετούμενα</w:t>
            </w:r>
            <w:r>
              <w:rPr>
                <w:color w:val="021142"/>
                <w:spacing w:val="-12"/>
                <w:sz w:val="20"/>
              </w:rPr>
              <w:t xml:space="preserve"> </w:t>
            </w:r>
            <w:r>
              <w:rPr>
                <w:color w:val="021142"/>
                <w:sz w:val="20"/>
              </w:rPr>
              <w:t>Ανοίγματα</w:t>
            </w:r>
            <w:r>
              <w:rPr>
                <w:color w:val="021142"/>
                <w:spacing w:val="-11"/>
                <w:sz w:val="20"/>
              </w:rPr>
              <w:t xml:space="preserve"> </w:t>
            </w:r>
            <w:r>
              <w:rPr>
                <w:color w:val="021142"/>
                <w:sz w:val="20"/>
              </w:rPr>
              <w:t>(NPE</w:t>
            </w:r>
            <w:r>
              <w:rPr>
                <w:color w:val="021142"/>
                <w:sz w:val="20"/>
                <w:lang w:val="en-GB"/>
              </w:rPr>
              <w:t>s</w:t>
            </w:r>
            <w:r>
              <w:rPr>
                <w:color w:val="021142"/>
                <w:sz w:val="20"/>
              </w:rPr>
              <w:t>)</w:t>
            </w:r>
          </w:p>
        </w:tc>
        <w:tc>
          <w:tcPr>
            <w:tcW w:w="2612" w:type="dxa"/>
            <w:tcBorders>
              <w:top w:val="single" w:sz="4" w:space="0" w:color="auto"/>
              <w:left w:val="single" w:sz="4" w:space="0" w:color="auto"/>
              <w:bottom w:val="single" w:sz="4" w:space="0" w:color="auto"/>
              <w:right w:val="single" w:sz="4" w:space="0" w:color="auto"/>
            </w:tcBorders>
            <w:vAlign w:val="center"/>
          </w:tcPr>
          <w:p w14:paraId="411064B2" w14:textId="6E51AD07" w:rsidR="00D953B6" w:rsidRPr="00341068" w:rsidRDefault="00D953B6" w:rsidP="00D953B6">
            <w:pPr>
              <w:pStyle w:val="TableParagraph"/>
              <w:spacing w:before="124"/>
              <w:rPr>
                <w:color w:val="021142"/>
                <w:sz w:val="20"/>
                <w:lang w:val="en-GB"/>
              </w:rPr>
            </w:pPr>
            <w:r w:rsidRPr="003570AB">
              <w:rPr>
                <w:color w:val="021142"/>
                <w:sz w:val="20"/>
                <w:lang w:val="el-GR"/>
              </w:rPr>
              <w:t>2</w:t>
            </w:r>
            <w:r w:rsidR="006E036F">
              <w:rPr>
                <w:color w:val="021142"/>
                <w:sz w:val="20"/>
                <w:lang w:val="el-GR"/>
              </w:rPr>
              <w:t>,</w:t>
            </w:r>
            <w:r w:rsidR="00281B7F">
              <w:rPr>
                <w:color w:val="021142"/>
                <w:sz w:val="20"/>
                <w:lang w:val="el-GR"/>
              </w:rPr>
              <w:t>6</w:t>
            </w:r>
            <w:r w:rsidRPr="003570AB">
              <w:rPr>
                <w:color w:val="021142"/>
                <w:sz w:val="20"/>
              </w:rPr>
              <w:t>%</w:t>
            </w:r>
            <w:r w:rsidR="00CF5FAF">
              <w:rPr>
                <w:color w:val="021142"/>
                <w:sz w:val="20"/>
                <w:vertAlign w:val="superscript"/>
                <w:lang w:val="en-GB"/>
              </w:rPr>
              <w:t>7</w:t>
            </w:r>
          </w:p>
        </w:tc>
        <w:tc>
          <w:tcPr>
            <w:tcW w:w="2612" w:type="dxa"/>
            <w:tcBorders>
              <w:top w:val="single" w:sz="4" w:space="0" w:color="auto"/>
              <w:left w:val="single" w:sz="4" w:space="0" w:color="auto"/>
              <w:bottom w:val="single" w:sz="4" w:space="0" w:color="auto"/>
              <w:right w:val="single" w:sz="4" w:space="0" w:color="auto"/>
            </w:tcBorders>
            <w:vAlign w:val="center"/>
          </w:tcPr>
          <w:p w14:paraId="2CF3CA8B" w14:textId="034E190E" w:rsidR="00D953B6" w:rsidRPr="00ED4CDD" w:rsidRDefault="001627F2" w:rsidP="00D953B6">
            <w:pPr>
              <w:pStyle w:val="TableParagraph"/>
              <w:spacing w:before="124"/>
              <w:rPr>
                <w:color w:val="021142"/>
                <w:sz w:val="20"/>
              </w:rPr>
            </w:pPr>
            <w:r>
              <w:rPr>
                <w:color w:val="021142"/>
                <w:sz w:val="20"/>
                <w:lang w:val="en-GB"/>
              </w:rPr>
              <w:t>2</w:t>
            </w:r>
            <w:r w:rsidR="006E036F">
              <w:rPr>
                <w:color w:val="021142"/>
                <w:sz w:val="20"/>
                <w:lang w:val="en-GB"/>
              </w:rPr>
              <w:t>,</w:t>
            </w:r>
            <w:r>
              <w:rPr>
                <w:color w:val="021142"/>
                <w:sz w:val="20"/>
                <w:lang w:val="en-GB"/>
              </w:rPr>
              <w:t>9</w:t>
            </w:r>
            <w:r w:rsidR="00D953B6">
              <w:rPr>
                <w:color w:val="021142"/>
                <w:sz w:val="20"/>
              </w:rPr>
              <w:t>%</w:t>
            </w:r>
            <w:r w:rsidR="00EB3ECD">
              <w:rPr>
                <w:rStyle w:val="FootnoteReference"/>
                <w:color w:val="021142"/>
                <w:sz w:val="20"/>
              </w:rPr>
              <w:footnoteReference w:id="7"/>
            </w:r>
          </w:p>
        </w:tc>
      </w:tr>
      <w:tr w:rsidR="00D953B6" w:rsidRPr="00ED4CDD" w14:paraId="172F2F3B" w14:textId="77777777" w:rsidTr="002849A0">
        <w:trPr>
          <w:trHeight w:hRule="exact" w:val="454"/>
        </w:trPr>
        <w:tc>
          <w:tcPr>
            <w:tcW w:w="5232" w:type="dxa"/>
            <w:tcBorders>
              <w:top w:val="single" w:sz="4" w:space="0" w:color="auto"/>
              <w:left w:val="single" w:sz="4" w:space="0" w:color="auto"/>
              <w:bottom w:val="single" w:sz="4" w:space="0" w:color="auto"/>
              <w:right w:val="single" w:sz="4" w:space="0" w:color="auto"/>
            </w:tcBorders>
            <w:vAlign w:val="center"/>
          </w:tcPr>
          <w:p w14:paraId="74453E72" w14:textId="77777777" w:rsidR="00D953B6" w:rsidRPr="005511E3" w:rsidRDefault="00D953B6" w:rsidP="00D953B6">
            <w:pPr>
              <w:pStyle w:val="TableParagraph"/>
              <w:ind w:left="78" w:right="0"/>
              <w:jc w:val="left"/>
              <w:rPr>
                <w:sz w:val="20"/>
                <w:lang w:val="el-GR"/>
              </w:rPr>
            </w:pPr>
            <w:r w:rsidRPr="005511E3">
              <w:rPr>
                <w:color w:val="021142"/>
                <w:spacing w:val="-1"/>
                <w:sz w:val="20"/>
                <w:lang w:val="el-GR"/>
              </w:rPr>
              <w:t>Σωρευτικές</w:t>
            </w:r>
            <w:r w:rsidRPr="005511E3">
              <w:rPr>
                <w:color w:val="021142"/>
                <w:spacing w:val="-12"/>
                <w:sz w:val="20"/>
                <w:lang w:val="el-GR"/>
              </w:rPr>
              <w:t xml:space="preserve"> </w:t>
            </w:r>
            <w:r>
              <w:rPr>
                <w:color w:val="021142"/>
                <w:sz w:val="20"/>
                <w:lang w:val="el-GR"/>
              </w:rPr>
              <w:t>Π</w:t>
            </w:r>
            <w:r w:rsidRPr="005511E3">
              <w:rPr>
                <w:color w:val="021142"/>
                <w:sz w:val="20"/>
                <w:lang w:val="el-GR"/>
              </w:rPr>
              <w:t>ροβλέψεις</w:t>
            </w:r>
            <w:r w:rsidRPr="005511E3">
              <w:rPr>
                <w:color w:val="021142"/>
                <w:spacing w:val="-11"/>
                <w:sz w:val="20"/>
                <w:lang w:val="el-GR"/>
              </w:rPr>
              <w:t xml:space="preserve"> </w:t>
            </w:r>
            <w:r w:rsidRPr="005511E3">
              <w:rPr>
                <w:color w:val="021142"/>
                <w:sz w:val="20"/>
                <w:lang w:val="el-GR"/>
              </w:rPr>
              <w:t>προς</w:t>
            </w:r>
            <w:r w:rsidRPr="005511E3">
              <w:rPr>
                <w:color w:val="021142"/>
                <w:spacing w:val="-11"/>
                <w:sz w:val="20"/>
                <w:lang w:val="el-GR"/>
              </w:rPr>
              <w:t xml:space="preserve"> </w:t>
            </w:r>
            <w:r w:rsidRPr="005511E3">
              <w:rPr>
                <w:color w:val="021142"/>
                <w:sz w:val="20"/>
                <w:lang w:val="el-GR"/>
              </w:rPr>
              <w:t>μη</w:t>
            </w:r>
            <w:r w:rsidRPr="005511E3">
              <w:rPr>
                <w:color w:val="021142"/>
                <w:spacing w:val="-11"/>
                <w:sz w:val="20"/>
                <w:lang w:val="el-GR"/>
              </w:rPr>
              <w:t xml:space="preserve"> </w:t>
            </w:r>
            <w:r>
              <w:rPr>
                <w:color w:val="021142"/>
                <w:sz w:val="20"/>
                <w:lang w:val="el-GR"/>
              </w:rPr>
              <w:t>Ε</w:t>
            </w:r>
            <w:r w:rsidRPr="005511E3">
              <w:rPr>
                <w:color w:val="021142"/>
                <w:sz w:val="20"/>
                <w:lang w:val="el-GR"/>
              </w:rPr>
              <w:t>ξυπηρετούμενα</w:t>
            </w:r>
            <w:r w:rsidRPr="005511E3">
              <w:rPr>
                <w:color w:val="021142"/>
                <w:spacing w:val="-11"/>
                <w:sz w:val="20"/>
                <w:lang w:val="el-GR"/>
              </w:rPr>
              <w:t xml:space="preserve"> </w:t>
            </w:r>
            <w:r>
              <w:rPr>
                <w:color w:val="021142"/>
                <w:sz w:val="20"/>
                <w:lang w:val="el-GR"/>
              </w:rPr>
              <w:t>Α</w:t>
            </w:r>
            <w:r w:rsidRPr="005511E3">
              <w:rPr>
                <w:color w:val="021142"/>
                <w:sz w:val="20"/>
                <w:lang w:val="el-GR"/>
              </w:rPr>
              <w:t>νοίγματα</w:t>
            </w:r>
          </w:p>
        </w:tc>
        <w:tc>
          <w:tcPr>
            <w:tcW w:w="2612" w:type="dxa"/>
            <w:tcBorders>
              <w:top w:val="single" w:sz="4" w:space="0" w:color="auto"/>
              <w:left w:val="single" w:sz="4" w:space="0" w:color="auto"/>
              <w:bottom w:val="single" w:sz="4" w:space="0" w:color="auto"/>
              <w:right w:val="single" w:sz="4" w:space="0" w:color="auto"/>
            </w:tcBorders>
            <w:vAlign w:val="center"/>
          </w:tcPr>
          <w:p w14:paraId="1F798CEF" w14:textId="2553BB13" w:rsidR="00D953B6" w:rsidRPr="00341068" w:rsidRDefault="00487334" w:rsidP="00D953B6">
            <w:pPr>
              <w:pStyle w:val="TableParagraph"/>
              <w:spacing w:before="124"/>
              <w:rPr>
                <w:color w:val="021142"/>
                <w:sz w:val="20"/>
                <w:lang w:val="en-GB"/>
              </w:rPr>
            </w:pPr>
            <w:r w:rsidRPr="00950E8F">
              <w:rPr>
                <w:color w:val="021142"/>
                <w:sz w:val="20"/>
                <w:lang w:val="el-GR"/>
              </w:rPr>
              <w:t>9</w:t>
            </w:r>
            <w:r w:rsidR="00281B7F">
              <w:rPr>
                <w:color w:val="021142"/>
                <w:sz w:val="20"/>
                <w:lang w:val="el-GR"/>
              </w:rPr>
              <w:t>5</w:t>
            </w:r>
            <w:r w:rsidR="006E036F">
              <w:rPr>
                <w:color w:val="021142"/>
                <w:sz w:val="20"/>
                <w:lang w:val="el-GR"/>
              </w:rPr>
              <w:t>,</w:t>
            </w:r>
            <w:r w:rsidR="00281B7F">
              <w:rPr>
                <w:color w:val="021142"/>
                <w:sz w:val="20"/>
                <w:lang w:val="el-GR"/>
              </w:rPr>
              <w:t>2</w:t>
            </w:r>
            <w:r w:rsidR="00D953B6" w:rsidRPr="003570AB">
              <w:rPr>
                <w:color w:val="021142"/>
                <w:sz w:val="20"/>
              </w:rPr>
              <w:t>%</w:t>
            </w:r>
            <w:r w:rsidR="00CF5FAF">
              <w:rPr>
                <w:color w:val="021142"/>
                <w:sz w:val="20"/>
                <w:vertAlign w:val="superscript"/>
                <w:lang w:val="en-GB"/>
              </w:rPr>
              <w:t>8</w:t>
            </w:r>
          </w:p>
        </w:tc>
        <w:tc>
          <w:tcPr>
            <w:tcW w:w="2612" w:type="dxa"/>
            <w:tcBorders>
              <w:top w:val="single" w:sz="4" w:space="0" w:color="auto"/>
              <w:left w:val="single" w:sz="4" w:space="0" w:color="auto"/>
              <w:bottom w:val="single" w:sz="4" w:space="0" w:color="auto"/>
              <w:right w:val="single" w:sz="4" w:space="0" w:color="auto"/>
            </w:tcBorders>
            <w:vAlign w:val="center"/>
          </w:tcPr>
          <w:p w14:paraId="1520677F" w14:textId="0067F43D" w:rsidR="00D953B6" w:rsidRPr="00ED4CDD" w:rsidRDefault="001627F2" w:rsidP="00D953B6">
            <w:pPr>
              <w:pStyle w:val="TableParagraph"/>
              <w:spacing w:before="124"/>
              <w:rPr>
                <w:color w:val="021142"/>
                <w:sz w:val="20"/>
              </w:rPr>
            </w:pPr>
            <w:r>
              <w:rPr>
                <w:color w:val="021142"/>
                <w:sz w:val="20"/>
                <w:lang w:val="en-GB"/>
              </w:rPr>
              <w:t>8</w:t>
            </w:r>
            <w:r w:rsidR="00281B7F">
              <w:rPr>
                <w:color w:val="021142"/>
                <w:sz w:val="20"/>
                <w:lang w:val="el-GR"/>
              </w:rPr>
              <w:t>8</w:t>
            </w:r>
            <w:r w:rsidR="006E036F">
              <w:rPr>
                <w:color w:val="021142"/>
                <w:sz w:val="20"/>
                <w:lang w:val="en-GB"/>
              </w:rPr>
              <w:t>,</w:t>
            </w:r>
            <w:r w:rsidR="00281B7F">
              <w:rPr>
                <w:color w:val="021142"/>
                <w:sz w:val="20"/>
                <w:lang w:val="el-GR"/>
              </w:rPr>
              <w:t>4</w:t>
            </w:r>
            <w:r w:rsidR="00D953B6">
              <w:rPr>
                <w:color w:val="021142"/>
                <w:sz w:val="20"/>
              </w:rPr>
              <w:t>%</w:t>
            </w:r>
            <w:r w:rsidR="00EB3ECD">
              <w:rPr>
                <w:rStyle w:val="FootnoteReference"/>
                <w:color w:val="021142"/>
                <w:sz w:val="20"/>
              </w:rPr>
              <w:footnoteReference w:id="8"/>
            </w:r>
          </w:p>
        </w:tc>
      </w:tr>
      <w:tr w:rsidR="00D953B6" w14:paraId="5ABCBF4F" w14:textId="77777777" w:rsidTr="002849A0">
        <w:trPr>
          <w:trHeight w:hRule="exact" w:val="454"/>
        </w:trPr>
        <w:tc>
          <w:tcPr>
            <w:tcW w:w="5232" w:type="dxa"/>
            <w:tcBorders>
              <w:top w:val="single" w:sz="4" w:space="0" w:color="auto"/>
              <w:left w:val="single" w:sz="4" w:space="0" w:color="auto"/>
              <w:bottom w:val="single" w:sz="4" w:space="0" w:color="auto"/>
              <w:right w:val="single" w:sz="4" w:space="0" w:color="auto"/>
            </w:tcBorders>
            <w:vAlign w:val="center"/>
          </w:tcPr>
          <w:p w14:paraId="0833B7D7" w14:textId="77777777" w:rsidR="00D953B6" w:rsidRPr="005511E3" w:rsidRDefault="00D953B6" w:rsidP="00D953B6">
            <w:pPr>
              <w:pStyle w:val="TableParagraph"/>
              <w:ind w:left="78" w:right="0"/>
              <w:jc w:val="left"/>
              <w:rPr>
                <w:sz w:val="20"/>
                <w:lang w:val="el-GR"/>
              </w:rPr>
            </w:pPr>
            <w:r w:rsidRPr="005511E3">
              <w:rPr>
                <w:color w:val="021142"/>
                <w:sz w:val="20"/>
                <w:lang w:val="el-GR"/>
              </w:rPr>
              <w:t>Προβλέψεις</w:t>
            </w:r>
            <w:r w:rsidRPr="005511E3">
              <w:rPr>
                <w:color w:val="021142"/>
                <w:spacing w:val="-13"/>
                <w:sz w:val="20"/>
                <w:lang w:val="el-GR"/>
              </w:rPr>
              <w:t xml:space="preserve"> </w:t>
            </w:r>
            <w:r w:rsidRPr="005511E3">
              <w:rPr>
                <w:color w:val="021142"/>
                <w:sz w:val="20"/>
                <w:lang w:val="el-GR"/>
              </w:rPr>
              <w:t>προς</w:t>
            </w:r>
            <w:r w:rsidRPr="005511E3">
              <w:rPr>
                <w:color w:val="021142"/>
                <w:spacing w:val="-12"/>
                <w:sz w:val="20"/>
                <w:lang w:val="el-GR"/>
              </w:rPr>
              <w:t xml:space="preserve"> </w:t>
            </w:r>
            <w:r w:rsidRPr="005511E3">
              <w:rPr>
                <w:color w:val="021142"/>
                <w:sz w:val="20"/>
                <w:lang w:val="el-GR"/>
              </w:rPr>
              <w:t>Δάνεια</w:t>
            </w:r>
            <w:r w:rsidRPr="005511E3">
              <w:rPr>
                <w:color w:val="021142"/>
                <w:spacing w:val="-13"/>
                <w:sz w:val="20"/>
                <w:lang w:val="el-GR"/>
              </w:rPr>
              <w:t xml:space="preserve"> </w:t>
            </w:r>
          </w:p>
        </w:tc>
        <w:tc>
          <w:tcPr>
            <w:tcW w:w="2612" w:type="dxa"/>
            <w:tcBorders>
              <w:top w:val="single" w:sz="4" w:space="0" w:color="auto"/>
              <w:left w:val="single" w:sz="4" w:space="0" w:color="auto"/>
              <w:bottom w:val="single" w:sz="4" w:space="0" w:color="auto"/>
              <w:right w:val="single" w:sz="4" w:space="0" w:color="auto"/>
            </w:tcBorders>
            <w:vAlign w:val="center"/>
          </w:tcPr>
          <w:p w14:paraId="43205892" w14:textId="2FCD081F" w:rsidR="00D953B6" w:rsidRPr="003570AB" w:rsidRDefault="00D953B6" w:rsidP="00D953B6">
            <w:pPr>
              <w:pStyle w:val="TableParagraph"/>
              <w:spacing w:before="124"/>
              <w:rPr>
                <w:color w:val="021142"/>
                <w:sz w:val="20"/>
              </w:rPr>
            </w:pPr>
            <w:r w:rsidRPr="003570AB">
              <w:rPr>
                <w:color w:val="021142"/>
                <w:sz w:val="20"/>
                <w:lang w:val="el-GR"/>
              </w:rPr>
              <w:t>0</w:t>
            </w:r>
            <w:r w:rsidR="006E036F">
              <w:rPr>
                <w:color w:val="021142"/>
                <w:sz w:val="20"/>
                <w:lang w:val="el-GR"/>
              </w:rPr>
              <w:t>,</w:t>
            </w:r>
            <w:r w:rsidR="00281B7F">
              <w:rPr>
                <w:color w:val="021142"/>
                <w:sz w:val="20"/>
                <w:lang w:val="el-GR"/>
              </w:rPr>
              <w:t>59</w:t>
            </w:r>
            <w:r w:rsidRPr="003570AB">
              <w:rPr>
                <w:color w:val="021142"/>
                <w:sz w:val="20"/>
              </w:rPr>
              <w:t>%</w:t>
            </w:r>
          </w:p>
        </w:tc>
        <w:tc>
          <w:tcPr>
            <w:tcW w:w="2612" w:type="dxa"/>
            <w:tcBorders>
              <w:top w:val="single" w:sz="4" w:space="0" w:color="auto"/>
              <w:left w:val="single" w:sz="4" w:space="0" w:color="auto"/>
              <w:bottom w:val="single" w:sz="4" w:space="0" w:color="auto"/>
              <w:right w:val="single" w:sz="4" w:space="0" w:color="auto"/>
            </w:tcBorders>
            <w:vAlign w:val="center"/>
          </w:tcPr>
          <w:p w14:paraId="4AF2ABFC" w14:textId="519F3FE1" w:rsidR="00D953B6" w:rsidRPr="00ED4CDD" w:rsidRDefault="00D953B6" w:rsidP="00D953B6">
            <w:pPr>
              <w:pStyle w:val="TableParagraph"/>
              <w:spacing w:before="124"/>
              <w:rPr>
                <w:color w:val="021142"/>
                <w:sz w:val="20"/>
              </w:rPr>
            </w:pPr>
            <w:r>
              <w:rPr>
                <w:color w:val="021142"/>
                <w:sz w:val="20"/>
                <w:lang w:val="el-GR"/>
              </w:rPr>
              <w:t>0</w:t>
            </w:r>
            <w:r w:rsidR="006E036F">
              <w:rPr>
                <w:color w:val="021142"/>
                <w:sz w:val="20"/>
                <w:lang w:val="en-GB"/>
              </w:rPr>
              <w:t>,</w:t>
            </w:r>
            <w:r>
              <w:rPr>
                <w:color w:val="021142"/>
                <w:sz w:val="20"/>
                <w:lang w:val="el-GR"/>
              </w:rPr>
              <w:t>6</w:t>
            </w:r>
            <w:r w:rsidR="00281B7F">
              <w:rPr>
                <w:color w:val="021142"/>
                <w:sz w:val="20"/>
                <w:lang w:val="el-GR"/>
              </w:rPr>
              <w:t>9</w:t>
            </w:r>
            <w:r>
              <w:rPr>
                <w:color w:val="021142"/>
                <w:sz w:val="20"/>
              </w:rPr>
              <w:t>%</w:t>
            </w:r>
          </w:p>
        </w:tc>
      </w:tr>
      <w:tr w:rsidR="00D953B6" w14:paraId="2C96BFEA" w14:textId="77777777" w:rsidTr="002849A0">
        <w:trPr>
          <w:trHeight w:hRule="exact" w:val="454"/>
        </w:trPr>
        <w:tc>
          <w:tcPr>
            <w:tcW w:w="5232" w:type="dxa"/>
            <w:tcBorders>
              <w:top w:val="single" w:sz="4" w:space="0" w:color="auto"/>
              <w:left w:val="single" w:sz="4" w:space="0" w:color="auto"/>
              <w:bottom w:val="single" w:sz="4" w:space="0" w:color="auto"/>
              <w:right w:val="single" w:sz="4" w:space="0" w:color="auto"/>
            </w:tcBorders>
            <w:vAlign w:val="center"/>
          </w:tcPr>
          <w:p w14:paraId="16040E99" w14:textId="77777777" w:rsidR="00D953B6" w:rsidRPr="00E13917" w:rsidRDefault="00D953B6" w:rsidP="00D953B6">
            <w:pPr>
              <w:pStyle w:val="TableParagraph"/>
              <w:ind w:left="78" w:right="0"/>
              <w:jc w:val="left"/>
              <w:rPr>
                <w:color w:val="021142"/>
                <w:sz w:val="20"/>
                <w:lang w:val="el-GR"/>
              </w:rPr>
            </w:pPr>
            <w:r>
              <w:rPr>
                <w:color w:val="021142"/>
                <w:sz w:val="20"/>
                <w:lang w:val="el-GR"/>
              </w:rPr>
              <w:t xml:space="preserve">Απόδοση Ενσώματων Ιδίων Κεφαλαίων </w:t>
            </w:r>
          </w:p>
        </w:tc>
        <w:tc>
          <w:tcPr>
            <w:tcW w:w="2612" w:type="dxa"/>
            <w:tcBorders>
              <w:top w:val="single" w:sz="4" w:space="0" w:color="auto"/>
              <w:left w:val="single" w:sz="4" w:space="0" w:color="auto"/>
              <w:bottom w:val="single" w:sz="4" w:space="0" w:color="auto"/>
              <w:right w:val="single" w:sz="4" w:space="0" w:color="auto"/>
            </w:tcBorders>
            <w:vAlign w:val="center"/>
          </w:tcPr>
          <w:p w14:paraId="34B0AF57" w14:textId="3275CFC7" w:rsidR="00D953B6" w:rsidRPr="003570AB" w:rsidRDefault="00D953B6" w:rsidP="00D953B6">
            <w:pPr>
              <w:pStyle w:val="TableParagraph"/>
              <w:spacing w:before="124"/>
              <w:rPr>
                <w:color w:val="021142"/>
                <w:sz w:val="20"/>
              </w:rPr>
            </w:pPr>
            <w:r w:rsidRPr="003570AB">
              <w:rPr>
                <w:color w:val="021142"/>
                <w:sz w:val="20"/>
                <w:lang w:val="el-GR"/>
              </w:rPr>
              <w:t>16</w:t>
            </w:r>
            <w:r w:rsidR="006E036F">
              <w:rPr>
                <w:color w:val="021142"/>
                <w:sz w:val="20"/>
                <w:lang w:val="el-GR"/>
              </w:rPr>
              <w:t>,</w:t>
            </w:r>
            <w:r w:rsidR="00281B7F">
              <w:rPr>
                <w:color w:val="021142"/>
                <w:sz w:val="20"/>
                <w:lang w:val="el-GR"/>
              </w:rPr>
              <w:t>0</w:t>
            </w:r>
            <w:r w:rsidRPr="003570AB">
              <w:rPr>
                <w:color w:val="021142"/>
                <w:sz w:val="20"/>
              </w:rPr>
              <w:t>%</w:t>
            </w:r>
          </w:p>
        </w:tc>
        <w:tc>
          <w:tcPr>
            <w:tcW w:w="2612" w:type="dxa"/>
            <w:tcBorders>
              <w:top w:val="single" w:sz="4" w:space="0" w:color="auto"/>
              <w:left w:val="single" w:sz="4" w:space="0" w:color="auto"/>
              <w:bottom w:val="single" w:sz="4" w:space="0" w:color="auto"/>
              <w:right w:val="single" w:sz="4" w:space="0" w:color="auto"/>
            </w:tcBorders>
            <w:vAlign w:val="center"/>
          </w:tcPr>
          <w:p w14:paraId="79437970" w14:textId="3326F889" w:rsidR="00D953B6" w:rsidRPr="00ED4CDD" w:rsidRDefault="00D953B6" w:rsidP="00D953B6">
            <w:pPr>
              <w:pStyle w:val="TableParagraph"/>
              <w:spacing w:before="124"/>
              <w:rPr>
                <w:color w:val="021142"/>
                <w:sz w:val="20"/>
              </w:rPr>
            </w:pPr>
            <w:r>
              <w:rPr>
                <w:color w:val="021142"/>
                <w:sz w:val="20"/>
                <w:lang w:val="el-GR"/>
              </w:rPr>
              <w:t>1</w:t>
            </w:r>
            <w:r w:rsidR="00281B7F">
              <w:rPr>
                <w:color w:val="021142"/>
                <w:sz w:val="20"/>
                <w:lang w:val="el-GR"/>
              </w:rPr>
              <w:t>8</w:t>
            </w:r>
            <w:r w:rsidR="006E036F">
              <w:rPr>
                <w:color w:val="021142"/>
                <w:sz w:val="20"/>
                <w:lang w:val="en-GB"/>
              </w:rPr>
              <w:t>,</w:t>
            </w:r>
            <w:r w:rsidR="00281B7F">
              <w:rPr>
                <w:color w:val="021142"/>
                <w:sz w:val="20"/>
                <w:lang w:val="el-GR"/>
              </w:rPr>
              <w:t>5</w:t>
            </w:r>
            <w:r>
              <w:rPr>
                <w:color w:val="021142"/>
                <w:sz w:val="20"/>
              </w:rPr>
              <w:t>%</w:t>
            </w:r>
          </w:p>
        </w:tc>
      </w:tr>
      <w:tr w:rsidR="00D953B6" w:rsidRPr="003A0464" w14:paraId="75DB6934" w14:textId="77777777" w:rsidTr="002849A0">
        <w:trPr>
          <w:trHeight w:hRule="exact" w:val="454"/>
        </w:trPr>
        <w:tc>
          <w:tcPr>
            <w:tcW w:w="5232" w:type="dxa"/>
            <w:tcBorders>
              <w:top w:val="single" w:sz="4" w:space="0" w:color="auto"/>
              <w:left w:val="single" w:sz="4" w:space="0" w:color="auto"/>
              <w:bottom w:val="single" w:sz="4" w:space="0" w:color="auto"/>
              <w:right w:val="single" w:sz="4" w:space="0" w:color="auto"/>
            </w:tcBorders>
            <w:vAlign w:val="center"/>
          </w:tcPr>
          <w:p w14:paraId="2E4D4229" w14:textId="77777777" w:rsidR="00D953B6" w:rsidRPr="00D615CE" w:rsidRDefault="00D953B6" w:rsidP="00D953B6">
            <w:pPr>
              <w:pStyle w:val="TableParagraph"/>
              <w:ind w:left="78" w:right="0"/>
              <w:jc w:val="left"/>
              <w:rPr>
                <w:color w:val="021142"/>
                <w:sz w:val="20"/>
              </w:rPr>
            </w:pPr>
            <w:r>
              <w:rPr>
                <w:color w:val="021142"/>
                <w:sz w:val="20"/>
                <w:lang w:val="el-GR"/>
              </w:rPr>
              <w:t xml:space="preserve">Κέρδη ανά Μετοχή </w:t>
            </w:r>
            <w:r>
              <w:rPr>
                <w:color w:val="021142"/>
                <w:sz w:val="20"/>
              </w:rPr>
              <w:t>(€)</w:t>
            </w:r>
          </w:p>
        </w:tc>
        <w:tc>
          <w:tcPr>
            <w:tcW w:w="2612" w:type="dxa"/>
            <w:tcBorders>
              <w:top w:val="single" w:sz="4" w:space="0" w:color="auto"/>
              <w:left w:val="single" w:sz="4" w:space="0" w:color="auto"/>
              <w:bottom w:val="single" w:sz="4" w:space="0" w:color="auto"/>
              <w:right w:val="single" w:sz="4" w:space="0" w:color="auto"/>
            </w:tcBorders>
            <w:vAlign w:val="center"/>
          </w:tcPr>
          <w:p w14:paraId="64EFE3AD" w14:textId="59450069" w:rsidR="00D953B6" w:rsidRPr="003570AB" w:rsidRDefault="00D953B6" w:rsidP="00D953B6">
            <w:pPr>
              <w:pStyle w:val="TableParagraph"/>
              <w:spacing w:before="124"/>
              <w:rPr>
                <w:color w:val="021142"/>
                <w:sz w:val="20"/>
                <w:lang w:val="el-GR"/>
              </w:rPr>
            </w:pPr>
            <w:r w:rsidRPr="003570AB">
              <w:rPr>
                <w:color w:val="021142"/>
                <w:sz w:val="20"/>
                <w:lang w:val="el-GR"/>
              </w:rPr>
              <w:t>0</w:t>
            </w:r>
            <w:r w:rsidR="006E036F">
              <w:rPr>
                <w:color w:val="021142"/>
                <w:sz w:val="20"/>
                <w:lang w:val="en-GB"/>
              </w:rPr>
              <w:t>,37</w:t>
            </w:r>
          </w:p>
        </w:tc>
        <w:tc>
          <w:tcPr>
            <w:tcW w:w="2612" w:type="dxa"/>
            <w:tcBorders>
              <w:top w:val="single" w:sz="4" w:space="0" w:color="auto"/>
              <w:left w:val="single" w:sz="4" w:space="0" w:color="auto"/>
              <w:bottom w:val="single" w:sz="4" w:space="0" w:color="auto"/>
              <w:right w:val="single" w:sz="4" w:space="0" w:color="auto"/>
            </w:tcBorders>
            <w:vAlign w:val="center"/>
          </w:tcPr>
          <w:p w14:paraId="61FE5A4F" w14:textId="30E8D319" w:rsidR="00D953B6" w:rsidRPr="001E7493" w:rsidRDefault="00D953B6" w:rsidP="00D953B6">
            <w:pPr>
              <w:pStyle w:val="TableParagraph"/>
              <w:spacing w:before="124"/>
              <w:rPr>
                <w:color w:val="021142"/>
                <w:sz w:val="20"/>
                <w:lang w:val="en-GB"/>
              </w:rPr>
            </w:pPr>
            <w:r>
              <w:rPr>
                <w:color w:val="021142"/>
                <w:sz w:val="20"/>
                <w:lang w:val="el-GR"/>
              </w:rPr>
              <w:t>0</w:t>
            </w:r>
            <w:r w:rsidR="00FB4D6A">
              <w:rPr>
                <w:color w:val="021142"/>
                <w:sz w:val="20"/>
                <w:lang w:val="en-GB"/>
              </w:rPr>
              <w:t>,</w:t>
            </w:r>
            <w:r w:rsidR="0061750D">
              <w:rPr>
                <w:color w:val="021142"/>
                <w:sz w:val="20"/>
                <w:lang w:val="el-GR"/>
              </w:rPr>
              <w:t>3</w:t>
            </w:r>
            <w:r w:rsidR="00FB4D6A">
              <w:rPr>
                <w:color w:val="021142"/>
                <w:sz w:val="20"/>
                <w:lang w:val="en-GB"/>
              </w:rPr>
              <w:t>9</w:t>
            </w:r>
          </w:p>
        </w:tc>
      </w:tr>
      <w:tr w:rsidR="00D953B6" w:rsidRPr="00ED4CDD" w14:paraId="5F8970F6" w14:textId="77777777" w:rsidTr="002849A0">
        <w:trPr>
          <w:trHeight w:hRule="exact" w:val="454"/>
        </w:trPr>
        <w:tc>
          <w:tcPr>
            <w:tcW w:w="5232" w:type="dxa"/>
            <w:tcBorders>
              <w:top w:val="single" w:sz="4" w:space="0" w:color="auto"/>
              <w:left w:val="single" w:sz="4" w:space="0" w:color="auto"/>
              <w:bottom w:val="single" w:sz="4" w:space="0" w:color="auto"/>
              <w:right w:val="single" w:sz="4" w:space="0" w:color="auto"/>
            </w:tcBorders>
            <w:vAlign w:val="center"/>
          </w:tcPr>
          <w:p w14:paraId="7D5FEE4B" w14:textId="7E75E3D2" w:rsidR="00D953B6" w:rsidRPr="00771107" w:rsidRDefault="00D953B6" w:rsidP="00D953B6">
            <w:pPr>
              <w:pStyle w:val="TableParagraph"/>
              <w:ind w:left="78" w:right="0"/>
              <w:jc w:val="left"/>
              <w:rPr>
                <w:sz w:val="20"/>
                <w:lang w:val="el-GR"/>
              </w:rPr>
            </w:pPr>
            <w:r>
              <w:rPr>
                <w:color w:val="021142"/>
                <w:sz w:val="20"/>
              </w:rPr>
              <w:t>CET</w:t>
            </w:r>
            <w:r w:rsidRPr="00771107">
              <w:rPr>
                <w:color w:val="021142"/>
                <w:sz w:val="20"/>
                <w:lang w:val="el-GR"/>
              </w:rPr>
              <w:t xml:space="preserve">1 </w:t>
            </w:r>
          </w:p>
        </w:tc>
        <w:tc>
          <w:tcPr>
            <w:tcW w:w="2612" w:type="dxa"/>
            <w:tcBorders>
              <w:top w:val="single" w:sz="4" w:space="0" w:color="auto"/>
              <w:left w:val="single" w:sz="4" w:space="0" w:color="auto"/>
              <w:bottom w:val="single" w:sz="4" w:space="0" w:color="auto"/>
              <w:right w:val="single" w:sz="4" w:space="0" w:color="auto"/>
            </w:tcBorders>
            <w:vAlign w:val="center"/>
          </w:tcPr>
          <w:p w14:paraId="64459D91" w14:textId="42BC222F" w:rsidR="00D953B6" w:rsidRPr="00C74784" w:rsidRDefault="00D953B6" w:rsidP="00D953B6">
            <w:pPr>
              <w:pStyle w:val="TableParagraph"/>
              <w:spacing w:before="124"/>
              <w:rPr>
                <w:color w:val="021142"/>
                <w:sz w:val="20"/>
                <w:lang w:val="el-GR"/>
              </w:rPr>
            </w:pPr>
            <w:r w:rsidRPr="003570AB">
              <w:rPr>
                <w:color w:val="021142"/>
                <w:sz w:val="20"/>
                <w:lang w:val="el-GR"/>
              </w:rPr>
              <w:t>15</w:t>
            </w:r>
            <w:r w:rsidR="00FB4D6A">
              <w:rPr>
                <w:color w:val="021142"/>
                <w:sz w:val="20"/>
                <w:lang w:val="en-GB"/>
              </w:rPr>
              <w:t>,6</w:t>
            </w:r>
            <w:r w:rsidRPr="003570AB">
              <w:rPr>
                <w:color w:val="021142"/>
                <w:sz w:val="20"/>
              </w:rPr>
              <w:t>%</w:t>
            </w:r>
            <w:r w:rsidR="00EC3A22">
              <w:rPr>
                <w:rStyle w:val="FootnoteReference"/>
                <w:color w:val="021142"/>
                <w:sz w:val="20"/>
                <w:lang w:val="el-GR"/>
              </w:rPr>
              <w:footnoteReference w:id="9"/>
            </w:r>
          </w:p>
        </w:tc>
        <w:tc>
          <w:tcPr>
            <w:tcW w:w="2612" w:type="dxa"/>
            <w:tcBorders>
              <w:top w:val="single" w:sz="4" w:space="0" w:color="auto"/>
              <w:left w:val="single" w:sz="4" w:space="0" w:color="auto"/>
              <w:bottom w:val="single" w:sz="4" w:space="0" w:color="auto"/>
              <w:right w:val="single" w:sz="4" w:space="0" w:color="auto"/>
            </w:tcBorders>
            <w:vAlign w:val="center"/>
          </w:tcPr>
          <w:p w14:paraId="5DBABA49" w14:textId="3799F2CE" w:rsidR="00D953B6" w:rsidRPr="00ED4CDD" w:rsidRDefault="009226BA" w:rsidP="00D953B6">
            <w:pPr>
              <w:pStyle w:val="TableParagraph"/>
              <w:spacing w:before="124"/>
              <w:rPr>
                <w:color w:val="021142"/>
                <w:sz w:val="20"/>
              </w:rPr>
            </w:pPr>
            <w:r>
              <w:rPr>
                <w:color w:val="021142"/>
                <w:sz w:val="20"/>
                <w:lang w:val="en-GB"/>
              </w:rPr>
              <w:t>1</w:t>
            </w:r>
            <w:r w:rsidR="00DD4A52">
              <w:rPr>
                <w:color w:val="021142"/>
                <w:sz w:val="20"/>
                <w:lang w:val="en-GB"/>
              </w:rPr>
              <w:t>5</w:t>
            </w:r>
            <w:r w:rsidR="00FB4D6A">
              <w:rPr>
                <w:color w:val="021142"/>
                <w:sz w:val="20"/>
                <w:lang w:val="en-GB"/>
              </w:rPr>
              <w:t>,</w:t>
            </w:r>
            <w:r w:rsidR="00DD4A52">
              <w:rPr>
                <w:color w:val="021142"/>
                <w:sz w:val="20"/>
                <w:lang w:val="en-GB"/>
              </w:rPr>
              <w:t>7</w:t>
            </w:r>
            <w:r w:rsidR="00FB4D6A">
              <w:rPr>
                <w:color w:val="021142"/>
                <w:sz w:val="20"/>
                <w:lang w:val="en-GB"/>
              </w:rPr>
              <w:t>%</w:t>
            </w:r>
          </w:p>
        </w:tc>
      </w:tr>
    </w:tbl>
    <w:p w14:paraId="1344EB4B" w14:textId="77777777" w:rsidR="00852D18" w:rsidRDefault="00852D18">
      <w:pPr>
        <w:rPr>
          <w:sz w:val="20"/>
          <w:lang w:val="el-GR"/>
        </w:rPr>
      </w:pPr>
    </w:p>
    <w:p w14:paraId="4F97D596" w14:textId="7F05D9D2" w:rsidR="003E2E8D" w:rsidRDefault="003E2E8D" w:rsidP="00090C65">
      <w:pPr>
        <w:ind w:right="340"/>
        <w:jc w:val="both"/>
        <w:rPr>
          <w:color w:val="021142"/>
          <w:sz w:val="14"/>
          <w:szCs w:val="14"/>
          <w:lang w:val="en-GB"/>
        </w:rPr>
      </w:pPr>
    </w:p>
    <w:p w14:paraId="4AE9D311" w14:textId="77777777" w:rsidR="00B36593" w:rsidRDefault="00B36593" w:rsidP="00090C65">
      <w:pPr>
        <w:ind w:right="340"/>
        <w:jc w:val="both"/>
        <w:rPr>
          <w:color w:val="021142"/>
          <w:sz w:val="14"/>
          <w:szCs w:val="14"/>
          <w:lang w:val="en-GB"/>
        </w:rPr>
      </w:pPr>
    </w:p>
    <w:p w14:paraId="34D6E224" w14:textId="77777777" w:rsidR="00435D86" w:rsidRDefault="00435D86" w:rsidP="00090C65">
      <w:pPr>
        <w:ind w:right="340"/>
        <w:jc w:val="both"/>
        <w:rPr>
          <w:color w:val="021142"/>
          <w:sz w:val="14"/>
          <w:szCs w:val="14"/>
          <w:lang w:val="en-GB"/>
        </w:rPr>
      </w:pPr>
    </w:p>
    <w:p w14:paraId="4B6CF71A" w14:textId="77777777" w:rsidR="00435D86" w:rsidRDefault="00435D86" w:rsidP="00090C65">
      <w:pPr>
        <w:ind w:right="340"/>
        <w:jc w:val="both"/>
        <w:rPr>
          <w:color w:val="021142"/>
          <w:sz w:val="14"/>
          <w:szCs w:val="14"/>
          <w:lang w:val="en-GB"/>
        </w:rPr>
      </w:pPr>
    </w:p>
    <w:p w14:paraId="17BEC565" w14:textId="77777777" w:rsidR="00852D18" w:rsidRDefault="001E705B">
      <w:pPr>
        <w:pStyle w:val="BodyText"/>
        <w:ind w:left="260"/>
        <w:rPr>
          <w:sz w:val="20"/>
        </w:rPr>
      </w:pPr>
      <w:r>
        <w:rPr>
          <w:noProof/>
          <w:sz w:val="20"/>
          <w:lang w:val="el-GR" w:eastAsia="el-GR"/>
        </w:rPr>
        <mc:AlternateContent>
          <mc:Choice Requires="wps">
            <w:drawing>
              <wp:inline distT="0" distB="0" distL="0" distR="0" wp14:anchorId="66DDEFCF" wp14:editId="6B45C3A5">
                <wp:extent cx="6645910" cy="632460"/>
                <wp:effectExtent l="0" t="0" r="0" b="0"/>
                <wp:docPr id="54"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63246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5BCB6" w14:textId="77777777" w:rsidR="00D576A5" w:rsidRPr="005511E3" w:rsidRDefault="00D576A5">
                            <w:pPr>
                              <w:spacing w:before="111" w:line="235" w:lineRule="auto"/>
                              <w:ind w:left="160" w:right="621"/>
                              <w:rPr>
                                <w:b/>
                                <w:color w:val="000000"/>
                                <w:sz w:val="32"/>
                                <w:lang w:val="el-GR"/>
                              </w:rPr>
                            </w:pPr>
                            <w:r w:rsidRPr="005511E3">
                              <w:rPr>
                                <w:b/>
                                <w:color w:val="021142"/>
                                <w:sz w:val="32"/>
                                <w:lang w:val="el-GR"/>
                              </w:rPr>
                              <w:t>Ορολογία</w:t>
                            </w:r>
                            <w:r w:rsidRPr="005511E3">
                              <w:rPr>
                                <w:b/>
                                <w:color w:val="021142"/>
                                <w:spacing w:val="-17"/>
                                <w:sz w:val="32"/>
                                <w:lang w:val="el-GR"/>
                              </w:rPr>
                              <w:t xml:space="preserve"> </w:t>
                            </w:r>
                            <w:r w:rsidRPr="005511E3">
                              <w:rPr>
                                <w:b/>
                                <w:color w:val="021142"/>
                                <w:sz w:val="32"/>
                                <w:lang w:val="el-GR"/>
                              </w:rPr>
                              <w:t>–</w:t>
                            </w:r>
                            <w:r w:rsidRPr="005511E3">
                              <w:rPr>
                                <w:b/>
                                <w:color w:val="021142"/>
                                <w:spacing w:val="-17"/>
                                <w:sz w:val="32"/>
                                <w:lang w:val="el-GR"/>
                              </w:rPr>
                              <w:t xml:space="preserve"> </w:t>
                            </w:r>
                            <w:r w:rsidRPr="005511E3">
                              <w:rPr>
                                <w:b/>
                                <w:color w:val="021142"/>
                                <w:sz w:val="32"/>
                                <w:lang w:val="el-GR"/>
                              </w:rPr>
                              <w:t>Ορισμός</w:t>
                            </w:r>
                            <w:r w:rsidRPr="005511E3">
                              <w:rPr>
                                <w:b/>
                                <w:color w:val="021142"/>
                                <w:spacing w:val="-17"/>
                                <w:sz w:val="32"/>
                                <w:lang w:val="el-GR"/>
                              </w:rPr>
                              <w:t xml:space="preserve"> </w:t>
                            </w:r>
                            <w:r w:rsidRPr="005511E3">
                              <w:rPr>
                                <w:b/>
                                <w:color w:val="021142"/>
                                <w:sz w:val="32"/>
                                <w:lang w:val="el-GR"/>
                              </w:rPr>
                              <w:t>Εναλλακτικών</w:t>
                            </w:r>
                            <w:r w:rsidRPr="005511E3">
                              <w:rPr>
                                <w:b/>
                                <w:color w:val="021142"/>
                                <w:spacing w:val="-16"/>
                                <w:sz w:val="32"/>
                                <w:lang w:val="el-GR"/>
                              </w:rPr>
                              <w:t xml:space="preserve"> </w:t>
                            </w:r>
                            <w:r w:rsidRPr="005511E3">
                              <w:rPr>
                                <w:b/>
                                <w:color w:val="021142"/>
                                <w:sz w:val="32"/>
                                <w:lang w:val="el-GR"/>
                              </w:rPr>
                              <w:t>Δεικτών</w:t>
                            </w:r>
                            <w:r w:rsidRPr="005511E3">
                              <w:rPr>
                                <w:b/>
                                <w:color w:val="021142"/>
                                <w:spacing w:val="-17"/>
                                <w:sz w:val="32"/>
                                <w:lang w:val="el-GR"/>
                              </w:rPr>
                              <w:t xml:space="preserve"> </w:t>
                            </w:r>
                            <w:r w:rsidRPr="005511E3">
                              <w:rPr>
                                <w:b/>
                                <w:color w:val="021142"/>
                                <w:sz w:val="32"/>
                                <w:lang w:val="el-GR"/>
                              </w:rPr>
                              <w:t>Μέτρησης</w:t>
                            </w:r>
                            <w:r w:rsidRPr="005511E3">
                              <w:rPr>
                                <w:b/>
                                <w:color w:val="021142"/>
                                <w:spacing w:val="-17"/>
                                <w:sz w:val="32"/>
                                <w:lang w:val="el-GR"/>
                              </w:rPr>
                              <w:t xml:space="preserve"> </w:t>
                            </w:r>
                            <w:r w:rsidRPr="005511E3">
                              <w:rPr>
                                <w:b/>
                                <w:color w:val="021142"/>
                                <w:sz w:val="32"/>
                                <w:lang w:val="el-GR"/>
                              </w:rPr>
                              <w:t>της</w:t>
                            </w:r>
                            <w:r w:rsidRPr="005511E3">
                              <w:rPr>
                                <w:b/>
                                <w:color w:val="021142"/>
                                <w:spacing w:val="-16"/>
                                <w:sz w:val="32"/>
                                <w:lang w:val="el-GR"/>
                              </w:rPr>
                              <w:t xml:space="preserve"> </w:t>
                            </w:r>
                            <w:r w:rsidRPr="005511E3">
                              <w:rPr>
                                <w:b/>
                                <w:color w:val="021142"/>
                                <w:sz w:val="32"/>
                                <w:lang w:val="el-GR"/>
                              </w:rPr>
                              <w:t>Απόδοσης</w:t>
                            </w:r>
                            <w:r w:rsidRPr="005511E3">
                              <w:rPr>
                                <w:b/>
                                <w:color w:val="021142"/>
                                <w:spacing w:val="-74"/>
                                <w:sz w:val="32"/>
                                <w:lang w:val="el-GR"/>
                              </w:rPr>
                              <w:t xml:space="preserve"> </w:t>
                            </w:r>
                            <w:r w:rsidRPr="005511E3">
                              <w:rPr>
                                <w:b/>
                                <w:color w:val="021142"/>
                                <w:sz w:val="32"/>
                                <w:lang w:val="el-GR"/>
                              </w:rPr>
                              <w:t>(ΕΔΜΑ)</w:t>
                            </w:r>
                            <w:r w:rsidRPr="005511E3">
                              <w:rPr>
                                <w:b/>
                                <w:color w:val="021142"/>
                                <w:spacing w:val="-3"/>
                                <w:sz w:val="32"/>
                                <w:lang w:val="el-GR"/>
                              </w:rPr>
                              <w:t xml:space="preserve"> </w:t>
                            </w:r>
                            <w:r w:rsidRPr="005511E3">
                              <w:rPr>
                                <w:b/>
                                <w:color w:val="021142"/>
                                <w:sz w:val="32"/>
                                <w:lang w:val="el-GR"/>
                              </w:rPr>
                              <w:t>και</w:t>
                            </w:r>
                            <w:r w:rsidRPr="005511E3">
                              <w:rPr>
                                <w:b/>
                                <w:color w:val="021142"/>
                                <w:spacing w:val="-2"/>
                                <w:sz w:val="32"/>
                                <w:lang w:val="el-GR"/>
                              </w:rPr>
                              <w:t xml:space="preserve"> </w:t>
                            </w:r>
                            <w:r w:rsidRPr="005511E3">
                              <w:rPr>
                                <w:b/>
                                <w:color w:val="021142"/>
                                <w:sz w:val="32"/>
                                <w:lang w:val="el-GR"/>
                              </w:rPr>
                              <w:t>λοιπών</w:t>
                            </w:r>
                            <w:r w:rsidRPr="005511E3">
                              <w:rPr>
                                <w:b/>
                                <w:color w:val="021142"/>
                                <w:spacing w:val="-3"/>
                                <w:sz w:val="32"/>
                                <w:lang w:val="el-GR"/>
                              </w:rPr>
                              <w:t xml:space="preserve"> </w:t>
                            </w:r>
                            <w:r w:rsidRPr="005511E3">
                              <w:rPr>
                                <w:b/>
                                <w:color w:val="021142"/>
                                <w:sz w:val="32"/>
                                <w:lang w:val="el-GR"/>
                              </w:rPr>
                              <w:t>χρηματοοικονομικών</w:t>
                            </w:r>
                            <w:r w:rsidRPr="005511E3">
                              <w:rPr>
                                <w:b/>
                                <w:color w:val="021142"/>
                                <w:spacing w:val="-2"/>
                                <w:sz w:val="32"/>
                                <w:lang w:val="el-GR"/>
                              </w:rPr>
                              <w:t xml:space="preserve"> </w:t>
                            </w:r>
                            <w:r w:rsidRPr="005511E3">
                              <w:rPr>
                                <w:b/>
                                <w:color w:val="021142"/>
                                <w:sz w:val="32"/>
                                <w:lang w:val="el-GR"/>
                              </w:rPr>
                              <w:t>δεικτών</w:t>
                            </w:r>
                          </w:p>
                        </w:txbxContent>
                      </wps:txbx>
                      <wps:bodyPr rot="0" vert="horz" wrap="square" lIns="0" tIns="0" rIns="0" bIns="0" anchor="t" anchorCtr="0" upright="1">
                        <a:noAutofit/>
                      </wps:bodyPr>
                    </wps:wsp>
                  </a:graphicData>
                </a:graphic>
              </wp:inline>
            </w:drawing>
          </mc:Choice>
          <mc:Fallback>
            <w:pict>
              <v:shape w14:anchorId="66DDEFCF" id="docshape109" o:spid="_x0000_s1032" type="#_x0000_t202" style="width:523.3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" fillcolor="#e6e7e8" stroked="f">
                <v:textbox inset="0,0,0,0">
                  <w:txbxContent>
                    <w:p w14:paraId="20F5BCB6" w14:textId="77777777" w:rsidR="00D576A5" w:rsidRPr="005511E3" w:rsidRDefault="00D576A5">
                      <w:pPr>
                        <w:spacing w:before="111" w:line="235" w:lineRule="auto"/>
                        <w:ind w:left="160" w:right="621"/>
                        <w:rPr>
                          <w:b/>
                          <w:color w:val="000000"/>
                          <w:sz w:val="32"/>
                          <w:lang w:val="el-GR"/>
                        </w:rPr>
                      </w:pPr>
                      <w:r w:rsidRPr="005511E3">
                        <w:rPr>
                          <w:b/>
                          <w:color w:val="021142"/>
                          <w:sz w:val="32"/>
                          <w:lang w:val="el-GR"/>
                        </w:rPr>
                        <w:t>Ορολογία</w:t>
                      </w:r>
                      <w:r w:rsidRPr="005511E3">
                        <w:rPr>
                          <w:b/>
                          <w:color w:val="021142"/>
                          <w:spacing w:val="-17"/>
                          <w:sz w:val="32"/>
                          <w:lang w:val="el-GR"/>
                        </w:rPr>
                        <w:t xml:space="preserve"> </w:t>
                      </w:r>
                      <w:r w:rsidRPr="005511E3">
                        <w:rPr>
                          <w:b/>
                          <w:color w:val="021142"/>
                          <w:sz w:val="32"/>
                          <w:lang w:val="el-GR"/>
                        </w:rPr>
                        <w:t>–</w:t>
                      </w:r>
                      <w:r w:rsidRPr="005511E3">
                        <w:rPr>
                          <w:b/>
                          <w:color w:val="021142"/>
                          <w:spacing w:val="-17"/>
                          <w:sz w:val="32"/>
                          <w:lang w:val="el-GR"/>
                        </w:rPr>
                        <w:t xml:space="preserve"> </w:t>
                      </w:r>
                      <w:r w:rsidRPr="005511E3">
                        <w:rPr>
                          <w:b/>
                          <w:color w:val="021142"/>
                          <w:sz w:val="32"/>
                          <w:lang w:val="el-GR"/>
                        </w:rPr>
                        <w:t>Ορισμός</w:t>
                      </w:r>
                      <w:r w:rsidRPr="005511E3">
                        <w:rPr>
                          <w:b/>
                          <w:color w:val="021142"/>
                          <w:spacing w:val="-17"/>
                          <w:sz w:val="32"/>
                          <w:lang w:val="el-GR"/>
                        </w:rPr>
                        <w:t xml:space="preserve"> </w:t>
                      </w:r>
                      <w:r w:rsidRPr="005511E3">
                        <w:rPr>
                          <w:b/>
                          <w:color w:val="021142"/>
                          <w:sz w:val="32"/>
                          <w:lang w:val="el-GR"/>
                        </w:rPr>
                        <w:t>Εναλλακτικών</w:t>
                      </w:r>
                      <w:r w:rsidRPr="005511E3">
                        <w:rPr>
                          <w:b/>
                          <w:color w:val="021142"/>
                          <w:spacing w:val="-16"/>
                          <w:sz w:val="32"/>
                          <w:lang w:val="el-GR"/>
                        </w:rPr>
                        <w:t xml:space="preserve"> </w:t>
                      </w:r>
                      <w:r w:rsidRPr="005511E3">
                        <w:rPr>
                          <w:b/>
                          <w:color w:val="021142"/>
                          <w:sz w:val="32"/>
                          <w:lang w:val="el-GR"/>
                        </w:rPr>
                        <w:t>Δεικτών</w:t>
                      </w:r>
                      <w:r w:rsidRPr="005511E3">
                        <w:rPr>
                          <w:b/>
                          <w:color w:val="021142"/>
                          <w:spacing w:val="-17"/>
                          <w:sz w:val="32"/>
                          <w:lang w:val="el-GR"/>
                        </w:rPr>
                        <w:t xml:space="preserve"> </w:t>
                      </w:r>
                      <w:r w:rsidRPr="005511E3">
                        <w:rPr>
                          <w:b/>
                          <w:color w:val="021142"/>
                          <w:sz w:val="32"/>
                          <w:lang w:val="el-GR"/>
                        </w:rPr>
                        <w:t>Μέτρησης</w:t>
                      </w:r>
                      <w:r w:rsidRPr="005511E3">
                        <w:rPr>
                          <w:b/>
                          <w:color w:val="021142"/>
                          <w:spacing w:val="-17"/>
                          <w:sz w:val="32"/>
                          <w:lang w:val="el-GR"/>
                        </w:rPr>
                        <w:t xml:space="preserve"> </w:t>
                      </w:r>
                      <w:r w:rsidRPr="005511E3">
                        <w:rPr>
                          <w:b/>
                          <w:color w:val="021142"/>
                          <w:sz w:val="32"/>
                          <w:lang w:val="el-GR"/>
                        </w:rPr>
                        <w:t>της</w:t>
                      </w:r>
                      <w:r w:rsidRPr="005511E3">
                        <w:rPr>
                          <w:b/>
                          <w:color w:val="021142"/>
                          <w:spacing w:val="-16"/>
                          <w:sz w:val="32"/>
                          <w:lang w:val="el-GR"/>
                        </w:rPr>
                        <w:t xml:space="preserve"> </w:t>
                      </w:r>
                      <w:r w:rsidRPr="005511E3">
                        <w:rPr>
                          <w:b/>
                          <w:color w:val="021142"/>
                          <w:sz w:val="32"/>
                          <w:lang w:val="el-GR"/>
                        </w:rPr>
                        <w:t>Απόδοσης</w:t>
                      </w:r>
                      <w:r w:rsidRPr="005511E3">
                        <w:rPr>
                          <w:b/>
                          <w:color w:val="021142"/>
                          <w:spacing w:val="-74"/>
                          <w:sz w:val="32"/>
                          <w:lang w:val="el-GR"/>
                        </w:rPr>
                        <w:t xml:space="preserve"> </w:t>
                      </w:r>
                      <w:r w:rsidRPr="005511E3">
                        <w:rPr>
                          <w:b/>
                          <w:color w:val="021142"/>
                          <w:sz w:val="32"/>
                          <w:lang w:val="el-GR"/>
                        </w:rPr>
                        <w:t>(ΕΔΜΑ)</w:t>
                      </w:r>
                      <w:r w:rsidRPr="005511E3">
                        <w:rPr>
                          <w:b/>
                          <w:color w:val="021142"/>
                          <w:spacing w:val="-3"/>
                          <w:sz w:val="32"/>
                          <w:lang w:val="el-GR"/>
                        </w:rPr>
                        <w:t xml:space="preserve"> </w:t>
                      </w:r>
                      <w:r w:rsidRPr="005511E3">
                        <w:rPr>
                          <w:b/>
                          <w:color w:val="021142"/>
                          <w:sz w:val="32"/>
                          <w:lang w:val="el-GR"/>
                        </w:rPr>
                        <w:t>και</w:t>
                      </w:r>
                      <w:r w:rsidRPr="005511E3">
                        <w:rPr>
                          <w:b/>
                          <w:color w:val="021142"/>
                          <w:spacing w:val="-2"/>
                          <w:sz w:val="32"/>
                          <w:lang w:val="el-GR"/>
                        </w:rPr>
                        <w:t xml:space="preserve"> </w:t>
                      </w:r>
                      <w:r w:rsidRPr="005511E3">
                        <w:rPr>
                          <w:b/>
                          <w:color w:val="021142"/>
                          <w:sz w:val="32"/>
                          <w:lang w:val="el-GR"/>
                        </w:rPr>
                        <w:t>λοιπών</w:t>
                      </w:r>
                      <w:r w:rsidRPr="005511E3">
                        <w:rPr>
                          <w:b/>
                          <w:color w:val="021142"/>
                          <w:spacing w:val="-3"/>
                          <w:sz w:val="32"/>
                          <w:lang w:val="el-GR"/>
                        </w:rPr>
                        <w:t xml:space="preserve"> </w:t>
                      </w:r>
                      <w:r w:rsidRPr="005511E3">
                        <w:rPr>
                          <w:b/>
                          <w:color w:val="021142"/>
                          <w:sz w:val="32"/>
                          <w:lang w:val="el-GR"/>
                        </w:rPr>
                        <w:t>χρηματοοικονομικών</w:t>
                      </w:r>
                      <w:r w:rsidRPr="005511E3">
                        <w:rPr>
                          <w:b/>
                          <w:color w:val="021142"/>
                          <w:spacing w:val="-2"/>
                          <w:sz w:val="32"/>
                          <w:lang w:val="el-GR"/>
                        </w:rPr>
                        <w:t xml:space="preserve"> </w:t>
                      </w:r>
                      <w:r w:rsidRPr="005511E3">
                        <w:rPr>
                          <w:b/>
                          <w:color w:val="021142"/>
                          <w:sz w:val="32"/>
                          <w:lang w:val="el-GR"/>
                        </w:rPr>
                        <w:t>δεικτών</w:t>
                      </w:r>
                    </w:p>
                  </w:txbxContent>
                </v:textbox>
                <w10:anchorlock/>
              </v:shape>
            </w:pict>
          </mc:Fallback>
        </mc:AlternateContent>
      </w:r>
    </w:p>
    <w:p w14:paraId="0CA78178" w14:textId="77777777" w:rsidR="00852D18" w:rsidRDefault="00852D18">
      <w:pPr>
        <w:pStyle w:val="BodyText"/>
        <w:spacing w:before="6"/>
        <w:rPr>
          <w:b/>
          <w:sz w:val="11"/>
        </w:rPr>
      </w:pPr>
    </w:p>
    <w:p w14:paraId="111EA0E7" w14:textId="77777777" w:rsidR="00681CCA" w:rsidRPr="00681CCA" w:rsidRDefault="00681CCA" w:rsidP="00681CCA">
      <w:pPr>
        <w:pStyle w:val="ListParagraph"/>
        <w:tabs>
          <w:tab w:val="left" w:pos="402"/>
        </w:tabs>
        <w:spacing w:before="100" w:line="242" w:lineRule="auto"/>
        <w:rPr>
          <w:lang w:val="el-GR"/>
        </w:rPr>
      </w:pPr>
    </w:p>
    <w:p w14:paraId="5F0F7C42" w14:textId="4AEFD04F" w:rsidR="00852D18" w:rsidRPr="005511E3" w:rsidRDefault="005511E3" w:rsidP="0063742F">
      <w:pPr>
        <w:pStyle w:val="ListParagraph"/>
        <w:numPr>
          <w:ilvl w:val="0"/>
          <w:numId w:val="19"/>
        </w:numPr>
        <w:tabs>
          <w:tab w:val="left" w:pos="402"/>
        </w:tabs>
        <w:spacing w:before="100" w:line="242" w:lineRule="auto"/>
        <w:rPr>
          <w:lang w:val="el-GR"/>
        </w:rPr>
      </w:pPr>
      <w:r w:rsidRPr="005511E3">
        <w:rPr>
          <w:b/>
          <w:color w:val="021142"/>
          <w:spacing w:val="-1"/>
          <w:lang w:val="el-GR"/>
        </w:rPr>
        <w:t>Απόδοση</w:t>
      </w:r>
      <w:r w:rsidRPr="005511E3">
        <w:rPr>
          <w:b/>
          <w:color w:val="021142"/>
          <w:spacing w:val="-12"/>
          <w:lang w:val="el-GR"/>
        </w:rPr>
        <w:t xml:space="preserve"> </w:t>
      </w:r>
      <w:r w:rsidRPr="005511E3">
        <w:rPr>
          <w:b/>
          <w:color w:val="021142"/>
          <w:spacing w:val="-1"/>
          <w:lang w:val="el-GR"/>
        </w:rPr>
        <w:t>Ενσώματων</w:t>
      </w:r>
      <w:r w:rsidRPr="005511E3">
        <w:rPr>
          <w:b/>
          <w:color w:val="021142"/>
          <w:spacing w:val="-12"/>
          <w:lang w:val="el-GR"/>
        </w:rPr>
        <w:t xml:space="preserve"> </w:t>
      </w:r>
      <w:r w:rsidRPr="005511E3">
        <w:rPr>
          <w:b/>
          <w:color w:val="021142"/>
          <w:spacing w:val="-1"/>
          <w:lang w:val="el-GR"/>
        </w:rPr>
        <w:t>Ιδίων</w:t>
      </w:r>
      <w:r w:rsidRPr="005511E3">
        <w:rPr>
          <w:b/>
          <w:color w:val="021142"/>
          <w:spacing w:val="-12"/>
          <w:lang w:val="el-GR"/>
        </w:rPr>
        <w:t xml:space="preserve"> </w:t>
      </w:r>
      <w:r w:rsidRPr="005511E3">
        <w:rPr>
          <w:b/>
          <w:color w:val="021142"/>
          <w:spacing w:val="-1"/>
          <w:lang w:val="el-GR"/>
        </w:rPr>
        <w:t>Κεφαλαίων:</w:t>
      </w:r>
      <w:r w:rsidRPr="005511E3">
        <w:rPr>
          <w:b/>
          <w:color w:val="021142"/>
          <w:spacing w:val="-10"/>
          <w:lang w:val="el-GR"/>
        </w:rPr>
        <w:t xml:space="preserve"> </w:t>
      </w:r>
      <w:r w:rsidRPr="005511E3">
        <w:rPr>
          <w:color w:val="021142"/>
          <w:spacing w:val="-1"/>
          <w:lang w:val="el-GR"/>
        </w:rPr>
        <w:t>Ο</w:t>
      </w:r>
      <w:r w:rsidRPr="005511E3">
        <w:rPr>
          <w:color w:val="021142"/>
          <w:spacing w:val="-12"/>
          <w:lang w:val="el-GR"/>
        </w:rPr>
        <w:t xml:space="preserve"> </w:t>
      </w:r>
      <w:r w:rsidRPr="005511E3">
        <w:rPr>
          <w:color w:val="021142"/>
          <w:spacing w:val="-1"/>
          <w:lang w:val="el-GR"/>
        </w:rPr>
        <w:t>λόγος</w:t>
      </w:r>
      <w:r w:rsidRPr="005511E3">
        <w:rPr>
          <w:color w:val="021142"/>
          <w:spacing w:val="-12"/>
          <w:lang w:val="el-GR"/>
        </w:rPr>
        <w:t xml:space="preserve"> </w:t>
      </w:r>
      <w:r w:rsidRPr="005511E3">
        <w:rPr>
          <w:color w:val="021142"/>
          <w:spacing w:val="-1"/>
          <w:lang w:val="el-GR"/>
        </w:rPr>
        <w:t>των</w:t>
      </w:r>
      <w:r w:rsidRPr="005511E3">
        <w:rPr>
          <w:color w:val="021142"/>
          <w:spacing w:val="-12"/>
          <w:lang w:val="el-GR"/>
        </w:rPr>
        <w:t xml:space="preserve"> </w:t>
      </w:r>
      <w:r w:rsidRPr="005511E3">
        <w:rPr>
          <w:color w:val="021142"/>
          <w:spacing w:val="-1"/>
          <w:lang w:val="el-GR"/>
        </w:rPr>
        <w:t>προσαρμοσμένων</w:t>
      </w:r>
      <w:r w:rsidRPr="005511E3">
        <w:rPr>
          <w:color w:val="021142"/>
          <w:spacing w:val="-12"/>
          <w:lang w:val="el-GR"/>
        </w:rPr>
        <w:t xml:space="preserve"> </w:t>
      </w:r>
      <w:r w:rsidRPr="005511E3">
        <w:rPr>
          <w:color w:val="021142"/>
          <w:spacing w:val="-1"/>
          <w:lang w:val="el-GR"/>
        </w:rPr>
        <w:t>καθαρών</w:t>
      </w:r>
      <w:r w:rsidRPr="005511E3">
        <w:rPr>
          <w:color w:val="021142"/>
          <w:spacing w:val="-12"/>
          <w:lang w:val="el-GR"/>
        </w:rPr>
        <w:t xml:space="preserve"> </w:t>
      </w:r>
      <w:r w:rsidRPr="005511E3">
        <w:rPr>
          <w:color w:val="021142"/>
          <w:lang w:val="el-GR"/>
        </w:rPr>
        <w:t>κερδών</w:t>
      </w:r>
      <w:r w:rsidR="008B46E3" w:rsidRPr="008B46E3">
        <w:rPr>
          <w:color w:val="021142"/>
          <w:lang w:val="el-GR"/>
        </w:rPr>
        <w:t xml:space="preserve">, </w:t>
      </w:r>
      <w:r w:rsidR="008B46E3">
        <w:rPr>
          <w:color w:val="021142"/>
          <w:lang w:val="el-GR"/>
        </w:rPr>
        <w:t xml:space="preserve">μετά </w:t>
      </w:r>
      <w:r w:rsidR="00033BFB">
        <w:rPr>
          <w:color w:val="021142"/>
          <w:lang w:val="el-GR"/>
        </w:rPr>
        <w:t xml:space="preserve">την διανομή απόδοσης στους κατόχους κεφαλαιακών μέσων ΑΤ1, </w:t>
      </w:r>
      <w:r w:rsidRPr="005511E3">
        <w:rPr>
          <w:color w:val="021142"/>
          <w:lang w:val="el-GR"/>
        </w:rPr>
        <w:t>προς</w:t>
      </w:r>
      <w:r w:rsidRPr="005511E3">
        <w:rPr>
          <w:color w:val="021142"/>
          <w:spacing w:val="-12"/>
          <w:lang w:val="el-GR"/>
        </w:rPr>
        <w:t xml:space="preserve"> </w:t>
      </w:r>
      <w:r w:rsidR="00A3397C">
        <w:rPr>
          <w:color w:val="021142"/>
          <w:spacing w:val="-12"/>
          <w:lang w:val="el-GR"/>
        </w:rPr>
        <w:t xml:space="preserve">το μέσο υπόλοιπο της </w:t>
      </w:r>
      <w:r w:rsidRPr="005511E3">
        <w:rPr>
          <w:color w:val="021142"/>
          <w:lang w:val="el-GR"/>
        </w:rPr>
        <w:t>Ενσώματη</w:t>
      </w:r>
      <w:r w:rsidR="00A3397C">
        <w:rPr>
          <w:color w:val="021142"/>
          <w:lang w:val="el-GR"/>
        </w:rPr>
        <w:t>ς</w:t>
      </w:r>
      <w:r w:rsidR="00D24B08">
        <w:rPr>
          <w:color w:val="021142"/>
          <w:lang w:val="el-GR"/>
        </w:rPr>
        <w:t xml:space="preserve"> </w:t>
      </w:r>
      <w:r w:rsidRPr="005511E3">
        <w:rPr>
          <w:color w:val="021142"/>
          <w:spacing w:val="-52"/>
          <w:lang w:val="el-GR"/>
        </w:rPr>
        <w:t xml:space="preserve"> </w:t>
      </w:r>
      <w:r w:rsidRPr="005511E3">
        <w:rPr>
          <w:color w:val="021142"/>
          <w:lang w:val="el-GR"/>
        </w:rPr>
        <w:t>Λογιστική</w:t>
      </w:r>
      <w:r w:rsidR="00A3397C">
        <w:rPr>
          <w:color w:val="021142"/>
          <w:lang w:val="el-GR"/>
        </w:rPr>
        <w:t>ς</w:t>
      </w:r>
      <w:r w:rsidRPr="005511E3">
        <w:rPr>
          <w:color w:val="021142"/>
          <w:spacing w:val="-1"/>
          <w:lang w:val="el-GR"/>
        </w:rPr>
        <w:t xml:space="preserve"> </w:t>
      </w:r>
      <w:r w:rsidRPr="005511E3">
        <w:rPr>
          <w:color w:val="021142"/>
          <w:lang w:val="el-GR"/>
        </w:rPr>
        <w:t>Αξία</w:t>
      </w:r>
      <w:r w:rsidR="00A3397C">
        <w:rPr>
          <w:color w:val="021142"/>
          <w:lang w:val="el-GR"/>
        </w:rPr>
        <w:t>ς</w:t>
      </w:r>
      <w:r w:rsidRPr="005511E3">
        <w:rPr>
          <w:color w:val="021142"/>
          <w:lang w:val="el-GR"/>
        </w:rPr>
        <w:t xml:space="preserve"> (</w:t>
      </w:r>
      <w:r>
        <w:rPr>
          <w:color w:val="021142"/>
        </w:rPr>
        <w:t>Tangible</w:t>
      </w:r>
      <w:r w:rsidRPr="005511E3">
        <w:rPr>
          <w:color w:val="021142"/>
          <w:spacing w:val="-1"/>
          <w:lang w:val="el-GR"/>
        </w:rPr>
        <w:t xml:space="preserve"> </w:t>
      </w:r>
      <w:r>
        <w:rPr>
          <w:color w:val="021142"/>
        </w:rPr>
        <w:t>Book</w:t>
      </w:r>
      <w:r w:rsidRPr="005511E3">
        <w:rPr>
          <w:color w:val="021142"/>
          <w:lang w:val="el-GR"/>
        </w:rPr>
        <w:t xml:space="preserve"> </w:t>
      </w:r>
      <w:r>
        <w:rPr>
          <w:color w:val="021142"/>
        </w:rPr>
        <w:t>Value</w:t>
      </w:r>
      <w:r w:rsidRPr="005511E3">
        <w:rPr>
          <w:color w:val="021142"/>
          <w:lang w:val="el-GR"/>
        </w:rPr>
        <w:t>).</w:t>
      </w:r>
    </w:p>
    <w:p w14:paraId="701ECE9C" w14:textId="7FA1986E" w:rsidR="00852D18" w:rsidRPr="005511E3" w:rsidRDefault="005511E3" w:rsidP="0063742F">
      <w:pPr>
        <w:pStyle w:val="ListParagraph"/>
        <w:numPr>
          <w:ilvl w:val="0"/>
          <w:numId w:val="19"/>
        </w:numPr>
        <w:tabs>
          <w:tab w:val="left" w:pos="422"/>
        </w:tabs>
        <w:spacing w:before="104" w:line="247" w:lineRule="auto"/>
        <w:rPr>
          <w:lang w:val="el-GR"/>
        </w:rPr>
      </w:pPr>
      <w:r w:rsidRPr="005511E3">
        <w:rPr>
          <w:b/>
          <w:color w:val="021142"/>
          <w:lang w:val="el-GR"/>
        </w:rPr>
        <w:t>Βασικά Κέρδη ανά μετοχή (</w:t>
      </w:r>
      <w:r>
        <w:rPr>
          <w:b/>
          <w:color w:val="021142"/>
        </w:rPr>
        <w:t>Basic</w:t>
      </w:r>
      <w:r w:rsidRPr="005511E3">
        <w:rPr>
          <w:b/>
          <w:color w:val="021142"/>
          <w:lang w:val="el-GR"/>
        </w:rPr>
        <w:t xml:space="preserve"> </w:t>
      </w:r>
      <w:r>
        <w:rPr>
          <w:b/>
          <w:color w:val="021142"/>
        </w:rPr>
        <w:t>Earnings</w:t>
      </w:r>
      <w:r w:rsidRPr="005511E3">
        <w:rPr>
          <w:b/>
          <w:color w:val="021142"/>
          <w:lang w:val="el-GR"/>
        </w:rPr>
        <w:t xml:space="preserve"> </w:t>
      </w:r>
      <w:r>
        <w:rPr>
          <w:b/>
          <w:color w:val="021142"/>
        </w:rPr>
        <w:t>per</w:t>
      </w:r>
      <w:r w:rsidRPr="005511E3">
        <w:rPr>
          <w:b/>
          <w:color w:val="021142"/>
          <w:lang w:val="el-GR"/>
        </w:rPr>
        <w:t xml:space="preserve"> </w:t>
      </w:r>
      <w:r>
        <w:rPr>
          <w:b/>
          <w:color w:val="021142"/>
        </w:rPr>
        <w:t>share</w:t>
      </w:r>
      <w:r w:rsidRPr="005511E3">
        <w:rPr>
          <w:b/>
          <w:color w:val="021142"/>
          <w:lang w:val="el-GR"/>
        </w:rPr>
        <w:t xml:space="preserve"> - </w:t>
      </w:r>
      <w:r>
        <w:rPr>
          <w:b/>
          <w:color w:val="021142"/>
        </w:rPr>
        <w:t>EPS</w:t>
      </w:r>
      <w:r w:rsidRPr="005511E3">
        <w:rPr>
          <w:b/>
          <w:color w:val="021142"/>
          <w:lang w:val="el-GR"/>
        </w:rPr>
        <w:t xml:space="preserve">): </w:t>
      </w:r>
      <w:r w:rsidRPr="005511E3">
        <w:rPr>
          <w:color w:val="021142"/>
          <w:lang w:val="el-GR"/>
        </w:rPr>
        <w:t>Ο λόγος των καθαρών κερδών που αναλογούν</w:t>
      </w:r>
      <w:r w:rsidRPr="005511E3">
        <w:rPr>
          <w:color w:val="021142"/>
          <w:spacing w:val="1"/>
          <w:lang w:val="el-GR"/>
        </w:rPr>
        <w:t xml:space="preserve"> </w:t>
      </w:r>
      <w:r w:rsidRPr="005511E3">
        <w:rPr>
          <w:color w:val="021142"/>
          <w:lang w:val="el-GR"/>
        </w:rPr>
        <w:t xml:space="preserve">στους κατόχους κοινών μετοχών </w:t>
      </w:r>
      <w:r w:rsidR="006D4D51">
        <w:rPr>
          <w:color w:val="021142"/>
          <w:lang w:val="el-GR"/>
        </w:rPr>
        <w:t>της μητρικής εταιρείας</w:t>
      </w:r>
      <w:r w:rsidR="006D4D51" w:rsidRPr="005511E3">
        <w:rPr>
          <w:color w:val="021142"/>
          <w:lang w:val="el-GR"/>
        </w:rPr>
        <w:t xml:space="preserve"> </w:t>
      </w:r>
      <w:r w:rsidRPr="005511E3">
        <w:rPr>
          <w:color w:val="021142"/>
          <w:lang w:val="el-GR"/>
        </w:rPr>
        <w:t>προς το μέσο σταθμισμένο αριθμό κοινών μετοχών σε κυκλοφορία κατά τη</w:t>
      </w:r>
      <w:r w:rsidRPr="005511E3">
        <w:rPr>
          <w:color w:val="021142"/>
          <w:spacing w:val="1"/>
          <w:lang w:val="el-GR"/>
        </w:rPr>
        <w:t xml:space="preserve"> </w:t>
      </w:r>
      <w:r w:rsidRPr="005511E3">
        <w:rPr>
          <w:color w:val="021142"/>
          <w:lang w:val="el-GR"/>
        </w:rPr>
        <w:t>διάρκεια</w:t>
      </w:r>
      <w:r w:rsidRPr="005511E3">
        <w:rPr>
          <w:color w:val="021142"/>
          <w:spacing w:val="-4"/>
          <w:lang w:val="el-GR"/>
        </w:rPr>
        <w:t xml:space="preserve"> </w:t>
      </w:r>
      <w:r w:rsidRPr="005511E3">
        <w:rPr>
          <w:color w:val="021142"/>
          <w:lang w:val="el-GR"/>
        </w:rPr>
        <w:t>της</w:t>
      </w:r>
      <w:r w:rsidRPr="005511E3">
        <w:rPr>
          <w:color w:val="021142"/>
          <w:spacing w:val="-3"/>
          <w:lang w:val="el-GR"/>
        </w:rPr>
        <w:t xml:space="preserve"> </w:t>
      </w:r>
      <w:r w:rsidRPr="005511E3">
        <w:rPr>
          <w:color w:val="021142"/>
          <w:lang w:val="el-GR"/>
        </w:rPr>
        <w:t>περιόδου,</w:t>
      </w:r>
      <w:r w:rsidRPr="005511E3">
        <w:rPr>
          <w:color w:val="021142"/>
          <w:spacing w:val="-3"/>
          <w:lang w:val="el-GR"/>
        </w:rPr>
        <w:t xml:space="preserve"> </w:t>
      </w:r>
      <w:r w:rsidRPr="005511E3">
        <w:rPr>
          <w:color w:val="021142"/>
          <w:lang w:val="el-GR"/>
        </w:rPr>
        <w:t>εξαιρώντας</w:t>
      </w:r>
      <w:r w:rsidRPr="005511E3">
        <w:rPr>
          <w:color w:val="021142"/>
          <w:spacing w:val="-3"/>
          <w:lang w:val="el-GR"/>
        </w:rPr>
        <w:t xml:space="preserve"> </w:t>
      </w:r>
      <w:r w:rsidRPr="005511E3">
        <w:rPr>
          <w:color w:val="021142"/>
          <w:lang w:val="el-GR"/>
        </w:rPr>
        <w:t>το</w:t>
      </w:r>
      <w:r w:rsidRPr="005511E3">
        <w:rPr>
          <w:color w:val="021142"/>
          <w:spacing w:val="-3"/>
          <w:lang w:val="el-GR"/>
        </w:rPr>
        <w:t xml:space="preserve"> </w:t>
      </w:r>
      <w:r w:rsidRPr="005511E3">
        <w:rPr>
          <w:color w:val="021142"/>
          <w:lang w:val="el-GR"/>
        </w:rPr>
        <w:t>μέσο</w:t>
      </w:r>
      <w:r w:rsidRPr="005511E3">
        <w:rPr>
          <w:color w:val="021142"/>
          <w:spacing w:val="-3"/>
          <w:lang w:val="el-GR"/>
        </w:rPr>
        <w:t xml:space="preserve"> </w:t>
      </w:r>
      <w:r w:rsidRPr="005511E3">
        <w:rPr>
          <w:color w:val="021142"/>
          <w:lang w:val="el-GR"/>
        </w:rPr>
        <w:t>αριθμό</w:t>
      </w:r>
      <w:r w:rsidRPr="005511E3">
        <w:rPr>
          <w:color w:val="021142"/>
          <w:spacing w:val="-3"/>
          <w:lang w:val="el-GR"/>
        </w:rPr>
        <w:t xml:space="preserve"> </w:t>
      </w:r>
      <w:r w:rsidRPr="005511E3">
        <w:rPr>
          <w:color w:val="021142"/>
          <w:lang w:val="el-GR"/>
        </w:rPr>
        <w:t>ιδίων</w:t>
      </w:r>
      <w:r w:rsidRPr="005511E3">
        <w:rPr>
          <w:color w:val="021142"/>
          <w:spacing w:val="-3"/>
          <w:lang w:val="el-GR"/>
        </w:rPr>
        <w:t xml:space="preserve"> </w:t>
      </w:r>
      <w:r w:rsidRPr="005511E3">
        <w:rPr>
          <w:color w:val="021142"/>
          <w:lang w:val="el-GR"/>
        </w:rPr>
        <w:t>μετοχών</w:t>
      </w:r>
      <w:r w:rsidRPr="005511E3">
        <w:rPr>
          <w:color w:val="021142"/>
          <w:spacing w:val="-3"/>
          <w:lang w:val="el-GR"/>
        </w:rPr>
        <w:t xml:space="preserve"> </w:t>
      </w:r>
      <w:r w:rsidRPr="005511E3">
        <w:rPr>
          <w:color w:val="021142"/>
          <w:lang w:val="el-GR"/>
        </w:rPr>
        <w:t>κατά</w:t>
      </w:r>
      <w:r w:rsidRPr="005511E3">
        <w:rPr>
          <w:color w:val="021142"/>
          <w:spacing w:val="-3"/>
          <w:lang w:val="el-GR"/>
        </w:rPr>
        <w:t xml:space="preserve"> </w:t>
      </w:r>
      <w:r w:rsidRPr="005511E3">
        <w:rPr>
          <w:color w:val="021142"/>
          <w:lang w:val="el-GR"/>
        </w:rPr>
        <w:t>τη</w:t>
      </w:r>
      <w:r w:rsidRPr="005511E3">
        <w:rPr>
          <w:color w:val="021142"/>
          <w:spacing w:val="-3"/>
          <w:lang w:val="el-GR"/>
        </w:rPr>
        <w:t xml:space="preserve"> </w:t>
      </w:r>
      <w:r w:rsidRPr="005511E3">
        <w:rPr>
          <w:color w:val="021142"/>
          <w:lang w:val="el-GR"/>
        </w:rPr>
        <w:t>διάρκεια</w:t>
      </w:r>
      <w:r w:rsidRPr="005511E3">
        <w:rPr>
          <w:color w:val="021142"/>
          <w:spacing w:val="-3"/>
          <w:lang w:val="el-GR"/>
        </w:rPr>
        <w:t xml:space="preserve"> </w:t>
      </w:r>
      <w:r w:rsidRPr="005511E3">
        <w:rPr>
          <w:color w:val="021142"/>
          <w:lang w:val="el-GR"/>
        </w:rPr>
        <w:t>της</w:t>
      </w:r>
      <w:r w:rsidRPr="005511E3">
        <w:rPr>
          <w:color w:val="021142"/>
          <w:spacing w:val="-3"/>
          <w:lang w:val="el-GR"/>
        </w:rPr>
        <w:t xml:space="preserve"> </w:t>
      </w:r>
      <w:r w:rsidRPr="005511E3">
        <w:rPr>
          <w:color w:val="021142"/>
          <w:lang w:val="el-GR"/>
        </w:rPr>
        <w:t>περιόδου.</w:t>
      </w:r>
    </w:p>
    <w:p w14:paraId="68E92052" w14:textId="77777777" w:rsidR="00852D18" w:rsidRPr="005511E3" w:rsidRDefault="005511E3" w:rsidP="0063742F">
      <w:pPr>
        <w:pStyle w:val="ListParagraph"/>
        <w:numPr>
          <w:ilvl w:val="0"/>
          <w:numId w:val="19"/>
        </w:numPr>
        <w:tabs>
          <w:tab w:val="left" w:pos="427"/>
        </w:tabs>
        <w:spacing w:before="101" w:line="242" w:lineRule="auto"/>
        <w:ind w:right="298"/>
        <w:rPr>
          <w:lang w:val="el-GR"/>
        </w:rPr>
      </w:pPr>
      <w:r w:rsidRPr="005511E3">
        <w:rPr>
          <w:b/>
          <w:color w:val="021142"/>
          <w:lang w:val="el-GR"/>
        </w:rPr>
        <w:t xml:space="preserve">Δείκτης Δανείων προς Καταθέσεις: </w:t>
      </w:r>
      <w:r w:rsidRPr="005511E3">
        <w:rPr>
          <w:color w:val="021142"/>
          <w:lang w:val="el-GR"/>
        </w:rPr>
        <w:t>Ο λόγος των δανείων και απαιτήσεων από πελάτες που επιμετρώνται στο</w:t>
      </w:r>
      <w:r w:rsidRPr="005511E3">
        <w:rPr>
          <w:color w:val="021142"/>
          <w:spacing w:val="1"/>
          <w:lang w:val="el-GR"/>
        </w:rPr>
        <w:t xml:space="preserve"> </w:t>
      </w:r>
      <w:r w:rsidRPr="005511E3">
        <w:rPr>
          <w:color w:val="021142"/>
          <w:lang w:val="el-GR"/>
        </w:rPr>
        <w:t>αποσβέσιμο</w:t>
      </w:r>
      <w:r w:rsidRPr="005511E3">
        <w:rPr>
          <w:color w:val="021142"/>
          <w:spacing w:val="-6"/>
          <w:lang w:val="el-GR"/>
        </w:rPr>
        <w:t xml:space="preserve"> </w:t>
      </w:r>
      <w:r w:rsidRPr="005511E3">
        <w:rPr>
          <w:color w:val="021142"/>
          <w:lang w:val="el-GR"/>
        </w:rPr>
        <w:t>κόστος</w:t>
      </w:r>
      <w:r w:rsidRPr="005511E3">
        <w:rPr>
          <w:color w:val="021142"/>
          <w:spacing w:val="-5"/>
          <w:lang w:val="el-GR"/>
        </w:rPr>
        <w:t xml:space="preserve"> </w:t>
      </w:r>
      <w:r w:rsidRPr="005511E3">
        <w:rPr>
          <w:color w:val="021142"/>
          <w:lang w:val="el-GR"/>
        </w:rPr>
        <w:t>(</w:t>
      </w:r>
      <w:r>
        <w:rPr>
          <w:color w:val="021142"/>
        </w:rPr>
        <w:t>amortised</w:t>
      </w:r>
      <w:r w:rsidRPr="005511E3">
        <w:rPr>
          <w:color w:val="021142"/>
          <w:spacing w:val="-5"/>
          <w:lang w:val="el-GR"/>
        </w:rPr>
        <w:t xml:space="preserve"> </w:t>
      </w:r>
      <w:r>
        <w:rPr>
          <w:color w:val="021142"/>
        </w:rPr>
        <w:t>cost</w:t>
      </w:r>
      <w:r w:rsidRPr="005511E3">
        <w:rPr>
          <w:color w:val="021142"/>
          <w:lang w:val="el-GR"/>
        </w:rPr>
        <w:t>)</w:t>
      </w:r>
      <w:r w:rsidRPr="005511E3">
        <w:rPr>
          <w:color w:val="021142"/>
          <w:spacing w:val="-6"/>
          <w:lang w:val="el-GR"/>
        </w:rPr>
        <w:t xml:space="preserve"> </w:t>
      </w:r>
      <w:r w:rsidRPr="005511E3">
        <w:rPr>
          <w:color w:val="021142"/>
          <w:lang w:val="el-GR"/>
        </w:rPr>
        <w:t>προς</w:t>
      </w:r>
      <w:r w:rsidRPr="005511E3">
        <w:rPr>
          <w:color w:val="021142"/>
          <w:spacing w:val="-5"/>
          <w:lang w:val="el-GR"/>
        </w:rPr>
        <w:t xml:space="preserve"> </w:t>
      </w:r>
      <w:r w:rsidRPr="005511E3">
        <w:rPr>
          <w:color w:val="021142"/>
          <w:lang w:val="el-GR"/>
        </w:rPr>
        <w:t>τις</w:t>
      </w:r>
      <w:r w:rsidRPr="005511E3">
        <w:rPr>
          <w:color w:val="021142"/>
          <w:spacing w:val="-5"/>
          <w:lang w:val="el-GR"/>
        </w:rPr>
        <w:t xml:space="preserve"> </w:t>
      </w:r>
      <w:r w:rsidRPr="005511E3">
        <w:rPr>
          <w:color w:val="021142"/>
          <w:lang w:val="el-GR"/>
        </w:rPr>
        <w:t>υποχρεώσεις</w:t>
      </w:r>
      <w:r w:rsidRPr="005511E3">
        <w:rPr>
          <w:color w:val="021142"/>
          <w:spacing w:val="-6"/>
          <w:lang w:val="el-GR"/>
        </w:rPr>
        <w:t xml:space="preserve"> </w:t>
      </w:r>
      <w:r w:rsidRPr="005511E3">
        <w:rPr>
          <w:color w:val="021142"/>
          <w:lang w:val="el-GR"/>
        </w:rPr>
        <w:t>προς</w:t>
      </w:r>
      <w:r w:rsidRPr="005511E3">
        <w:rPr>
          <w:color w:val="021142"/>
          <w:spacing w:val="-5"/>
          <w:lang w:val="el-GR"/>
        </w:rPr>
        <w:t xml:space="preserve"> </w:t>
      </w:r>
      <w:r w:rsidRPr="005511E3">
        <w:rPr>
          <w:color w:val="021142"/>
          <w:lang w:val="el-GR"/>
        </w:rPr>
        <w:t>πελάτες</w:t>
      </w:r>
      <w:r w:rsidRPr="005511E3">
        <w:rPr>
          <w:color w:val="021142"/>
          <w:spacing w:val="-5"/>
          <w:lang w:val="el-GR"/>
        </w:rPr>
        <w:t xml:space="preserve"> </w:t>
      </w:r>
      <w:r w:rsidRPr="005511E3">
        <w:rPr>
          <w:color w:val="021142"/>
          <w:lang w:val="el-GR"/>
        </w:rPr>
        <w:t>στο</w:t>
      </w:r>
      <w:r w:rsidRPr="005511E3">
        <w:rPr>
          <w:color w:val="021142"/>
          <w:spacing w:val="-6"/>
          <w:lang w:val="el-GR"/>
        </w:rPr>
        <w:t xml:space="preserve"> </w:t>
      </w:r>
      <w:r w:rsidRPr="005511E3">
        <w:rPr>
          <w:color w:val="021142"/>
          <w:lang w:val="el-GR"/>
        </w:rPr>
        <w:t>τέλος</w:t>
      </w:r>
      <w:r w:rsidRPr="005511E3">
        <w:rPr>
          <w:color w:val="021142"/>
          <w:spacing w:val="-5"/>
          <w:lang w:val="el-GR"/>
        </w:rPr>
        <w:t xml:space="preserve"> </w:t>
      </w:r>
      <w:r w:rsidRPr="005511E3">
        <w:rPr>
          <w:color w:val="021142"/>
          <w:lang w:val="el-GR"/>
        </w:rPr>
        <w:t>της</w:t>
      </w:r>
      <w:r w:rsidRPr="005511E3">
        <w:rPr>
          <w:color w:val="021142"/>
          <w:spacing w:val="-5"/>
          <w:lang w:val="el-GR"/>
        </w:rPr>
        <w:t xml:space="preserve"> </w:t>
      </w:r>
      <w:r w:rsidRPr="005511E3">
        <w:rPr>
          <w:color w:val="021142"/>
          <w:lang w:val="el-GR"/>
        </w:rPr>
        <w:t>υπό</w:t>
      </w:r>
      <w:r w:rsidRPr="005511E3">
        <w:rPr>
          <w:color w:val="021142"/>
          <w:spacing w:val="-6"/>
          <w:lang w:val="el-GR"/>
        </w:rPr>
        <w:t xml:space="preserve"> </w:t>
      </w:r>
      <w:r w:rsidRPr="005511E3">
        <w:rPr>
          <w:color w:val="021142"/>
          <w:lang w:val="el-GR"/>
        </w:rPr>
        <w:t>εξέταση</w:t>
      </w:r>
      <w:r w:rsidRPr="005511E3">
        <w:rPr>
          <w:color w:val="021142"/>
          <w:spacing w:val="-5"/>
          <w:lang w:val="el-GR"/>
        </w:rPr>
        <w:t xml:space="preserve"> </w:t>
      </w:r>
      <w:r w:rsidRPr="005511E3">
        <w:rPr>
          <w:color w:val="021142"/>
          <w:lang w:val="el-GR"/>
        </w:rPr>
        <w:t>περιόδου.</w:t>
      </w:r>
    </w:p>
    <w:p w14:paraId="5289C81F" w14:textId="60ADC24F" w:rsidR="00C11BB6" w:rsidRPr="00C11BB6" w:rsidRDefault="00C11BB6" w:rsidP="0063742F">
      <w:pPr>
        <w:pStyle w:val="ListParagraph"/>
        <w:numPr>
          <w:ilvl w:val="0"/>
          <w:numId w:val="19"/>
        </w:numPr>
        <w:tabs>
          <w:tab w:val="left" w:pos="424"/>
        </w:tabs>
        <w:spacing w:before="105" w:line="249" w:lineRule="auto"/>
        <w:rPr>
          <w:color w:val="021142"/>
          <w:lang w:val="el-GR"/>
        </w:rPr>
      </w:pPr>
      <w:r w:rsidRPr="00C11BB6">
        <w:rPr>
          <w:b/>
          <w:color w:val="021142"/>
          <w:lang w:val="el-GR"/>
        </w:rPr>
        <w:t>Δείκτης Εσόδων από αμοιβές και προμήθειες προς σύνολο ενεργητικού:</w:t>
      </w:r>
      <w:r w:rsidRPr="00C11BB6">
        <w:rPr>
          <w:color w:val="021142"/>
          <w:lang w:val="el-GR"/>
        </w:rPr>
        <w:t xml:space="preserve"> </w:t>
      </w:r>
      <w:r w:rsidR="006D4D51">
        <w:rPr>
          <w:color w:val="021142"/>
          <w:lang w:val="el-GR"/>
        </w:rPr>
        <w:t xml:space="preserve">Ο λόγος των εσόδων από αμοιβές και προμήθειες της </w:t>
      </w:r>
      <w:r w:rsidR="00D24B08">
        <w:rPr>
          <w:color w:val="021142"/>
          <w:lang w:val="el-GR"/>
        </w:rPr>
        <w:t>υπό</w:t>
      </w:r>
      <w:r w:rsidR="006D4D51">
        <w:rPr>
          <w:color w:val="021142"/>
          <w:lang w:val="el-GR"/>
        </w:rPr>
        <w:t xml:space="preserve"> εξέταση περιόδου σε </w:t>
      </w:r>
      <w:r w:rsidR="00D24B08" w:rsidRPr="004673FF">
        <w:rPr>
          <w:color w:val="021142"/>
          <w:lang w:val="el-GR"/>
        </w:rPr>
        <w:t>ετησιοποιημένη</w:t>
      </w:r>
      <w:r w:rsidR="00D24B08">
        <w:rPr>
          <w:color w:val="021142"/>
          <w:lang w:val="el-GR"/>
        </w:rPr>
        <w:t xml:space="preserve"> </w:t>
      </w:r>
      <w:r w:rsidR="006D4D51">
        <w:rPr>
          <w:color w:val="021142"/>
          <w:lang w:val="el-GR"/>
        </w:rPr>
        <w:t xml:space="preserve">βάση και διαιρούμενο προς το μέσο </w:t>
      </w:r>
      <w:r w:rsidR="00D24B08">
        <w:rPr>
          <w:color w:val="021142"/>
          <w:lang w:val="el-GR"/>
        </w:rPr>
        <w:t xml:space="preserve">υπόλοιπο του συνόλου ενεργητικού των συνεχιζόμενων δραστηριοτήτων </w:t>
      </w:r>
      <w:r w:rsidRPr="00C11BB6">
        <w:rPr>
          <w:color w:val="021142"/>
          <w:lang w:val="el-GR"/>
        </w:rPr>
        <w:t>(ο αριθμητικός μέσος όρος του συνόλου ενεργητικού, εξαιρουμένων των στοιχείων ενεργητικού από μη συνεχιζόμενες δραστηριότητες, στο τέλος της υπό εξέταση περιόδου, στο τέλος των ενδιάμεσων τριμήνων και στο τέλος της προηγούμενης περιόδου).</w:t>
      </w:r>
    </w:p>
    <w:p w14:paraId="0ACF4167" w14:textId="5ADF5512" w:rsidR="00852D18" w:rsidRPr="00C4445D" w:rsidRDefault="005511E3" w:rsidP="0063742F">
      <w:pPr>
        <w:pStyle w:val="ListParagraph"/>
        <w:numPr>
          <w:ilvl w:val="0"/>
          <w:numId w:val="19"/>
        </w:numPr>
        <w:tabs>
          <w:tab w:val="left" w:pos="424"/>
        </w:tabs>
        <w:spacing w:before="105" w:line="249" w:lineRule="auto"/>
        <w:rPr>
          <w:bCs/>
          <w:lang w:val="el-GR"/>
        </w:rPr>
      </w:pPr>
      <w:r w:rsidRPr="005511E3">
        <w:rPr>
          <w:b/>
          <w:color w:val="021142"/>
          <w:lang w:val="el-GR"/>
        </w:rPr>
        <w:t>Δείκτης Κάλυψης Μη Εξυπηρετούμενων Ανοιγμάτων (</w:t>
      </w:r>
      <w:r>
        <w:rPr>
          <w:b/>
          <w:color w:val="021142"/>
        </w:rPr>
        <w:t>NPE</w:t>
      </w:r>
      <w:r w:rsidRPr="005511E3">
        <w:rPr>
          <w:b/>
          <w:color w:val="021142"/>
          <w:lang w:val="el-GR"/>
        </w:rPr>
        <w:t>):</w:t>
      </w:r>
      <w:r w:rsidR="00C4445D" w:rsidRPr="00C4445D">
        <w:rPr>
          <w:color w:val="021142"/>
          <w:spacing w:val="-1"/>
          <w:lang w:val="el-GR"/>
        </w:rPr>
        <w:t xml:space="preserve"> </w:t>
      </w:r>
      <w:r w:rsidR="00C4445D" w:rsidRPr="00C4445D">
        <w:rPr>
          <w:bCs/>
          <w:color w:val="021142"/>
          <w:lang w:val="el-GR"/>
        </w:rPr>
        <w:t xml:space="preserve">Ο λόγος των συσσωρευμένων προβλέψεων για πιστωτικούς κινδύνους από δάνεια και απαιτήσεις από πελάτες και των προβλέψεων για δεσμεύσεις που σχετίζονται με το πιστωτικό κίνδυνο (στοιχεία εκτός ισολογισμού), προς το σύνολο των </w:t>
      </w:r>
      <w:r w:rsidR="00C4445D" w:rsidRPr="00C4445D">
        <w:rPr>
          <w:bCs/>
          <w:color w:val="021142"/>
        </w:rPr>
        <w:t>NPE</w:t>
      </w:r>
      <w:r w:rsidR="00C4445D" w:rsidRPr="00C4445D">
        <w:rPr>
          <w:bCs/>
          <w:color w:val="021142"/>
          <w:lang w:val="el-GR"/>
        </w:rPr>
        <w:t>, στο τέλος της υπό εξέταση περιόδου</w:t>
      </w:r>
      <w:r w:rsidRPr="00C4445D">
        <w:rPr>
          <w:bCs/>
          <w:color w:val="021142"/>
          <w:lang w:val="el-GR"/>
        </w:rPr>
        <w:t>.</w:t>
      </w:r>
    </w:p>
    <w:p w14:paraId="17DC2FE0" w14:textId="77777777" w:rsidR="0063742F" w:rsidRPr="0063742F" w:rsidRDefault="005511E3" w:rsidP="0063742F">
      <w:pPr>
        <w:pStyle w:val="ListParagraph"/>
        <w:numPr>
          <w:ilvl w:val="0"/>
          <w:numId w:val="19"/>
        </w:numPr>
        <w:tabs>
          <w:tab w:val="left" w:pos="441"/>
        </w:tabs>
        <w:spacing w:before="110" w:line="242" w:lineRule="auto"/>
        <w:rPr>
          <w:lang w:val="el-GR"/>
        </w:rPr>
      </w:pPr>
      <w:r w:rsidRPr="005511E3">
        <w:rPr>
          <w:b/>
          <w:color w:val="021142"/>
          <w:lang w:val="el-GR"/>
        </w:rPr>
        <w:t xml:space="preserve">Δείκτης Κάλυψης Ρευστότητας: </w:t>
      </w:r>
      <w:r w:rsidRPr="005511E3">
        <w:rPr>
          <w:color w:val="021142"/>
          <w:lang w:val="el-GR"/>
        </w:rPr>
        <w:t>Το συνολικό ποσό των υψηλής ποιότητας άμεσα ρευστοποιήσιμων στοιχείων</w:t>
      </w:r>
      <w:r w:rsidRPr="005511E3">
        <w:rPr>
          <w:color w:val="021142"/>
          <w:spacing w:val="1"/>
          <w:lang w:val="el-GR"/>
        </w:rPr>
        <w:t xml:space="preserve"> </w:t>
      </w:r>
      <w:r w:rsidRPr="005511E3">
        <w:rPr>
          <w:color w:val="021142"/>
          <w:lang w:val="el-GR"/>
        </w:rPr>
        <w:t>ενεργητικού</w:t>
      </w:r>
      <w:r w:rsidRPr="005511E3">
        <w:rPr>
          <w:color w:val="021142"/>
          <w:spacing w:val="-5"/>
          <w:lang w:val="el-GR"/>
        </w:rPr>
        <w:t xml:space="preserve"> </w:t>
      </w:r>
      <w:r w:rsidRPr="005511E3">
        <w:rPr>
          <w:color w:val="021142"/>
          <w:lang w:val="el-GR"/>
        </w:rPr>
        <w:t>ως</w:t>
      </w:r>
      <w:r w:rsidRPr="005511E3">
        <w:rPr>
          <w:color w:val="021142"/>
          <w:spacing w:val="-4"/>
          <w:lang w:val="el-GR"/>
        </w:rPr>
        <w:t xml:space="preserve"> </w:t>
      </w:r>
      <w:r w:rsidRPr="005511E3">
        <w:rPr>
          <w:color w:val="021142"/>
          <w:lang w:val="el-GR"/>
        </w:rPr>
        <w:t>προς</w:t>
      </w:r>
      <w:r w:rsidRPr="005511E3">
        <w:rPr>
          <w:color w:val="021142"/>
          <w:spacing w:val="-4"/>
          <w:lang w:val="el-GR"/>
        </w:rPr>
        <w:t xml:space="preserve"> </w:t>
      </w:r>
      <w:r w:rsidRPr="005511E3">
        <w:rPr>
          <w:color w:val="021142"/>
          <w:lang w:val="el-GR"/>
        </w:rPr>
        <w:t>τις</w:t>
      </w:r>
      <w:r w:rsidRPr="005511E3">
        <w:rPr>
          <w:color w:val="021142"/>
          <w:spacing w:val="-4"/>
          <w:lang w:val="el-GR"/>
        </w:rPr>
        <w:t xml:space="preserve"> </w:t>
      </w:r>
      <w:r w:rsidRPr="005511E3">
        <w:rPr>
          <w:color w:val="021142"/>
          <w:lang w:val="el-GR"/>
        </w:rPr>
        <w:t>καθαρές</w:t>
      </w:r>
      <w:r w:rsidRPr="005511E3">
        <w:rPr>
          <w:color w:val="021142"/>
          <w:spacing w:val="-4"/>
          <w:lang w:val="el-GR"/>
        </w:rPr>
        <w:t xml:space="preserve"> </w:t>
      </w:r>
      <w:r w:rsidRPr="005511E3">
        <w:rPr>
          <w:color w:val="021142"/>
          <w:lang w:val="el-GR"/>
        </w:rPr>
        <w:t>εκροές</w:t>
      </w:r>
      <w:r w:rsidRPr="005511E3">
        <w:rPr>
          <w:color w:val="021142"/>
          <w:spacing w:val="-4"/>
          <w:lang w:val="el-GR"/>
        </w:rPr>
        <w:t xml:space="preserve"> </w:t>
      </w:r>
      <w:r w:rsidRPr="005511E3">
        <w:rPr>
          <w:color w:val="021142"/>
          <w:lang w:val="el-GR"/>
        </w:rPr>
        <w:t>ρευστότητας</w:t>
      </w:r>
      <w:r w:rsidRPr="005511E3">
        <w:rPr>
          <w:color w:val="021142"/>
          <w:spacing w:val="-4"/>
          <w:lang w:val="el-GR"/>
        </w:rPr>
        <w:t xml:space="preserve"> </w:t>
      </w:r>
      <w:r w:rsidRPr="005511E3">
        <w:rPr>
          <w:color w:val="021142"/>
          <w:lang w:val="el-GR"/>
        </w:rPr>
        <w:t>για</w:t>
      </w:r>
      <w:r w:rsidRPr="005511E3">
        <w:rPr>
          <w:color w:val="021142"/>
          <w:spacing w:val="-5"/>
          <w:lang w:val="el-GR"/>
        </w:rPr>
        <w:t xml:space="preserve"> </w:t>
      </w:r>
      <w:r w:rsidRPr="005511E3">
        <w:rPr>
          <w:color w:val="021142"/>
          <w:lang w:val="el-GR"/>
        </w:rPr>
        <w:t>μια</w:t>
      </w:r>
      <w:r w:rsidRPr="005511E3">
        <w:rPr>
          <w:color w:val="021142"/>
          <w:spacing w:val="-4"/>
          <w:lang w:val="el-GR"/>
        </w:rPr>
        <w:t xml:space="preserve"> </w:t>
      </w:r>
      <w:r w:rsidRPr="005511E3">
        <w:rPr>
          <w:color w:val="021142"/>
          <w:lang w:val="el-GR"/>
        </w:rPr>
        <w:t>περίοδο</w:t>
      </w:r>
      <w:r w:rsidRPr="005511E3">
        <w:rPr>
          <w:color w:val="021142"/>
          <w:spacing w:val="-4"/>
          <w:lang w:val="el-GR"/>
        </w:rPr>
        <w:t xml:space="preserve"> </w:t>
      </w:r>
      <w:r w:rsidRPr="005511E3">
        <w:rPr>
          <w:color w:val="021142"/>
          <w:lang w:val="el-GR"/>
        </w:rPr>
        <w:t>ακραίων</w:t>
      </w:r>
      <w:r w:rsidRPr="005511E3">
        <w:rPr>
          <w:color w:val="021142"/>
          <w:spacing w:val="-4"/>
          <w:lang w:val="el-GR"/>
        </w:rPr>
        <w:t xml:space="preserve"> </w:t>
      </w:r>
      <w:r w:rsidRPr="005511E3">
        <w:rPr>
          <w:color w:val="021142"/>
          <w:lang w:val="el-GR"/>
        </w:rPr>
        <w:t>συνθηκών</w:t>
      </w:r>
      <w:r w:rsidRPr="005511E3">
        <w:rPr>
          <w:color w:val="021142"/>
          <w:spacing w:val="-4"/>
          <w:lang w:val="el-GR"/>
        </w:rPr>
        <w:t xml:space="preserve"> </w:t>
      </w:r>
      <w:r w:rsidRPr="005511E3">
        <w:rPr>
          <w:color w:val="021142"/>
          <w:lang w:val="el-GR"/>
        </w:rPr>
        <w:t>30</w:t>
      </w:r>
      <w:r w:rsidRPr="005511E3">
        <w:rPr>
          <w:color w:val="021142"/>
          <w:spacing w:val="-4"/>
          <w:lang w:val="el-GR"/>
        </w:rPr>
        <w:t xml:space="preserve"> </w:t>
      </w:r>
      <w:r w:rsidRPr="005511E3">
        <w:rPr>
          <w:color w:val="021142"/>
          <w:lang w:val="el-GR"/>
        </w:rPr>
        <w:t>ημερών.</w:t>
      </w:r>
    </w:p>
    <w:p w14:paraId="5B56B69B" w14:textId="160DF5F0" w:rsidR="0063742F" w:rsidRPr="0063742F" w:rsidRDefault="005511E3" w:rsidP="0063742F">
      <w:pPr>
        <w:pStyle w:val="ListParagraph"/>
        <w:numPr>
          <w:ilvl w:val="0"/>
          <w:numId w:val="19"/>
        </w:numPr>
        <w:tabs>
          <w:tab w:val="left" w:pos="441"/>
        </w:tabs>
        <w:spacing w:before="110" w:line="242" w:lineRule="auto"/>
        <w:rPr>
          <w:lang w:val="el-GR"/>
        </w:rPr>
      </w:pPr>
      <w:r w:rsidRPr="0063742F">
        <w:rPr>
          <w:b/>
          <w:color w:val="021142"/>
          <w:lang w:val="el-GR"/>
        </w:rPr>
        <w:t>Δείκτης</w:t>
      </w:r>
      <w:r w:rsidRPr="0063742F">
        <w:rPr>
          <w:b/>
          <w:color w:val="021142"/>
          <w:spacing w:val="-6"/>
          <w:lang w:val="el-GR"/>
        </w:rPr>
        <w:t xml:space="preserve"> </w:t>
      </w:r>
      <w:r w:rsidRPr="0063742F">
        <w:rPr>
          <w:b/>
          <w:color w:val="021142"/>
          <w:lang w:val="el-GR"/>
        </w:rPr>
        <w:t>κεφαλαίου</w:t>
      </w:r>
      <w:r w:rsidRPr="0063742F">
        <w:rPr>
          <w:b/>
          <w:color w:val="021142"/>
          <w:spacing w:val="-5"/>
          <w:lang w:val="el-GR"/>
        </w:rPr>
        <w:t xml:space="preserve"> </w:t>
      </w:r>
      <w:r w:rsidRPr="0063742F">
        <w:rPr>
          <w:b/>
          <w:color w:val="021142"/>
          <w:lang w:val="el-GR"/>
        </w:rPr>
        <w:t>κοινών</w:t>
      </w:r>
      <w:r w:rsidRPr="0063742F">
        <w:rPr>
          <w:b/>
          <w:color w:val="021142"/>
          <w:spacing w:val="-5"/>
          <w:lang w:val="el-GR"/>
        </w:rPr>
        <w:t xml:space="preserve"> </w:t>
      </w:r>
      <w:r w:rsidRPr="0063742F">
        <w:rPr>
          <w:b/>
          <w:color w:val="021142"/>
          <w:lang w:val="el-GR"/>
        </w:rPr>
        <w:t>μετοχών</w:t>
      </w:r>
      <w:r w:rsidRPr="0063742F">
        <w:rPr>
          <w:b/>
          <w:color w:val="021142"/>
          <w:spacing w:val="-5"/>
          <w:lang w:val="el-GR"/>
        </w:rPr>
        <w:t xml:space="preserve"> </w:t>
      </w:r>
      <w:r w:rsidRPr="0063742F">
        <w:rPr>
          <w:b/>
          <w:color w:val="021142"/>
          <w:lang w:val="el-GR"/>
        </w:rPr>
        <w:t>κατηγορίας</w:t>
      </w:r>
      <w:r w:rsidRPr="0063742F">
        <w:rPr>
          <w:b/>
          <w:color w:val="021142"/>
          <w:spacing w:val="-6"/>
          <w:lang w:val="el-GR"/>
        </w:rPr>
        <w:t xml:space="preserve"> </w:t>
      </w:r>
      <w:r w:rsidRPr="0063742F">
        <w:rPr>
          <w:b/>
          <w:color w:val="021142"/>
          <w:lang w:val="el-GR"/>
        </w:rPr>
        <w:t>1</w:t>
      </w:r>
      <w:r w:rsidRPr="0063742F">
        <w:rPr>
          <w:b/>
          <w:color w:val="021142"/>
          <w:spacing w:val="-5"/>
          <w:lang w:val="el-GR"/>
        </w:rPr>
        <w:t xml:space="preserve"> </w:t>
      </w:r>
      <w:r w:rsidRPr="0063742F">
        <w:rPr>
          <w:b/>
          <w:color w:val="021142"/>
          <w:lang w:val="el-GR"/>
        </w:rPr>
        <w:t>(</w:t>
      </w:r>
      <w:r w:rsidRPr="0063742F">
        <w:rPr>
          <w:b/>
          <w:color w:val="021142"/>
        </w:rPr>
        <w:t>CET</w:t>
      </w:r>
      <w:r w:rsidRPr="0063742F">
        <w:rPr>
          <w:b/>
          <w:color w:val="021142"/>
          <w:lang w:val="el-GR"/>
        </w:rPr>
        <w:t>1):</w:t>
      </w:r>
      <w:r w:rsidRPr="0063742F">
        <w:rPr>
          <w:b/>
          <w:color w:val="021142"/>
          <w:spacing w:val="-4"/>
          <w:lang w:val="el-GR"/>
        </w:rPr>
        <w:t xml:space="preserve"> </w:t>
      </w:r>
      <w:r w:rsidR="0063742F" w:rsidRPr="0063742F">
        <w:rPr>
          <w:color w:val="021142"/>
          <w:lang w:val="el-GR"/>
        </w:rPr>
        <w:t>Σύμφωνα με τον κανονισμό (EE) Αρ.575/2013, όπως ισχύει, ο λόγος των εποπτικών κεφαλαίων κοινών μετοχών κατηγορίας 1  προς το σύνολο του σταθμισμένου ενεργητικού (Risk Weighted Assets - RWA).</w:t>
      </w:r>
    </w:p>
    <w:p w14:paraId="42F5FB71" w14:textId="77777777" w:rsidR="00D0213E" w:rsidRPr="00D0213E" w:rsidRDefault="005511E3" w:rsidP="0063742F">
      <w:pPr>
        <w:pStyle w:val="ListParagraph"/>
        <w:numPr>
          <w:ilvl w:val="0"/>
          <w:numId w:val="19"/>
        </w:numPr>
        <w:tabs>
          <w:tab w:val="left" w:pos="406"/>
        </w:tabs>
        <w:spacing w:before="101"/>
        <w:ind w:right="0"/>
        <w:rPr>
          <w:lang w:val="el-GR"/>
        </w:rPr>
      </w:pPr>
      <w:r w:rsidRPr="005511E3">
        <w:rPr>
          <w:b/>
          <w:color w:val="021142"/>
          <w:lang w:val="el-GR"/>
        </w:rPr>
        <w:t>Δείκτης</w:t>
      </w:r>
      <w:r w:rsidRPr="005511E3">
        <w:rPr>
          <w:b/>
          <w:color w:val="021142"/>
          <w:spacing w:val="-13"/>
          <w:lang w:val="el-GR"/>
        </w:rPr>
        <w:t xml:space="preserve"> </w:t>
      </w:r>
      <w:r w:rsidRPr="005511E3">
        <w:rPr>
          <w:b/>
          <w:color w:val="021142"/>
          <w:lang w:val="el-GR"/>
        </w:rPr>
        <w:t>Κόστους</w:t>
      </w:r>
      <w:r w:rsidRPr="005511E3">
        <w:rPr>
          <w:b/>
          <w:color w:val="021142"/>
          <w:spacing w:val="-12"/>
          <w:lang w:val="el-GR"/>
        </w:rPr>
        <w:t xml:space="preserve"> </w:t>
      </w:r>
      <w:r w:rsidRPr="005511E3">
        <w:rPr>
          <w:b/>
          <w:color w:val="021142"/>
          <w:lang w:val="el-GR"/>
        </w:rPr>
        <w:t>προς</w:t>
      </w:r>
      <w:r w:rsidRPr="005511E3">
        <w:rPr>
          <w:b/>
          <w:color w:val="021142"/>
          <w:spacing w:val="-12"/>
          <w:lang w:val="el-GR"/>
        </w:rPr>
        <w:t xml:space="preserve"> </w:t>
      </w:r>
      <w:r w:rsidRPr="005511E3">
        <w:rPr>
          <w:b/>
          <w:color w:val="021142"/>
          <w:lang w:val="el-GR"/>
        </w:rPr>
        <w:t>Έσοδα:</w:t>
      </w:r>
      <w:r w:rsidRPr="005511E3">
        <w:rPr>
          <w:b/>
          <w:color w:val="021142"/>
          <w:spacing w:val="-13"/>
          <w:lang w:val="el-GR"/>
        </w:rPr>
        <w:t xml:space="preserve"> </w:t>
      </w:r>
      <w:r w:rsidRPr="005511E3">
        <w:rPr>
          <w:color w:val="021142"/>
          <w:lang w:val="el-GR"/>
        </w:rPr>
        <w:t>Ο</w:t>
      </w:r>
      <w:r w:rsidRPr="005511E3">
        <w:rPr>
          <w:color w:val="021142"/>
          <w:spacing w:val="-12"/>
          <w:lang w:val="el-GR"/>
        </w:rPr>
        <w:t xml:space="preserve"> </w:t>
      </w:r>
      <w:r w:rsidRPr="005511E3">
        <w:rPr>
          <w:color w:val="021142"/>
          <w:lang w:val="el-GR"/>
        </w:rPr>
        <w:t>λόγος</w:t>
      </w:r>
      <w:r w:rsidRPr="005511E3">
        <w:rPr>
          <w:color w:val="021142"/>
          <w:spacing w:val="-13"/>
          <w:lang w:val="el-GR"/>
        </w:rPr>
        <w:t xml:space="preserve"> </w:t>
      </w:r>
      <w:r w:rsidRPr="005511E3">
        <w:rPr>
          <w:color w:val="021142"/>
          <w:lang w:val="el-GR"/>
        </w:rPr>
        <w:t>των</w:t>
      </w:r>
      <w:r w:rsidRPr="005511E3">
        <w:rPr>
          <w:color w:val="021142"/>
          <w:spacing w:val="-13"/>
          <w:lang w:val="el-GR"/>
        </w:rPr>
        <w:t xml:space="preserve"> </w:t>
      </w:r>
      <w:r w:rsidRPr="005511E3">
        <w:rPr>
          <w:color w:val="021142"/>
          <w:lang w:val="el-GR"/>
        </w:rPr>
        <w:t>λειτουργικών</w:t>
      </w:r>
      <w:r w:rsidRPr="005511E3">
        <w:rPr>
          <w:color w:val="021142"/>
          <w:spacing w:val="-13"/>
          <w:lang w:val="el-GR"/>
        </w:rPr>
        <w:t xml:space="preserve"> </w:t>
      </w:r>
      <w:r w:rsidRPr="005511E3">
        <w:rPr>
          <w:color w:val="021142"/>
          <w:lang w:val="el-GR"/>
        </w:rPr>
        <w:t>εξόδων</w:t>
      </w:r>
      <w:r w:rsidRPr="005511E3">
        <w:rPr>
          <w:color w:val="021142"/>
          <w:spacing w:val="-12"/>
          <w:lang w:val="el-GR"/>
        </w:rPr>
        <w:t xml:space="preserve"> </w:t>
      </w:r>
      <w:r w:rsidRPr="005511E3">
        <w:rPr>
          <w:color w:val="021142"/>
          <w:lang w:val="el-GR"/>
        </w:rPr>
        <w:t>προς</w:t>
      </w:r>
      <w:r w:rsidRPr="005511E3">
        <w:rPr>
          <w:color w:val="021142"/>
          <w:spacing w:val="-13"/>
          <w:lang w:val="el-GR"/>
        </w:rPr>
        <w:t xml:space="preserve"> </w:t>
      </w:r>
      <w:r w:rsidRPr="005511E3">
        <w:rPr>
          <w:color w:val="021142"/>
          <w:lang w:val="el-GR"/>
        </w:rPr>
        <w:t>τα</w:t>
      </w:r>
      <w:r w:rsidRPr="005511E3">
        <w:rPr>
          <w:color w:val="021142"/>
          <w:spacing w:val="-13"/>
          <w:lang w:val="el-GR"/>
        </w:rPr>
        <w:t xml:space="preserve"> </w:t>
      </w:r>
      <w:r w:rsidRPr="005511E3">
        <w:rPr>
          <w:color w:val="021142"/>
          <w:lang w:val="el-GR"/>
        </w:rPr>
        <w:t>λειτουργικά</w:t>
      </w:r>
      <w:r w:rsidRPr="005511E3">
        <w:rPr>
          <w:color w:val="021142"/>
          <w:spacing w:val="-12"/>
          <w:lang w:val="el-GR"/>
        </w:rPr>
        <w:t xml:space="preserve"> </w:t>
      </w:r>
      <w:r w:rsidRPr="005511E3">
        <w:rPr>
          <w:color w:val="021142"/>
          <w:lang w:val="el-GR"/>
        </w:rPr>
        <w:t>έσοδα.</w:t>
      </w:r>
    </w:p>
    <w:p w14:paraId="71BBFC3C" w14:textId="7D46E799" w:rsidR="00D0213E" w:rsidRPr="00FD1F44" w:rsidRDefault="00D0213E" w:rsidP="0063742F">
      <w:pPr>
        <w:pStyle w:val="ListParagraph"/>
        <w:numPr>
          <w:ilvl w:val="0"/>
          <w:numId w:val="20"/>
        </w:numPr>
        <w:tabs>
          <w:tab w:val="left" w:pos="406"/>
        </w:tabs>
        <w:spacing w:before="105" w:line="249" w:lineRule="auto"/>
        <w:rPr>
          <w:bCs/>
          <w:color w:val="021142"/>
          <w:lang w:val="el-GR"/>
        </w:rPr>
      </w:pPr>
      <w:r w:rsidRPr="00FD1F44">
        <w:rPr>
          <w:b/>
          <w:color w:val="021142"/>
          <w:lang w:val="el-GR"/>
        </w:rPr>
        <w:t xml:space="preserve">Δείκτης Κόστους προς Οργανικά Έσοδα: </w:t>
      </w:r>
      <w:r w:rsidRPr="00FD1F44">
        <w:rPr>
          <w:bCs/>
          <w:color w:val="021142"/>
          <w:lang w:val="el-GR"/>
        </w:rPr>
        <w:t>Ο λόγος των λειτουργικών εξόδων προς τα οργανικά λειτουργικά έσοδα. Τα οργανικά λειτουργικά έσοδα είναι το σύνολο των καθαρών εσόδων από τόκους, των καθαρών εσόδων από τραπεζικές αμοιβές και προμήθειες και των εσόδων από μη τραπεζικές υπηρεσίες.</w:t>
      </w:r>
    </w:p>
    <w:p w14:paraId="53C87000" w14:textId="35D102D0" w:rsidR="004673FF" w:rsidRPr="004673FF" w:rsidRDefault="005511E3" w:rsidP="0063742F">
      <w:pPr>
        <w:pStyle w:val="ListParagraph"/>
        <w:numPr>
          <w:ilvl w:val="0"/>
          <w:numId w:val="20"/>
        </w:numPr>
        <w:tabs>
          <w:tab w:val="left" w:pos="407"/>
        </w:tabs>
        <w:spacing w:before="96" w:line="242" w:lineRule="auto"/>
        <w:ind w:right="299"/>
        <w:rPr>
          <w:lang w:val="el-GR"/>
        </w:rPr>
      </w:pPr>
      <w:r w:rsidRPr="005511E3">
        <w:rPr>
          <w:b/>
          <w:color w:val="021142"/>
          <w:lang w:val="el-GR"/>
        </w:rPr>
        <w:t>Δείκτης</w:t>
      </w:r>
      <w:r w:rsidRPr="005511E3">
        <w:rPr>
          <w:b/>
          <w:color w:val="021142"/>
          <w:spacing w:val="-11"/>
          <w:lang w:val="el-GR"/>
        </w:rPr>
        <w:t xml:space="preserve"> </w:t>
      </w:r>
      <w:r>
        <w:rPr>
          <w:b/>
          <w:color w:val="021142"/>
        </w:rPr>
        <w:t>NPE</w:t>
      </w:r>
      <w:r w:rsidRPr="005511E3">
        <w:rPr>
          <w:b/>
          <w:color w:val="021142"/>
          <w:lang w:val="el-GR"/>
        </w:rPr>
        <w:t>:</w:t>
      </w:r>
      <w:r w:rsidRPr="005511E3">
        <w:rPr>
          <w:b/>
          <w:color w:val="021142"/>
          <w:spacing w:val="-11"/>
          <w:lang w:val="el-GR"/>
        </w:rPr>
        <w:t xml:space="preserve"> </w:t>
      </w:r>
      <w:r w:rsidRPr="005511E3">
        <w:rPr>
          <w:color w:val="021142"/>
          <w:lang w:val="el-GR"/>
        </w:rPr>
        <w:t>Ο</w:t>
      </w:r>
      <w:r w:rsidRPr="005511E3">
        <w:rPr>
          <w:color w:val="021142"/>
          <w:spacing w:val="-11"/>
          <w:lang w:val="el-GR"/>
        </w:rPr>
        <w:t xml:space="preserve"> </w:t>
      </w:r>
      <w:r w:rsidRPr="005511E3">
        <w:rPr>
          <w:color w:val="021142"/>
          <w:lang w:val="el-GR"/>
        </w:rPr>
        <w:t>λόγος</w:t>
      </w:r>
      <w:r w:rsidRPr="005511E3">
        <w:rPr>
          <w:color w:val="021142"/>
          <w:spacing w:val="-11"/>
          <w:lang w:val="el-GR"/>
        </w:rPr>
        <w:t xml:space="preserve"> </w:t>
      </w:r>
      <w:r w:rsidRPr="005511E3">
        <w:rPr>
          <w:color w:val="021142"/>
          <w:lang w:val="el-GR"/>
        </w:rPr>
        <w:t>των</w:t>
      </w:r>
      <w:r w:rsidRPr="005511E3">
        <w:rPr>
          <w:color w:val="021142"/>
          <w:spacing w:val="-11"/>
          <w:lang w:val="el-GR"/>
        </w:rPr>
        <w:t xml:space="preserve"> </w:t>
      </w:r>
      <w:r>
        <w:rPr>
          <w:color w:val="021142"/>
        </w:rPr>
        <w:t>NPE</w:t>
      </w:r>
      <w:r w:rsidR="00201E03">
        <w:rPr>
          <w:color w:val="021142"/>
        </w:rPr>
        <w:t>s</w:t>
      </w:r>
      <w:r w:rsidRPr="005511E3">
        <w:rPr>
          <w:color w:val="021142"/>
          <w:spacing w:val="-10"/>
          <w:lang w:val="el-GR"/>
        </w:rPr>
        <w:t xml:space="preserve"> </w:t>
      </w:r>
      <w:r w:rsidRPr="005511E3">
        <w:rPr>
          <w:color w:val="021142"/>
          <w:lang w:val="el-GR"/>
        </w:rPr>
        <w:t>προς</w:t>
      </w:r>
      <w:r w:rsidRPr="005511E3">
        <w:rPr>
          <w:color w:val="021142"/>
          <w:spacing w:val="-11"/>
          <w:lang w:val="el-GR"/>
        </w:rPr>
        <w:t xml:space="preserve"> </w:t>
      </w:r>
      <w:r w:rsidRPr="005511E3">
        <w:rPr>
          <w:color w:val="021142"/>
          <w:lang w:val="el-GR"/>
        </w:rPr>
        <w:t>το</w:t>
      </w:r>
      <w:r w:rsidRPr="005511E3">
        <w:rPr>
          <w:color w:val="021142"/>
          <w:spacing w:val="-11"/>
          <w:lang w:val="el-GR"/>
        </w:rPr>
        <w:t xml:space="preserve"> </w:t>
      </w:r>
      <w:r w:rsidRPr="005511E3">
        <w:rPr>
          <w:color w:val="021142"/>
          <w:lang w:val="el-GR"/>
        </w:rPr>
        <w:t>σύνολο</w:t>
      </w:r>
      <w:r w:rsidRPr="005511E3">
        <w:rPr>
          <w:color w:val="021142"/>
          <w:spacing w:val="-11"/>
          <w:lang w:val="el-GR"/>
        </w:rPr>
        <w:t xml:space="preserve"> </w:t>
      </w:r>
      <w:r w:rsidRPr="005511E3">
        <w:rPr>
          <w:color w:val="021142"/>
          <w:lang w:val="el-GR"/>
        </w:rPr>
        <w:t>των</w:t>
      </w:r>
      <w:r w:rsidRPr="005511E3">
        <w:rPr>
          <w:color w:val="021142"/>
          <w:spacing w:val="-11"/>
          <w:lang w:val="el-GR"/>
        </w:rPr>
        <w:t xml:space="preserve"> </w:t>
      </w:r>
      <w:r w:rsidRPr="005511E3">
        <w:rPr>
          <w:color w:val="021142"/>
          <w:lang w:val="el-GR"/>
        </w:rPr>
        <w:t>δανείων</w:t>
      </w:r>
      <w:r w:rsidRPr="005511E3">
        <w:rPr>
          <w:color w:val="021142"/>
          <w:spacing w:val="-11"/>
          <w:lang w:val="el-GR"/>
        </w:rPr>
        <w:t xml:space="preserve"> </w:t>
      </w:r>
      <w:r w:rsidRPr="005511E3">
        <w:rPr>
          <w:color w:val="021142"/>
          <w:lang w:val="el-GR"/>
        </w:rPr>
        <w:t>και</w:t>
      </w:r>
      <w:r w:rsidRPr="005511E3">
        <w:rPr>
          <w:color w:val="021142"/>
          <w:spacing w:val="-11"/>
          <w:lang w:val="el-GR"/>
        </w:rPr>
        <w:t xml:space="preserve"> </w:t>
      </w:r>
      <w:r w:rsidRPr="005511E3">
        <w:rPr>
          <w:color w:val="021142"/>
          <w:lang w:val="el-GR"/>
        </w:rPr>
        <w:t>απαιτήσεων</w:t>
      </w:r>
      <w:r w:rsidRPr="005511E3">
        <w:rPr>
          <w:color w:val="021142"/>
          <w:spacing w:val="-11"/>
          <w:lang w:val="el-GR"/>
        </w:rPr>
        <w:t xml:space="preserve"> </w:t>
      </w:r>
      <w:r w:rsidRPr="005511E3">
        <w:rPr>
          <w:color w:val="021142"/>
          <w:lang w:val="el-GR"/>
        </w:rPr>
        <w:t>από</w:t>
      </w:r>
      <w:r w:rsidRPr="005511E3">
        <w:rPr>
          <w:color w:val="021142"/>
          <w:spacing w:val="-11"/>
          <w:lang w:val="el-GR"/>
        </w:rPr>
        <w:t xml:space="preserve"> </w:t>
      </w:r>
      <w:r w:rsidRPr="005511E3">
        <w:rPr>
          <w:color w:val="021142"/>
          <w:lang w:val="el-GR"/>
        </w:rPr>
        <w:t>πελάτες</w:t>
      </w:r>
      <w:r w:rsidRPr="005511E3">
        <w:rPr>
          <w:color w:val="021142"/>
          <w:spacing w:val="-11"/>
          <w:lang w:val="el-GR"/>
        </w:rPr>
        <w:t xml:space="preserve"> </w:t>
      </w:r>
      <w:r w:rsidRPr="005511E3">
        <w:rPr>
          <w:color w:val="021142"/>
          <w:lang w:val="el-GR"/>
        </w:rPr>
        <w:t>(προ</w:t>
      </w:r>
      <w:r w:rsidRPr="005511E3">
        <w:rPr>
          <w:color w:val="021142"/>
          <w:spacing w:val="-11"/>
          <w:lang w:val="el-GR"/>
        </w:rPr>
        <w:t xml:space="preserve"> </w:t>
      </w:r>
      <w:r w:rsidRPr="005511E3">
        <w:rPr>
          <w:color w:val="021142"/>
          <w:lang w:val="el-GR"/>
        </w:rPr>
        <w:t>προβλέψεων),</w:t>
      </w:r>
      <w:r w:rsidRPr="005511E3">
        <w:rPr>
          <w:color w:val="021142"/>
          <w:spacing w:val="-52"/>
          <w:lang w:val="el-GR"/>
        </w:rPr>
        <w:t xml:space="preserve"> </w:t>
      </w:r>
      <w:r w:rsidRPr="005511E3">
        <w:rPr>
          <w:color w:val="021142"/>
          <w:lang w:val="el-GR"/>
        </w:rPr>
        <w:t>που</w:t>
      </w:r>
      <w:r w:rsidRPr="005511E3">
        <w:rPr>
          <w:color w:val="021142"/>
          <w:spacing w:val="-2"/>
          <w:lang w:val="el-GR"/>
        </w:rPr>
        <w:t xml:space="preserve"> </w:t>
      </w:r>
      <w:r w:rsidRPr="005511E3">
        <w:rPr>
          <w:color w:val="021142"/>
          <w:lang w:val="el-GR"/>
        </w:rPr>
        <w:t>επιμετρώνται</w:t>
      </w:r>
      <w:r w:rsidRPr="005511E3">
        <w:rPr>
          <w:color w:val="021142"/>
          <w:spacing w:val="-1"/>
          <w:lang w:val="el-GR"/>
        </w:rPr>
        <w:t xml:space="preserve"> </w:t>
      </w:r>
      <w:r w:rsidRPr="005511E3">
        <w:rPr>
          <w:color w:val="021142"/>
          <w:lang w:val="el-GR"/>
        </w:rPr>
        <w:t>στο</w:t>
      </w:r>
      <w:r w:rsidRPr="005511E3">
        <w:rPr>
          <w:color w:val="021142"/>
          <w:spacing w:val="-2"/>
          <w:lang w:val="el-GR"/>
        </w:rPr>
        <w:t xml:space="preserve"> </w:t>
      </w:r>
      <w:r w:rsidRPr="005511E3">
        <w:rPr>
          <w:color w:val="021142"/>
          <w:lang w:val="el-GR"/>
        </w:rPr>
        <w:t>αποσβέσιμο</w:t>
      </w:r>
      <w:r w:rsidRPr="005511E3">
        <w:rPr>
          <w:color w:val="021142"/>
          <w:spacing w:val="-1"/>
          <w:lang w:val="el-GR"/>
        </w:rPr>
        <w:t xml:space="preserve"> </w:t>
      </w:r>
      <w:r w:rsidRPr="005511E3">
        <w:rPr>
          <w:color w:val="021142"/>
          <w:lang w:val="el-GR"/>
        </w:rPr>
        <w:t>κόστος</w:t>
      </w:r>
      <w:r w:rsidRPr="005511E3">
        <w:rPr>
          <w:color w:val="021142"/>
          <w:spacing w:val="-2"/>
          <w:lang w:val="el-GR"/>
        </w:rPr>
        <w:t xml:space="preserve"> </w:t>
      </w:r>
      <w:r w:rsidRPr="005511E3">
        <w:rPr>
          <w:color w:val="021142"/>
          <w:lang w:val="el-GR"/>
        </w:rPr>
        <w:t>στο</w:t>
      </w:r>
      <w:r w:rsidRPr="005511E3">
        <w:rPr>
          <w:color w:val="021142"/>
          <w:spacing w:val="-1"/>
          <w:lang w:val="el-GR"/>
        </w:rPr>
        <w:t xml:space="preserve"> </w:t>
      </w:r>
      <w:r w:rsidRPr="005511E3">
        <w:rPr>
          <w:color w:val="021142"/>
          <w:lang w:val="el-GR"/>
        </w:rPr>
        <w:t>τέλος</w:t>
      </w:r>
      <w:r w:rsidRPr="005511E3">
        <w:rPr>
          <w:color w:val="021142"/>
          <w:spacing w:val="-2"/>
          <w:lang w:val="el-GR"/>
        </w:rPr>
        <w:t xml:space="preserve"> </w:t>
      </w:r>
      <w:r w:rsidRPr="005511E3">
        <w:rPr>
          <w:color w:val="021142"/>
          <w:lang w:val="el-GR"/>
        </w:rPr>
        <w:t>της</w:t>
      </w:r>
      <w:r w:rsidRPr="005511E3">
        <w:rPr>
          <w:color w:val="021142"/>
          <w:spacing w:val="-1"/>
          <w:lang w:val="el-GR"/>
        </w:rPr>
        <w:t xml:space="preserve"> </w:t>
      </w:r>
      <w:r w:rsidRPr="005511E3">
        <w:rPr>
          <w:color w:val="021142"/>
          <w:lang w:val="el-GR"/>
        </w:rPr>
        <w:t>υπό</w:t>
      </w:r>
      <w:r w:rsidRPr="005511E3">
        <w:rPr>
          <w:color w:val="021142"/>
          <w:spacing w:val="-1"/>
          <w:lang w:val="el-GR"/>
        </w:rPr>
        <w:t xml:space="preserve"> </w:t>
      </w:r>
      <w:r w:rsidRPr="005511E3">
        <w:rPr>
          <w:color w:val="021142"/>
          <w:lang w:val="el-GR"/>
        </w:rPr>
        <w:t>εξέταση</w:t>
      </w:r>
      <w:r w:rsidRPr="005511E3">
        <w:rPr>
          <w:color w:val="021142"/>
          <w:spacing w:val="-2"/>
          <w:lang w:val="el-GR"/>
        </w:rPr>
        <w:t xml:space="preserve"> </w:t>
      </w:r>
      <w:r w:rsidRPr="005511E3">
        <w:rPr>
          <w:color w:val="021142"/>
          <w:lang w:val="el-GR"/>
        </w:rPr>
        <w:t>περιόδου.</w:t>
      </w:r>
    </w:p>
    <w:p w14:paraId="4B7D808C" w14:textId="3343F6AC" w:rsidR="00F920EB" w:rsidRPr="004673FF" w:rsidRDefault="004673FF" w:rsidP="0063742F">
      <w:pPr>
        <w:pStyle w:val="ListParagraph"/>
        <w:numPr>
          <w:ilvl w:val="0"/>
          <w:numId w:val="20"/>
        </w:numPr>
        <w:tabs>
          <w:tab w:val="left" w:pos="407"/>
        </w:tabs>
        <w:spacing w:before="96" w:line="242" w:lineRule="auto"/>
        <w:ind w:right="299"/>
        <w:rPr>
          <w:lang w:val="el-GR"/>
        </w:rPr>
      </w:pPr>
      <w:r w:rsidRPr="004673FF">
        <w:rPr>
          <w:b/>
          <w:color w:val="021142"/>
          <w:lang w:val="el-GR"/>
        </w:rPr>
        <w:t>Δείκτης Προβλέψεων (ζημιές) προς το μέσο υπόλοιπο δανείων (μετά από προβλέψεις) - Κόστος Κινδύνου</w:t>
      </w:r>
      <w:r w:rsidRPr="004673FF">
        <w:rPr>
          <w:lang w:val="el-GR"/>
        </w:rPr>
        <w:t xml:space="preserve">: </w:t>
      </w:r>
      <w:r w:rsidRPr="004673FF">
        <w:rPr>
          <w:color w:val="021142"/>
          <w:lang w:val="el-GR"/>
        </w:rPr>
        <w:t>Ο λόγος των προβλέψεων (ζημιών) για πιστωτικούς κινδύνους από δάνεια και απαιτήσεις της υπό εξέταση περιόδου, μη συμπεριλαμβανομένου του ποσού που αφορά δάνεια και απαιτήσεις που επιμετρώνται στο αποσβέσιμο κόστος και έχουν ταξινομηθεί ως κατεχόμενα προς πώληση, σε ετησιοποιημένη βάση, προς το μέσο υπόλοιπο των δανείων και απαιτήσεων από πελάτες που επιμετρώνται στο αποσβέσιμο κόστος (amortised cost) (ο αριθμητικός μέσος όρος των δανείων και απαιτήσεων από πελάτες στο αποσβέσιμο κόστος, στο τέλος της υπό εξέταση περιόδου, στο τέλος των ενδιάμεσων τριμήνων και στο τέλος του προηγούμενου έτους)</w:t>
      </w:r>
      <w:r>
        <w:rPr>
          <w:color w:val="021142"/>
          <w:lang w:val="el-GR"/>
        </w:rPr>
        <w:t>.</w:t>
      </w:r>
    </w:p>
    <w:p w14:paraId="68E91712" w14:textId="2E62495D" w:rsidR="00852D18" w:rsidRPr="005511E3" w:rsidRDefault="005511E3" w:rsidP="0063742F">
      <w:pPr>
        <w:pStyle w:val="ListParagraph"/>
        <w:numPr>
          <w:ilvl w:val="0"/>
          <w:numId w:val="20"/>
        </w:numPr>
        <w:tabs>
          <w:tab w:val="left" w:pos="443"/>
        </w:tabs>
        <w:spacing w:before="105" w:line="247" w:lineRule="auto"/>
        <w:rPr>
          <w:lang w:val="el-GR"/>
        </w:rPr>
      </w:pPr>
      <w:r w:rsidRPr="00A404AB">
        <w:rPr>
          <w:b/>
          <w:color w:val="021142"/>
          <w:lang w:val="el-GR"/>
        </w:rPr>
        <w:t>Ε</w:t>
      </w:r>
      <w:r w:rsidRPr="005511E3">
        <w:rPr>
          <w:b/>
          <w:color w:val="021142"/>
          <w:lang w:val="el-GR"/>
        </w:rPr>
        <w:t>νσώματη Λογιστική Αξία (</w:t>
      </w:r>
      <w:r>
        <w:rPr>
          <w:b/>
          <w:color w:val="021142"/>
        </w:rPr>
        <w:t>Tangible</w:t>
      </w:r>
      <w:r w:rsidRPr="005511E3">
        <w:rPr>
          <w:b/>
          <w:color w:val="021142"/>
          <w:lang w:val="el-GR"/>
        </w:rPr>
        <w:t xml:space="preserve"> </w:t>
      </w:r>
      <w:r>
        <w:rPr>
          <w:b/>
          <w:color w:val="021142"/>
        </w:rPr>
        <w:t>Book</w:t>
      </w:r>
      <w:r w:rsidRPr="005511E3">
        <w:rPr>
          <w:b/>
          <w:color w:val="021142"/>
          <w:lang w:val="el-GR"/>
        </w:rPr>
        <w:t xml:space="preserve"> </w:t>
      </w:r>
      <w:r>
        <w:rPr>
          <w:b/>
          <w:color w:val="021142"/>
        </w:rPr>
        <w:t>Value</w:t>
      </w:r>
      <w:r w:rsidRPr="005511E3">
        <w:rPr>
          <w:b/>
          <w:color w:val="021142"/>
          <w:lang w:val="el-GR"/>
        </w:rPr>
        <w:t xml:space="preserve">): </w:t>
      </w:r>
      <w:r w:rsidRPr="005511E3">
        <w:rPr>
          <w:color w:val="021142"/>
          <w:lang w:val="el-GR"/>
        </w:rPr>
        <w:t>Το σύνολο των Ιδίων Κεφαλαίων που αναλογούν στους</w:t>
      </w:r>
      <w:r w:rsidRPr="005511E3">
        <w:rPr>
          <w:color w:val="021142"/>
          <w:spacing w:val="1"/>
          <w:lang w:val="el-GR"/>
        </w:rPr>
        <w:t xml:space="preserve"> </w:t>
      </w:r>
      <w:r w:rsidRPr="005511E3">
        <w:rPr>
          <w:color w:val="021142"/>
          <w:lang w:val="el-GR"/>
        </w:rPr>
        <w:t xml:space="preserve">μετόχους εξαιρουμένων των προνομιούχων μετοχών, </w:t>
      </w:r>
      <w:r w:rsidR="006C5E75">
        <w:rPr>
          <w:color w:val="021142"/>
          <w:lang w:val="el-GR"/>
        </w:rPr>
        <w:t>των πρόσθετων κεφαλαίων μέσων κατηγορία 1 (</w:t>
      </w:r>
      <w:r w:rsidR="006C5E75">
        <w:rPr>
          <w:color w:val="021142"/>
          <w:lang w:val="en-GB"/>
        </w:rPr>
        <w:t>AT</w:t>
      </w:r>
      <w:r w:rsidR="006C5E75" w:rsidRPr="0037690A">
        <w:rPr>
          <w:color w:val="021142"/>
          <w:lang w:val="el-GR"/>
        </w:rPr>
        <w:t xml:space="preserve">1 </w:t>
      </w:r>
      <w:r w:rsidR="006C5E75">
        <w:rPr>
          <w:color w:val="021142"/>
          <w:lang w:val="en-GB"/>
        </w:rPr>
        <w:t>capital</w:t>
      </w:r>
      <w:r w:rsidR="006C5E75" w:rsidRPr="0037690A">
        <w:rPr>
          <w:color w:val="021142"/>
          <w:lang w:val="el-GR"/>
        </w:rPr>
        <w:t xml:space="preserve"> </w:t>
      </w:r>
      <w:r w:rsidR="006C5E75">
        <w:rPr>
          <w:color w:val="021142"/>
          <w:lang w:val="en-GB"/>
        </w:rPr>
        <w:t>instruments</w:t>
      </w:r>
      <w:r w:rsidR="006C5E75" w:rsidRPr="0037690A">
        <w:rPr>
          <w:color w:val="021142"/>
          <w:lang w:val="el-GR"/>
        </w:rPr>
        <w:t>)</w:t>
      </w:r>
      <w:r w:rsidRPr="005511E3">
        <w:rPr>
          <w:color w:val="021142"/>
          <w:lang w:val="el-GR"/>
        </w:rPr>
        <w:t xml:space="preserve">, </w:t>
      </w:r>
      <w:r w:rsidR="00D24B08">
        <w:rPr>
          <w:color w:val="021142"/>
          <w:lang w:val="el-GR"/>
        </w:rPr>
        <w:t xml:space="preserve">των </w:t>
      </w:r>
      <w:r w:rsidRPr="005511E3">
        <w:rPr>
          <w:color w:val="021142"/>
          <w:lang w:val="el-GR"/>
        </w:rPr>
        <w:t>δικαιωμάτων τρίτων</w:t>
      </w:r>
      <w:r w:rsidR="00D24B08">
        <w:rPr>
          <w:color w:val="021142"/>
          <w:lang w:val="el-GR"/>
        </w:rPr>
        <w:t xml:space="preserve">, μείον τα </w:t>
      </w:r>
      <w:r w:rsidRPr="005511E3">
        <w:rPr>
          <w:color w:val="021142"/>
          <w:lang w:val="el-GR"/>
        </w:rPr>
        <w:t>άυλ</w:t>
      </w:r>
      <w:r w:rsidR="00D24B08">
        <w:rPr>
          <w:color w:val="021142"/>
          <w:lang w:val="el-GR"/>
        </w:rPr>
        <w:t xml:space="preserve">α </w:t>
      </w:r>
      <w:r w:rsidRPr="005511E3">
        <w:rPr>
          <w:color w:val="021142"/>
          <w:lang w:val="el-GR"/>
        </w:rPr>
        <w:t>πάγι</w:t>
      </w:r>
      <w:r w:rsidR="00D24B08">
        <w:rPr>
          <w:color w:val="021142"/>
          <w:lang w:val="el-GR"/>
        </w:rPr>
        <w:t xml:space="preserve">α </w:t>
      </w:r>
      <w:r w:rsidRPr="005511E3">
        <w:rPr>
          <w:color w:val="021142"/>
          <w:lang w:val="el-GR"/>
        </w:rPr>
        <w:t>στοιχεί</w:t>
      </w:r>
      <w:r w:rsidR="00D24B08">
        <w:rPr>
          <w:color w:val="021142"/>
          <w:lang w:val="el-GR"/>
        </w:rPr>
        <w:t>α</w:t>
      </w:r>
      <w:r w:rsidRPr="005511E3">
        <w:rPr>
          <w:color w:val="021142"/>
          <w:lang w:val="el-GR"/>
        </w:rPr>
        <w:t>.</w:t>
      </w:r>
    </w:p>
    <w:p w14:paraId="51270F3D" w14:textId="35200356" w:rsidR="00852D18" w:rsidRPr="005511E3" w:rsidRDefault="005511E3" w:rsidP="0063742F">
      <w:pPr>
        <w:pStyle w:val="ListParagraph"/>
        <w:numPr>
          <w:ilvl w:val="0"/>
          <w:numId w:val="20"/>
        </w:numPr>
        <w:tabs>
          <w:tab w:val="left" w:pos="418"/>
        </w:tabs>
        <w:spacing w:before="101" w:line="247" w:lineRule="auto"/>
        <w:rPr>
          <w:lang w:val="el-GR"/>
        </w:rPr>
      </w:pPr>
      <w:r w:rsidRPr="005511E3">
        <w:rPr>
          <w:b/>
          <w:color w:val="021142"/>
          <w:lang w:val="el-GR"/>
        </w:rPr>
        <w:t>Ενσώματα ίδια κεφάλαια ανά μετοχή (</w:t>
      </w:r>
      <w:r>
        <w:rPr>
          <w:b/>
          <w:color w:val="021142"/>
        </w:rPr>
        <w:t>Tangible</w:t>
      </w:r>
      <w:r w:rsidRPr="005511E3">
        <w:rPr>
          <w:b/>
          <w:color w:val="021142"/>
          <w:lang w:val="el-GR"/>
        </w:rPr>
        <w:t xml:space="preserve"> </w:t>
      </w:r>
      <w:r>
        <w:rPr>
          <w:b/>
          <w:color w:val="021142"/>
        </w:rPr>
        <w:t>Book</w:t>
      </w:r>
      <w:r w:rsidRPr="005511E3">
        <w:rPr>
          <w:b/>
          <w:color w:val="021142"/>
          <w:lang w:val="el-GR"/>
        </w:rPr>
        <w:t xml:space="preserve"> </w:t>
      </w:r>
      <w:r>
        <w:rPr>
          <w:b/>
          <w:color w:val="021142"/>
        </w:rPr>
        <w:t>Value</w:t>
      </w:r>
      <w:r w:rsidRPr="005511E3">
        <w:rPr>
          <w:b/>
          <w:color w:val="021142"/>
          <w:lang w:val="el-GR"/>
        </w:rPr>
        <w:t>/</w:t>
      </w:r>
      <w:r>
        <w:rPr>
          <w:b/>
          <w:color w:val="021142"/>
        </w:rPr>
        <w:t>Share</w:t>
      </w:r>
      <w:r w:rsidRPr="005511E3">
        <w:rPr>
          <w:b/>
          <w:color w:val="021142"/>
          <w:lang w:val="el-GR"/>
        </w:rPr>
        <w:t xml:space="preserve">): </w:t>
      </w:r>
      <w:r w:rsidRPr="005511E3">
        <w:rPr>
          <w:color w:val="021142"/>
          <w:lang w:val="el-GR"/>
        </w:rPr>
        <w:t>Ο λόγος της ενσώματης λογιστικής αξίας</w:t>
      </w:r>
      <w:r w:rsidRPr="005511E3">
        <w:rPr>
          <w:color w:val="021142"/>
          <w:spacing w:val="-52"/>
          <w:lang w:val="el-GR"/>
        </w:rPr>
        <w:t xml:space="preserve"> </w:t>
      </w:r>
      <w:r w:rsidRPr="005511E3">
        <w:rPr>
          <w:color w:val="021142"/>
          <w:lang w:val="el-GR"/>
        </w:rPr>
        <w:t>προς τον αριθμό κοινών μετοχών σε κυκλοφορία στο τέλος της περιόδου, εξαιρώντας τον αριθμό των ιδίων</w:t>
      </w:r>
      <w:r w:rsidRPr="005511E3">
        <w:rPr>
          <w:color w:val="021142"/>
          <w:spacing w:val="1"/>
          <w:lang w:val="el-GR"/>
        </w:rPr>
        <w:t xml:space="preserve"> </w:t>
      </w:r>
      <w:r w:rsidRPr="005511E3">
        <w:rPr>
          <w:color w:val="021142"/>
          <w:lang w:val="el-GR"/>
        </w:rPr>
        <w:t>μετοχών.</w:t>
      </w:r>
    </w:p>
    <w:p w14:paraId="6280811B" w14:textId="77777777" w:rsidR="00852D18" w:rsidRPr="00CE5DE1" w:rsidRDefault="005511E3" w:rsidP="0063742F">
      <w:pPr>
        <w:pStyle w:val="ListParagraph"/>
        <w:numPr>
          <w:ilvl w:val="0"/>
          <w:numId w:val="20"/>
        </w:numPr>
        <w:tabs>
          <w:tab w:val="left" w:pos="417"/>
        </w:tabs>
        <w:spacing w:before="101" w:line="242" w:lineRule="auto"/>
        <w:rPr>
          <w:lang w:val="el-GR"/>
        </w:rPr>
      </w:pPr>
      <w:r w:rsidRPr="005511E3">
        <w:rPr>
          <w:b/>
          <w:color w:val="021142"/>
          <w:lang w:val="el-GR"/>
        </w:rPr>
        <w:t xml:space="preserve">Έσοδα από αμοιβές και προμήθειες: </w:t>
      </w:r>
      <w:r w:rsidRPr="005511E3">
        <w:rPr>
          <w:color w:val="021142"/>
          <w:lang w:val="el-GR"/>
        </w:rPr>
        <w:t>Το σύνολο των καθαρών εσόδων από τραπεζικές αμοιβές και προμήθειες</w:t>
      </w:r>
      <w:r w:rsidRPr="005511E3">
        <w:rPr>
          <w:color w:val="021142"/>
          <w:spacing w:val="-52"/>
          <w:lang w:val="el-GR"/>
        </w:rPr>
        <w:t xml:space="preserve"> </w:t>
      </w:r>
      <w:r w:rsidRPr="005511E3">
        <w:rPr>
          <w:color w:val="021142"/>
          <w:lang w:val="el-GR"/>
        </w:rPr>
        <w:t>και</w:t>
      </w:r>
      <w:r w:rsidRPr="005511E3">
        <w:rPr>
          <w:color w:val="021142"/>
          <w:spacing w:val="-2"/>
          <w:lang w:val="el-GR"/>
        </w:rPr>
        <w:t xml:space="preserve"> </w:t>
      </w:r>
      <w:r w:rsidRPr="005511E3">
        <w:rPr>
          <w:color w:val="021142"/>
          <w:lang w:val="el-GR"/>
        </w:rPr>
        <w:t>των</w:t>
      </w:r>
      <w:r w:rsidRPr="005511E3">
        <w:rPr>
          <w:color w:val="021142"/>
          <w:spacing w:val="-1"/>
          <w:lang w:val="el-GR"/>
        </w:rPr>
        <w:t xml:space="preserve"> </w:t>
      </w:r>
      <w:r w:rsidRPr="005511E3">
        <w:rPr>
          <w:color w:val="021142"/>
          <w:lang w:val="el-GR"/>
        </w:rPr>
        <w:t>εσόδων</w:t>
      </w:r>
      <w:r w:rsidRPr="005511E3">
        <w:rPr>
          <w:color w:val="021142"/>
          <w:spacing w:val="-1"/>
          <w:lang w:val="el-GR"/>
        </w:rPr>
        <w:t xml:space="preserve"> </w:t>
      </w:r>
      <w:r w:rsidRPr="005511E3">
        <w:rPr>
          <w:color w:val="021142"/>
          <w:lang w:val="el-GR"/>
        </w:rPr>
        <w:t>από</w:t>
      </w:r>
      <w:r w:rsidRPr="005511E3">
        <w:rPr>
          <w:color w:val="021142"/>
          <w:spacing w:val="-1"/>
          <w:lang w:val="el-GR"/>
        </w:rPr>
        <w:t xml:space="preserve"> </w:t>
      </w:r>
      <w:r w:rsidRPr="005511E3">
        <w:rPr>
          <w:color w:val="021142"/>
          <w:lang w:val="el-GR"/>
        </w:rPr>
        <w:t>μη</w:t>
      </w:r>
      <w:r w:rsidRPr="005511E3">
        <w:rPr>
          <w:color w:val="021142"/>
          <w:spacing w:val="-1"/>
          <w:lang w:val="el-GR"/>
        </w:rPr>
        <w:t xml:space="preserve"> </w:t>
      </w:r>
      <w:r w:rsidRPr="005511E3">
        <w:rPr>
          <w:color w:val="021142"/>
          <w:lang w:val="el-GR"/>
        </w:rPr>
        <w:t>τραπεζικές</w:t>
      </w:r>
      <w:r w:rsidRPr="005511E3">
        <w:rPr>
          <w:color w:val="021142"/>
          <w:spacing w:val="-2"/>
          <w:lang w:val="el-GR"/>
        </w:rPr>
        <w:t xml:space="preserve"> </w:t>
      </w:r>
      <w:r w:rsidRPr="005511E3">
        <w:rPr>
          <w:color w:val="021142"/>
          <w:lang w:val="el-GR"/>
        </w:rPr>
        <w:t>υπηρεσίες</w:t>
      </w:r>
      <w:r w:rsidRPr="005511E3">
        <w:rPr>
          <w:color w:val="021142"/>
          <w:spacing w:val="-1"/>
          <w:lang w:val="el-GR"/>
        </w:rPr>
        <w:t xml:space="preserve"> </w:t>
      </w:r>
      <w:r w:rsidRPr="005511E3">
        <w:rPr>
          <w:color w:val="021142"/>
          <w:lang w:val="el-GR"/>
        </w:rPr>
        <w:t>της</w:t>
      </w:r>
      <w:r w:rsidRPr="005511E3">
        <w:rPr>
          <w:color w:val="021142"/>
          <w:spacing w:val="-1"/>
          <w:lang w:val="el-GR"/>
        </w:rPr>
        <w:t xml:space="preserve"> </w:t>
      </w:r>
      <w:r w:rsidRPr="005511E3">
        <w:rPr>
          <w:color w:val="021142"/>
          <w:lang w:val="el-GR"/>
        </w:rPr>
        <w:t>υπό</w:t>
      </w:r>
      <w:r w:rsidRPr="005511E3">
        <w:rPr>
          <w:color w:val="021142"/>
          <w:spacing w:val="-1"/>
          <w:lang w:val="el-GR"/>
        </w:rPr>
        <w:t xml:space="preserve"> </w:t>
      </w:r>
      <w:r w:rsidRPr="005511E3">
        <w:rPr>
          <w:color w:val="021142"/>
          <w:lang w:val="el-GR"/>
        </w:rPr>
        <w:t>εξέταση</w:t>
      </w:r>
      <w:r w:rsidRPr="005511E3">
        <w:rPr>
          <w:color w:val="021142"/>
          <w:spacing w:val="-1"/>
          <w:lang w:val="el-GR"/>
        </w:rPr>
        <w:t xml:space="preserve"> </w:t>
      </w:r>
      <w:r w:rsidRPr="005511E3">
        <w:rPr>
          <w:color w:val="021142"/>
          <w:lang w:val="el-GR"/>
        </w:rPr>
        <w:t>περιόδου.</w:t>
      </w:r>
    </w:p>
    <w:p w14:paraId="0FC46635" w14:textId="77777777" w:rsidR="00CE5DE1" w:rsidRPr="00BB6750" w:rsidRDefault="00CE5DE1" w:rsidP="00CE5DE1">
      <w:pPr>
        <w:tabs>
          <w:tab w:val="left" w:pos="417"/>
        </w:tabs>
        <w:spacing w:before="101" w:line="242" w:lineRule="auto"/>
        <w:rPr>
          <w:lang w:val="el-GR"/>
        </w:rPr>
      </w:pPr>
    </w:p>
    <w:p w14:paraId="5955688C" w14:textId="77777777" w:rsidR="00CE5DE1" w:rsidRPr="00BB6750" w:rsidRDefault="00CE5DE1" w:rsidP="00CE5DE1">
      <w:pPr>
        <w:tabs>
          <w:tab w:val="left" w:pos="417"/>
        </w:tabs>
        <w:spacing w:before="101" w:line="242" w:lineRule="auto"/>
        <w:rPr>
          <w:lang w:val="el-GR"/>
        </w:rPr>
      </w:pPr>
    </w:p>
    <w:p w14:paraId="49EAC0B8" w14:textId="77777777" w:rsidR="00CE5DE1" w:rsidRPr="00FE4888" w:rsidRDefault="00CE5DE1" w:rsidP="00CE5DE1">
      <w:pPr>
        <w:tabs>
          <w:tab w:val="left" w:pos="417"/>
        </w:tabs>
        <w:spacing w:before="101" w:line="242" w:lineRule="auto"/>
        <w:rPr>
          <w:lang w:val="el-GR"/>
        </w:rPr>
      </w:pPr>
    </w:p>
    <w:p w14:paraId="7CE0F33C" w14:textId="77777777" w:rsidR="000525B2" w:rsidRPr="00FE4888" w:rsidRDefault="000525B2" w:rsidP="00CE5DE1">
      <w:pPr>
        <w:tabs>
          <w:tab w:val="left" w:pos="417"/>
        </w:tabs>
        <w:spacing w:before="101" w:line="242" w:lineRule="auto"/>
        <w:rPr>
          <w:lang w:val="el-GR"/>
        </w:rPr>
      </w:pPr>
    </w:p>
    <w:p w14:paraId="21AFEF2A" w14:textId="77777777" w:rsidR="000525B2" w:rsidRPr="00FE4888" w:rsidRDefault="000525B2" w:rsidP="00CE5DE1">
      <w:pPr>
        <w:tabs>
          <w:tab w:val="left" w:pos="417"/>
        </w:tabs>
        <w:spacing w:before="101" w:line="242" w:lineRule="auto"/>
        <w:rPr>
          <w:lang w:val="el-GR"/>
        </w:rPr>
      </w:pPr>
    </w:p>
    <w:p w14:paraId="6D1EEB06" w14:textId="77777777" w:rsidR="000525B2" w:rsidRPr="00FE4888" w:rsidRDefault="000525B2" w:rsidP="00CE5DE1">
      <w:pPr>
        <w:tabs>
          <w:tab w:val="left" w:pos="417"/>
        </w:tabs>
        <w:spacing w:before="101" w:line="242" w:lineRule="auto"/>
        <w:rPr>
          <w:lang w:val="el-GR"/>
        </w:rPr>
      </w:pPr>
    </w:p>
    <w:p w14:paraId="76E5E2DD" w14:textId="2081A5CC" w:rsidR="00852D18" w:rsidRPr="005511E3" w:rsidRDefault="005511E3" w:rsidP="0063742F">
      <w:pPr>
        <w:pStyle w:val="ListParagraph"/>
        <w:numPr>
          <w:ilvl w:val="0"/>
          <w:numId w:val="20"/>
        </w:numPr>
        <w:tabs>
          <w:tab w:val="left" w:pos="418"/>
        </w:tabs>
        <w:spacing w:before="104" w:line="242" w:lineRule="auto"/>
        <w:rPr>
          <w:lang w:val="el-GR"/>
        </w:rPr>
      </w:pPr>
      <w:r w:rsidRPr="005511E3">
        <w:rPr>
          <w:b/>
          <w:color w:val="021142"/>
          <w:lang w:val="el-GR"/>
        </w:rPr>
        <w:t xml:space="preserve">Έσοδα από εμπορικές και λοιπές δραστηριότητες: </w:t>
      </w:r>
      <w:r w:rsidRPr="005511E3">
        <w:rPr>
          <w:color w:val="021142"/>
          <w:lang w:val="el-GR"/>
        </w:rPr>
        <w:t>Το σύνολο των εσόδων από αποτελέσματα χαρτοφυλακίου</w:t>
      </w:r>
      <w:r w:rsidRPr="005511E3">
        <w:rPr>
          <w:color w:val="021142"/>
          <w:spacing w:val="-52"/>
          <w:lang w:val="el-GR"/>
        </w:rPr>
        <w:t xml:space="preserve"> </w:t>
      </w:r>
      <w:r w:rsidRPr="005511E3">
        <w:rPr>
          <w:color w:val="021142"/>
          <w:lang w:val="el-GR"/>
        </w:rPr>
        <w:t>συναλλαγών,</w:t>
      </w:r>
      <w:r w:rsidRPr="005511E3">
        <w:rPr>
          <w:color w:val="021142"/>
          <w:spacing w:val="-7"/>
          <w:lang w:val="el-GR"/>
        </w:rPr>
        <w:t xml:space="preserve"> </w:t>
      </w:r>
      <w:r w:rsidRPr="005511E3">
        <w:rPr>
          <w:color w:val="021142"/>
          <w:lang w:val="el-GR"/>
        </w:rPr>
        <w:t>αποτελέσματα</w:t>
      </w:r>
      <w:r w:rsidRPr="005511E3">
        <w:rPr>
          <w:color w:val="021142"/>
          <w:spacing w:val="-7"/>
          <w:lang w:val="el-GR"/>
        </w:rPr>
        <w:t xml:space="preserve"> </w:t>
      </w:r>
      <w:r w:rsidRPr="005511E3">
        <w:rPr>
          <w:color w:val="021142"/>
          <w:lang w:val="el-GR"/>
        </w:rPr>
        <w:t>από</w:t>
      </w:r>
      <w:r w:rsidRPr="005511E3">
        <w:rPr>
          <w:color w:val="021142"/>
          <w:spacing w:val="-6"/>
          <w:lang w:val="el-GR"/>
        </w:rPr>
        <w:t xml:space="preserve"> </w:t>
      </w:r>
      <w:r w:rsidRPr="005511E3">
        <w:rPr>
          <w:color w:val="021142"/>
          <w:lang w:val="el-GR"/>
        </w:rPr>
        <w:t>επενδυτικούς</w:t>
      </w:r>
      <w:r w:rsidRPr="005511E3">
        <w:rPr>
          <w:color w:val="021142"/>
          <w:spacing w:val="-7"/>
          <w:lang w:val="el-GR"/>
        </w:rPr>
        <w:t xml:space="preserve"> </w:t>
      </w:r>
      <w:r w:rsidRPr="005511E3">
        <w:rPr>
          <w:color w:val="021142"/>
          <w:lang w:val="el-GR"/>
        </w:rPr>
        <w:t>τίτλους</w:t>
      </w:r>
      <w:r w:rsidRPr="005511E3">
        <w:rPr>
          <w:color w:val="021142"/>
          <w:spacing w:val="-6"/>
          <w:lang w:val="el-GR"/>
        </w:rPr>
        <w:t xml:space="preserve"> </w:t>
      </w:r>
      <w:r w:rsidRPr="005511E3">
        <w:rPr>
          <w:color w:val="021142"/>
          <w:lang w:val="el-GR"/>
        </w:rPr>
        <w:t>και</w:t>
      </w:r>
      <w:r w:rsidRPr="005511E3">
        <w:rPr>
          <w:color w:val="021142"/>
          <w:spacing w:val="-7"/>
          <w:lang w:val="el-GR"/>
        </w:rPr>
        <w:t xml:space="preserve"> </w:t>
      </w:r>
      <w:r w:rsidRPr="005511E3">
        <w:rPr>
          <w:color w:val="021142"/>
          <w:lang w:val="el-GR"/>
        </w:rPr>
        <w:t>λοιπά</w:t>
      </w:r>
      <w:r w:rsidRPr="005511E3">
        <w:rPr>
          <w:color w:val="021142"/>
          <w:spacing w:val="-7"/>
          <w:lang w:val="el-GR"/>
        </w:rPr>
        <w:t xml:space="preserve"> </w:t>
      </w:r>
      <w:r w:rsidRPr="005511E3">
        <w:rPr>
          <w:color w:val="021142"/>
          <w:lang w:val="el-GR"/>
        </w:rPr>
        <w:t>έσοδα/(έξοδα)</w:t>
      </w:r>
      <w:r w:rsidRPr="005511E3">
        <w:rPr>
          <w:color w:val="021142"/>
          <w:spacing w:val="-6"/>
          <w:lang w:val="el-GR"/>
        </w:rPr>
        <w:t xml:space="preserve"> </w:t>
      </w:r>
      <w:r w:rsidRPr="005511E3">
        <w:rPr>
          <w:color w:val="021142"/>
          <w:lang w:val="el-GR"/>
        </w:rPr>
        <w:t>της</w:t>
      </w:r>
      <w:r w:rsidRPr="005511E3">
        <w:rPr>
          <w:color w:val="021142"/>
          <w:spacing w:val="-7"/>
          <w:lang w:val="el-GR"/>
        </w:rPr>
        <w:t xml:space="preserve"> </w:t>
      </w:r>
      <w:r w:rsidRPr="005511E3">
        <w:rPr>
          <w:color w:val="021142"/>
          <w:lang w:val="el-GR"/>
        </w:rPr>
        <w:t>υπό</w:t>
      </w:r>
      <w:r w:rsidRPr="005511E3">
        <w:rPr>
          <w:color w:val="021142"/>
          <w:spacing w:val="-6"/>
          <w:lang w:val="el-GR"/>
        </w:rPr>
        <w:t xml:space="preserve"> </w:t>
      </w:r>
      <w:r w:rsidRPr="005511E3">
        <w:rPr>
          <w:color w:val="021142"/>
          <w:lang w:val="el-GR"/>
        </w:rPr>
        <w:t>εξέταση</w:t>
      </w:r>
      <w:r w:rsidRPr="005511E3">
        <w:rPr>
          <w:color w:val="021142"/>
          <w:spacing w:val="-7"/>
          <w:lang w:val="el-GR"/>
        </w:rPr>
        <w:t xml:space="preserve"> </w:t>
      </w:r>
      <w:r w:rsidRPr="005511E3">
        <w:rPr>
          <w:color w:val="021142"/>
          <w:lang w:val="el-GR"/>
        </w:rPr>
        <w:t>περιόδου.</w:t>
      </w:r>
    </w:p>
    <w:p w14:paraId="6C3D345D" w14:textId="53841FFA" w:rsidR="00852D18" w:rsidRPr="005511E3" w:rsidRDefault="005511E3" w:rsidP="0063742F">
      <w:pPr>
        <w:pStyle w:val="ListParagraph"/>
        <w:numPr>
          <w:ilvl w:val="0"/>
          <w:numId w:val="20"/>
        </w:numPr>
        <w:tabs>
          <w:tab w:val="left" w:pos="394"/>
        </w:tabs>
        <w:spacing w:before="100" w:line="249" w:lineRule="auto"/>
        <w:rPr>
          <w:lang w:val="el-GR"/>
        </w:rPr>
      </w:pPr>
      <w:r w:rsidRPr="005511E3">
        <w:rPr>
          <w:b/>
          <w:color w:val="021142"/>
          <w:lang w:val="el-GR"/>
        </w:rPr>
        <w:t>Καθαρό</w:t>
      </w:r>
      <w:r w:rsidRPr="005511E3">
        <w:rPr>
          <w:b/>
          <w:color w:val="021142"/>
          <w:spacing w:val="-13"/>
          <w:lang w:val="el-GR"/>
        </w:rPr>
        <w:t xml:space="preserve"> </w:t>
      </w:r>
      <w:r w:rsidRPr="005511E3">
        <w:rPr>
          <w:b/>
          <w:color w:val="021142"/>
          <w:lang w:val="el-GR"/>
        </w:rPr>
        <w:t>Περιθώριο</w:t>
      </w:r>
      <w:r w:rsidRPr="005511E3">
        <w:rPr>
          <w:b/>
          <w:color w:val="021142"/>
          <w:spacing w:val="-13"/>
          <w:lang w:val="el-GR"/>
        </w:rPr>
        <w:t xml:space="preserve"> </w:t>
      </w:r>
      <w:r w:rsidRPr="005511E3">
        <w:rPr>
          <w:b/>
          <w:color w:val="021142"/>
          <w:lang w:val="el-GR"/>
        </w:rPr>
        <w:t>Επιτοκίου</w:t>
      </w:r>
      <w:r w:rsidRPr="005511E3">
        <w:rPr>
          <w:b/>
          <w:color w:val="021142"/>
          <w:spacing w:val="-13"/>
          <w:lang w:val="el-GR"/>
        </w:rPr>
        <w:t xml:space="preserve"> </w:t>
      </w:r>
      <w:r w:rsidRPr="005511E3">
        <w:rPr>
          <w:b/>
          <w:color w:val="021142"/>
          <w:lang w:val="el-GR"/>
        </w:rPr>
        <w:t>(</w:t>
      </w:r>
      <w:r>
        <w:rPr>
          <w:b/>
          <w:color w:val="021142"/>
        </w:rPr>
        <w:t>NIM</w:t>
      </w:r>
      <w:r w:rsidRPr="005511E3">
        <w:rPr>
          <w:b/>
          <w:color w:val="021142"/>
          <w:lang w:val="el-GR"/>
        </w:rPr>
        <w:t>):</w:t>
      </w:r>
      <w:r w:rsidRPr="005511E3">
        <w:rPr>
          <w:b/>
          <w:color w:val="021142"/>
          <w:spacing w:val="-13"/>
          <w:lang w:val="el-GR"/>
        </w:rPr>
        <w:t xml:space="preserve"> </w:t>
      </w:r>
      <w:r w:rsidRPr="005511E3">
        <w:rPr>
          <w:color w:val="021142"/>
          <w:lang w:val="el-GR"/>
        </w:rPr>
        <w:t>Ο</w:t>
      </w:r>
      <w:r w:rsidRPr="005511E3">
        <w:rPr>
          <w:color w:val="021142"/>
          <w:spacing w:val="-13"/>
          <w:lang w:val="el-GR"/>
        </w:rPr>
        <w:t xml:space="preserve"> </w:t>
      </w:r>
      <w:r w:rsidRPr="005511E3">
        <w:rPr>
          <w:color w:val="021142"/>
          <w:lang w:val="el-GR"/>
        </w:rPr>
        <w:t>λόγος</w:t>
      </w:r>
      <w:r w:rsidRPr="005511E3">
        <w:rPr>
          <w:color w:val="021142"/>
          <w:spacing w:val="-13"/>
          <w:lang w:val="el-GR"/>
        </w:rPr>
        <w:t xml:space="preserve"> </w:t>
      </w:r>
      <w:r w:rsidRPr="005511E3">
        <w:rPr>
          <w:color w:val="021142"/>
          <w:lang w:val="el-GR"/>
        </w:rPr>
        <w:t>των</w:t>
      </w:r>
      <w:r w:rsidRPr="005511E3">
        <w:rPr>
          <w:color w:val="021142"/>
          <w:spacing w:val="-13"/>
          <w:lang w:val="el-GR"/>
        </w:rPr>
        <w:t xml:space="preserve"> </w:t>
      </w:r>
      <w:r w:rsidRPr="005511E3">
        <w:rPr>
          <w:color w:val="021142"/>
          <w:lang w:val="el-GR"/>
        </w:rPr>
        <w:t>καθαρών</w:t>
      </w:r>
      <w:r w:rsidRPr="005511E3">
        <w:rPr>
          <w:color w:val="021142"/>
          <w:spacing w:val="-14"/>
          <w:lang w:val="el-GR"/>
        </w:rPr>
        <w:t xml:space="preserve"> </w:t>
      </w:r>
      <w:r w:rsidRPr="005511E3">
        <w:rPr>
          <w:color w:val="021142"/>
          <w:lang w:val="el-GR"/>
        </w:rPr>
        <w:t>εσόδων</w:t>
      </w:r>
      <w:r w:rsidRPr="005511E3">
        <w:rPr>
          <w:color w:val="021142"/>
          <w:spacing w:val="-13"/>
          <w:lang w:val="el-GR"/>
        </w:rPr>
        <w:t xml:space="preserve"> </w:t>
      </w:r>
      <w:r w:rsidRPr="005511E3">
        <w:rPr>
          <w:color w:val="021142"/>
          <w:lang w:val="el-GR"/>
        </w:rPr>
        <w:t>από</w:t>
      </w:r>
      <w:r w:rsidRPr="005511E3">
        <w:rPr>
          <w:color w:val="021142"/>
          <w:spacing w:val="-13"/>
          <w:lang w:val="el-GR"/>
        </w:rPr>
        <w:t xml:space="preserve"> </w:t>
      </w:r>
      <w:r w:rsidRPr="005511E3">
        <w:rPr>
          <w:color w:val="021142"/>
          <w:lang w:val="el-GR"/>
        </w:rPr>
        <w:t>τόκους</w:t>
      </w:r>
      <w:r w:rsidRPr="005511E3">
        <w:rPr>
          <w:color w:val="021142"/>
          <w:spacing w:val="-13"/>
          <w:lang w:val="el-GR"/>
        </w:rPr>
        <w:t xml:space="preserve"> </w:t>
      </w:r>
      <w:r w:rsidRPr="005511E3">
        <w:rPr>
          <w:color w:val="021142"/>
          <w:lang w:val="el-GR"/>
        </w:rPr>
        <w:t>σε</w:t>
      </w:r>
      <w:r w:rsidRPr="005511E3">
        <w:rPr>
          <w:color w:val="021142"/>
          <w:spacing w:val="-13"/>
          <w:lang w:val="el-GR"/>
        </w:rPr>
        <w:t xml:space="preserve"> </w:t>
      </w:r>
      <w:r w:rsidRPr="005511E3">
        <w:rPr>
          <w:color w:val="021142"/>
          <w:lang w:val="el-GR"/>
        </w:rPr>
        <w:t>ετησιοποιημένη</w:t>
      </w:r>
      <w:r w:rsidRPr="005511E3">
        <w:rPr>
          <w:color w:val="021142"/>
          <w:spacing w:val="-13"/>
          <w:lang w:val="el-GR"/>
        </w:rPr>
        <w:t xml:space="preserve"> </w:t>
      </w:r>
      <w:r w:rsidRPr="005511E3">
        <w:rPr>
          <w:color w:val="021142"/>
          <w:lang w:val="el-GR"/>
        </w:rPr>
        <w:t>βάση,</w:t>
      </w:r>
      <w:r w:rsidRPr="005511E3">
        <w:rPr>
          <w:color w:val="021142"/>
          <w:spacing w:val="-13"/>
          <w:lang w:val="el-GR"/>
        </w:rPr>
        <w:t xml:space="preserve"> </w:t>
      </w:r>
      <w:r w:rsidRPr="005511E3">
        <w:rPr>
          <w:color w:val="021142"/>
          <w:lang w:val="el-GR"/>
        </w:rPr>
        <w:t>προς</w:t>
      </w:r>
      <w:r w:rsidRPr="005511E3">
        <w:rPr>
          <w:color w:val="021142"/>
          <w:spacing w:val="-53"/>
          <w:lang w:val="el-GR"/>
        </w:rPr>
        <w:t xml:space="preserve"> </w:t>
      </w:r>
      <w:r w:rsidRPr="005511E3">
        <w:rPr>
          <w:color w:val="021142"/>
          <w:lang w:val="el-GR"/>
        </w:rPr>
        <w:t>το</w:t>
      </w:r>
      <w:r w:rsidRPr="005511E3">
        <w:rPr>
          <w:color w:val="021142"/>
          <w:spacing w:val="-6"/>
          <w:lang w:val="el-GR"/>
        </w:rPr>
        <w:t xml:space="preserve"> </w:t>
      </w:r>
      <w:r w:rsidRPr="005511E3">
        <w:rPr>
          <w:color w:val="021142"/>
          <w:lang w:val="el-GR"/>
        </w:rPr>
        <w:t>μέσο</w:t>
      </w:r>
      <w:r w:rsidRPr="005511E3">
        <w:rPr>
          <w:color w:val="021142"/>
          <w:spacing w:val="-5"/>
          <w:lang w:val="el-GR"/>
        </w:rPr>
        <w:t xml:space="preserve"> </w:t>
      </w:r>
      <w:r w:rsidRPr="005511E3">
        <w:rPr>
          <w:color w:val="021142"/>
          <w:lang w:val="el-GR"/>
        </w:rPr>
        <w:t>υπόλοιπο</w:t>
      </w:r>
      <w:r w:rsidRPr="005511E3">
        <w:rPr>
          <w:color w:val="021142"/>
          <w:spacing w:val="-5"/>
          <w:lang w:val="el-GR"/>
        </w:rPr>
        <w:t xml:space="preserve"> </w:t>
      </w:r>
      <w:r w:rsidRPr="005511E3">
        <w:rPr>
          <w:color w:val="021142"/>
          <w:lang w:val="el-GR"/>
        </w:rPr>
        <w:t>του</w:t>
      </w:r>
      <w:r w:rsidRPr="005511E3">
        <w:rPr>
          <w:color w:val="021142"/>
          <w:spacing w:val="-5"/>
          <w:lang w:val="el-GR"/>
        </w:rPr>
        <w:t xml:space="preserve"> </w:t>
      </w:r>
      <w:r w:rsidRPr="005511E3">
        <w:rPr>
          <w:color w:val="021142"/>
          <w:lang w:val="el-GR"/>
        </w:rPr>
        <w:t>συνόλου</w:t>
      </w:r>
      <w:r w:rsidRPr="005511E3">
        <w:rPr>
          <w:color w:val="021142"/>
          <w:spacing w:val="-6"/>
          <w:lang w:val="el-GR"/>
        </w:rPr>
        <w:t xml:space="preserve"> </w:t>
      </w:r>
      <w:r w:rsidRPr="005511E3">
        <w:rPr>
          <w:color w:val="021142"/>
          <w:lang w:val="el-GR"/>
        </w:rPr>
        <w:t>ενεργητικού</w:t>
      </w:r>
      <w:r w:rsidRPr="005511E3">
        <w:rPr>
          <w:color w:val="021142"/>
          <w:spacing w:val="-5"/>
          <w:lang w:val="el-GR"/>
        </w:rPr>
        <w:t xml:space="preserve"> </w:t>
      </w:r>
      <w:r w:rsidRPr="005511E3">
        <w:rPr>
          <w:color w:val="021142"/>
          <w:lang w:val="el-GR"/>
        </w:rPr>
        <w:t>των</w:t>
      </w:r>
      <w:r w:rsidRPr="005511E3">
        <w:rPr>
          <w:color w:val="021142"/>
          <w:spacing w:val="-5"/>
          <w:lang w:val="el-GR"/>
        </w:rPr>
        <w:t xml:space="preserve"> </w:t>
      </w:r>
      <w:r w:rsidRPr="005511E3">
        <w:rPr>
          <w:color w:val="021142"/>
          <w:lang w:val="el-GR"/>
        </w:rPr>
        <w:t>συνεχιζόμενων</w:t>
      </w:r>
      <w:r w:rsidRPr="005511E3">
        <w:rPr>
          <w:color w:val="021142"/>
          <w:spacing w:val="-5"/>
          <w:lang w:val="el-GR"/>
        </w:rPr>
        <w:t xml:space="preserve"> </w:t>
      </w:r>
      <w:r w:rsidRPr="005511E3">
        <w:rPr>
          <w:color w:val="021142"/>
          <w:lang w:val="el-GR"/>
        </w:rPr>
        <w:t>δραστηριοτήτων</w:t>
      </w:r>
      <w:r w:rsidRPr="005511E3">
        <w:rPr>
          <w:color w:val="021142"/>
          <w:spacing w:val="-5"/>
          <w:lang w:val="el-GR"/>
        </w:rPr>
        <w:t xml:space="preserve"> </w:t>
      </w:r>
      <w:r w:rsidRPr="005511E3">
        <w:rPr>
          <w:color w:val="021142"/>
          <w:lang w:val="el-GR"/>
        </w:rPr>
        <w:t>(ο</w:t>
      </w:r>
      <w:r w:rsidRPr="005511E3">
        <w:rPr>
          <w:color w:val="021142"/>
          <w:spacing w:val="-6"/>
          <w:lang w:val="el-GR"/>
        </w:rPr>
        <w:t xml:space="preserve"> </w:t>
      </w:r>
      <w:r w:rsidRPr="005511E3">
        <w:rPr>
          <w:color w:val="021142"/>
          <w:lang w:val="el-GR"/>
        </w:rPr>
        <w:t>αριθμητικός</w:t>
      </w:r>
      <w:r w:rsidRPr="005511E3">
        <w:rPr>
          <w:color w:val="021142"/>
          <w:spacing w:val="-5"/>
          <w:lang w:val="el-GR"/>
        </w:rPr>
        <w:t xml:space="preserve"> </w:t>
      </w:r>
      <w:r w:rsidRPr="005511E3">
        <w:rPr>
          <w:color w:val="021142"/>
          <w:lang w:val="el-GR"/>
        </w:rPr>
        <w:t>μέσος</w:t>
      </w:r>
      <w:r w:rsidRPr="005511E3">
        <w:rPr>
          <w:color w:val="021142"/>
          <w:spacing w:val="-5"/>
          <w:lang w:val="el-GR"/>
        </w:rPr>
        <w:t xml:space="preserve"> </w:t>
      </w:r>
      <w:r w:rsidRPr="005511E3">
        <w:rPr>
          <w:color w:val="021142"/>
          <w:lang w:val="el-GR"/>
        </w:rPr>
        <w:t>όρος</w:t>
      </w:r>
      <w:r w:rsidRPr="005511E3">
        <w:rPr>
          <w:color w:val="021142"/>
          <w:spacing w:val="-5"/>
          <w:lang w:val="el-GR"/>
        </w:rPr>
        <w:t xml:space="preserve"> </w:t>
      </w:r>
      <w:r w:rsidRPr="005511E3">
        <w:rPr>
          <w:color w:val="021142"/>
          <w:lang w:val="el-GR"/>
        </w:rPr>
        <w:t>του</w:t>
      </w:r>
      <w:r w:rsidRPr="005511E3">
        <w:rPr>
          <w:color w:val="021142"/>
          <w:spacing w:val="-52"/>
          <w:lang w:val="el-GR"/>
        </w:rPr>
        <w:t xml:space="preserve"> </w:t>
      </w:r>
      <w:r w:rsidRPr="005511E3">
        <w:rPr>
          <w:color w:val="021142"/>
          <w:spacing w:val="-1"/>
          <w:lang w:val="el-GR"/>
        </w:rPr>
        <w:t>συνόλου</w:t>
      </w:r>
      <w:r w:rsidRPr="005511E3">
        <w:rPr>
          <w:color w:val="021142"/>
          <w:spacing w:val="-12"/>
          <w:lang w:val="el-GR"/>
        </w:rPr>
        <w:t xml:space="preserve"> </w:t>
      </w:r>
      <w:r w:rsidRPr="005511E3">
        <w:rPr>
          <w:color w:val="021142"/>
          <w:spacing w:val="-1"/>
          <w:lang w:val="el-GR"/>
        </w:rPr>
        <w:t>ενεργητικού,</w:t>
      </w:r>
      <w:r w:rsidRPr="005511E3">
        <w:rPr>
          <w:color w:val="021142"/>
          <w:spacing w:val="-12"/>
          <w:lang w:val="el-GR"/>
        </w:rPr>
        <w:t xml:space="preserve"> </w:t>
      </w:r>
      <w:r w:rsidRPr="005511E3">
        <w:rPr>
          <w:color w:val="021142"/>
          <w:spacing w:val="-1"/>
          <w:lang w:val="el-GR"/>
        </w:rPr>
        <w:t>εξαιρουμένων</w:t>
      </w:r>
      <w:r w:rsidRPr="005511E3">
        <w:rPr>
          <w:color w:val="021142"/>
          <w:spacing w:val="-12"/>
          <w:lang w:val="el-GR"/>
        </w:rPr>
        <w:t xml:space="preserve"> </w:t>
      </w:r>
      <w:r w:rsidRPr="005511E3">
        <w:rPr>
          <w:color w:val="021142"/>
          <w:spacing w:val="-1"/>
          <w:lang w:val="el-GR"/>
        </w:rPr>
        <w:t>των</w:t>
      </w:r>
      <w:r w:rsidRPr="005511E3">
        <w:rPr>
          <w:color w:val="021142"/>
          <w:spacing w:val="-12"/>
          <w:lang w:val="el-GR"/>
        </w:rPr>
        <w:t xml:space="preserve"> </w:t>
      </w:r>
      <w:r w:rsidRPr="005511E3">
        <w:rPr>
          <w:color w:val="021142"/>
          <w:spacing w:val="-1"/>
          <w:lang w:val="el-GR"/>
        </w:rPr>
        <w:t>στοιχείων</w:t>
      </w:r>
      <w:r w:rsidRPr="005511E3">
        <w:rPr>
          <w:color w:val="021142"/>
          <w:spacing w:val="-12"/>
          <w:lang w:val="el-GR"/>
        </w:rPr>
        <w:t xml:space="preserve"> </w:t>
      </w:r>
      <w:r w:rsidRPr="005511E3">
        <w:rPr>
          <w:color w:val="021142"/>
          <w:spacing w:val="-1"/>
          <w:lang w:val="el-GR"/>
        </w:rPr>
        <w:t>ενεργητικού</w:t>
      </w:r>
      <w:r w:rsidRPr="005511E3">
        <w:rPr>
          <w:color w:val="021142"/>
          <w:spacing w:val="-12"/>
          <w:lang w:val="el-GR"/>
        </w:rPr>
        <w:t xml:space="preserve"> </w:t>
      </w:r>
      <w:r w:rsidRPr="005511E3">
        <w:rPr>
          <w:color w:val="021142"/>
          <w:lang w:val="el-GR"/>
        </w:rPr>
        <w:t>από</w:t>
      </w:r>
      <w:r w:rsidRPr="005511E3">
        <w:rPr>
          <w:color w:val="021142"/>
          <w:spacing w:val="-12"/>
          <w:lang w:val="el-GR"/>
        </w:rPr>
        <w:t xml:space="preserve"> </w:t>
      </w:r>
      <w:r w:rsidRPr="005511E3">
        <w:rPr>
          <w:color w:val="021142"/>
          <w:lang w:val="el-GR"/>
        </w:rPr>
        <w:t>μη</w:t>
      </w:r>
      <w:r w:rsidRPr="005511E3">
        <w:rPr>
          <w:color w:val="021142"/>
          <w:spacing w:val="-12"/>
          <w:lang w:val="el-GR"/>
        </w:rPr>
        <w:t xml:space="preserve"> </w:t>
      </w:r>
      <w:r w:rsidRPr="005511E3">
        <w:rPr>
          <w:color w:val="021142"/>
          <w:lang w:val="el-GR"/>
        </w:rPr>
        <w:t>συνεχιζόμενες</w:t>
      </w:r>
      <w:r w:rsidRPr="005511E3">
        <w:rPr>
          <w:color w:val="021142"/>
          <w:spacing w:val="-12"/>
          <w:lang w:val="el-GR"/>
        </w:rPr>
        <w:t xml:space="preserve"> </w:t>
      </w:r>
      <w:r w:rsidRPr="005511E3">
        <w:rPr>
          <w:color w:val="021142"/>
          <w:lang w:val="el-GR"/>
        </w:rPr>
        <w:t>δραστηριότητες,</w:t>
      </w:r>
      <w:r w:rsidRPr="005511E3">
        <w:rPr>
          <w:color w:val="021142"/>
          <w:spacing w:val="-12"/>
          <w:lang w:val="el-GR"/>
        </w:rPr>
        <w:t xml:space="preserve"> </w:t>
      </w:r>
      <w:r w:rsidRPr="005511E3">
        <w:rPr>
          <w:color w:val="021142"/>
          <w:lang w:val="el-GR"/>
        </w:rPr>
        <w:t>στην</w:t>
      </w:r>
      <w:r w:rsidRPr="005511E3">
        <w:rPr>
          <w:color w:val="021142"/>
          <w:spacing w:val="-12"/>
          <w:lang w:val="el-GR"/>
        </w:rPr>
        <w:t xml:space="preserve"> </w:t>
      </w:r>
      <w:r w:rsidRPr="005511E3">
        <w:rPr>
          <w:color w:val="021142"/>
          <w:lang w:val="el-GR"/>
        </w:rPr>
        <w:t>αρχή</w:t>
      </w:r>
      <w:r w:rsidRPr="005511E3">
        <w:rPr>
          <w:color w:val="021142"/>
          <w:spacing w:val="-52"/>
          <w:lang w:val="el-GR"/>
        </w:rPr>
        <w:t xml:space="preserve"> </w:t>
      </w:r>
      <w:r w:rsidRPr="005511E3">
        <w:rPr>
          <w:color w:val="021142"/>
          <w:lang w:val="el-GR"/>
        </w:rPr>
        <w:t>και</w:t>
      </w:r>
      <w:r w:rsidRPr="005511E3">
        <w:rPr>
          <w:color w:val="021142"/>
          <w:spacing w:val="-3"/>
          <w:lang w:val="el-GR"/>
        </w:rPr>
        <w:t xml:space="preserve"> </w:t>
      </w:r>
      <w:r w:rsidRPr="005511E3">
        <w:rPr>
          <w:color w:val="021142"/>
          <w:lang w:val="el-GR"/>
        </w:rPr>
        <w:t>στο</w:t>
      </w:r>
      <w:r w:rsidRPr="005511E3">
        <w:rPr>
          <w:color w:val="021142"/>
          <w:spacing w:val="-3"/>
          <w:lang w:val="el-GR"/>
        </w:rPr>
        <w:t xml:space="preserve"> </w:t>
      </w:r>
      <w:r w:rsidRPr="005511E3">
        <w:rPr>
          <w:color w:val="021142"/>
          <w:lang w:val="el-GR"/>
        </w:rPr>
        <w:t>τέλος</w:t>
      </w:r>
      <w:r w:rsidRPr="005511E3">
        <w:rPr>
          <w:color w:val="021142"/>
          <w:spacing w:val="-3"/>
          <w:lang w:val="el-GR"/>
        </w:rPr>
        <w:t xml:space="preserve"> </w:t>
      </w:r>
      <w:r w:rsidRPr="005511E3">
        <w:rPr>
          <w:color w:val="021142"/>
          <w:lang w:val="el-GR"/>
        </w:rPr>
        <w:t>της</w:t>
      </w:r>
      <w:r w:rsidRPr="005511E3">
        <w:rPr>
          <w:color w:val="021142"/>
          <w:spacing w:val="-3"/>
          <w:lang w:val="el-GR"/>
        </w:rPr>
        <w:t xml:space="preserve"> </w:t>
      </w:r>
      <w:r w:rsidRPr="005511E3">
        <w:rPr>
          <w:color w:val="021142"/>
          <w:lang w:val="el-GR"/>
        </w:rPr>
        <w:t>υπό</w:t>
      </w:r>
      <w:r w:rsidRPr="005511E3">
        <w:rPr>
          <w:color w:val="021142"/>
          <w:spacing w:val="-3"/>
          <w:lang w:val="el-GR"/>
        </w:rPr>
        <w:t xml:space="preserve"> </w:t>
      </w:r>
      <w:r w:rsidRPr="005511E3">
        <w:rPr>
          <w:color w:val="021142"/>
          <w:lang w:val="el-GR"/>
        </w:rPr>
        <w:t>εξέταση</w:t>
      </w:r>
      <w:r w:rsidRPr="005511E3">
        <w:rPr>
          <w:color w:val="021142"/>
          <w:spacing w:val="-3"/>
          <w:lang w:val="el-GR"/>
        </w:rPr>
        <w:t xml:space="preserve"> </w:t>
      </w:r>
      <w:r w:rsidRPr="005511E3">
        <w:rPr>
          <w:color w:val="021142"/>
          <w:lang w:val="el-GR"/>
        </w:rPr>
        <w:t>περιόδου</w:t>
      </w:r>
      <w:r w:rsidRPr="005511E3">
        <w:rPr>
          <w:color w:val="021142"/>
          <w:spacing w:val="-3"/>
          <w:lang w:val="el-GR"/>
        </w:rPr>
        <w:t xml:space="preserve"> </w:t>
      </w:r>
      <w:r w:rsidRPr="005511E3">
        <w:rPr>
          <w:color w:val="021142"/>
          <w:lang w:val="el-GR"/>
        </w:rPr>
        <w:t>καθώς</w:t>
      </w:r>
      <w:r w:rsidRPr="005511E3">
        <w:rPr>
          <w:color w:val="021142"/>
          <w:spacing w:val="-2"/>
          <w:lang w:val="el-GR"/>
        </w:rPr>
        <w:t xml:space="preserve"> </w:t>
      </w:r>
      <w:r w:rsidRPr="005511E3">
        <w:rPr>
          <w:color w:val="021142"/>
          <w:lang w:val="el-GR"/>
        </w:rPr>
        <w:t>επίσης</w:t>
      </w:r>
      <w:r w:rsidRPr="005511E3">
        <w:rPr>
          <w:color w:val="021142"/>
          <w:spacing w:val="-3"/>
          <w:lang w:val="el-GR"/>
        </w:rPr>
        <w:t xml:space="preserve"> </w:t>
      </w:r>
      <w:r w:rsidRPr="005511E3">
        <w:rPr>
          <w:color w:val="021142"/>
          <w:lang w:val="el-GR"/>
        </w:rPr>
        <w:t>και</w:t>
      </w:r>
      <w:r w:rsidRPr="005511E3">
        <w:rPr>
          <w:color w:val="021142"/>
          <w:spacing w:val="-3"/>
          <w:lang w:val="el-GR"/>
        </w:rPr>
        <w:t xml:space="preserve"> </w:t>
      </w:r>
      <w:r w:rsidRPr="005511E3">
        <w:rPr>
          <w:color w:val="021142"/>
          <w:lang w:val="el-GR"/>
        </w:rPr>
        <w:t>στο</w:t>
      </w:r>
      <w:r w:rsidRPr="005511E3">
        <w:rPr>
          <w:color w:val="021142"/>
          <w:spacing w:val="-3"/>
          <w:lang w:val="el-GR"/>
        </w:rPr>
        <w:t xml:space="preserve"> </w:t>
      </w:r>
      <w:r w:rsidRPr="005511E3">
        <w:rPr>
          <w:color w:val="021142"/>
          <w:lang w:val="el-GR"/>
        </w:rPr>
        <w:t>τέλος</w:t>
      </w:r>
      <w:r w:rsidRPr="005511E3">
        <w:rPr>
          <w:color w:val="021142"/>
          <w:spacing w:val="-3"/>
          <w:lang w:val="el-GR"/>
        </w:rPr>
        <w:t xml:space="preserve"> </w:t>
      </w:r>
      <w:r w:rsidRPr="005511E3">
        <w:rPr>
          <w:color w:val="021142"/>
          <w:lang w:val="el-GR"/>
        </w:rPr>
        <w:t>των</w:t>
      </w:r>
      <w:r w:rsidRPr="005511E3">
        <w:rPr>
          <w:color w:val="021142"/>
          <w:spacing w:val="-3"/>
          <w:lang w:val="el-GR"/>
        </w:rPr>
        <w:t xml:space="preserve"> </w:t>
      </w:r>
      <w:r w:rsidRPr="005511E3">
        <w:rPr>
          <w:color w:val="021142"/>
          <w:lang w:val="el-GR"/>
        </w:rPr>
        <w:t>ενδιάμεσων</w:t>
      </w:r>
      <w:r w:rsidRPr="005511E3">
        <w:rPr>
          <w:color w:val="021142"/>
          <w:spacing w:val="-3"/>
          <w:lang w:val="el-GR"/>
        </w:rPr>
        <w:t xml:space="preserve"> </w:t>
      </w:r>
      <w:r w:rsidRPr="005511E3">
        <w:rPr>
          <w:color w:val="021142"/>
          <w:lang w:val="el-GR"/>
        </w:rPr>
        <w:t>τριμήνων).</w:t>
      </w:r>
    </w:p>
    <w:p w14:paraId="030ECC33" w14:textId="5190873C" w:rsidR="00852D18" w:rsidRPr="005511E3" w:rsidRDefault="005511E3" w:rsidP="0063742F">
      <w:pPr>
        <w:pStyle w:val="ListParagraph"/>
        <w:numPr>
          <w:ilvl w:val="0"/>
          <w:numId w:val="20"/>
        </w:numPr>
        <w:tabs>
          <w:tab w:val="left" w:pos="395"/>
        </w:tabs>
        <w:spacing w:before="98" w:line="242" w:lineRule="auto"/>
        <w:rPr>
          <w:lang w:val="el-GR"/>
        </w:rPr>
      </w:pPr>
      <w:r w:rsidRPr="005511E3">
        <w:rPr>
          <w:b/>
          <w:color w:val="021142"/>
          <w:spacing w:val="-1"/>
          <w:lang w:val="el-GR"/>
        </w:rPr>
        <w:t>Κέρδη</w:t>
      </w:r>
      <w:r w:rsidRPr="005511E3">
        <w:rPr>
          <w:b/>
          <w:color w:val="021142"/>
          <w:spacing w:val="-12"/>
          <w:lang w:val="el-GR"/>
        </w:rPr>
        <w:t xml:space="preserve"> </w:t>
      </w:r>
      <w:r w:rsidRPr="005511E3">
        <w:rPr>
          <w:b/>
          <w:color w:val="021142"/>
          <w:spacing w:val="-1"/>
          <w:lang w:val="el-GR"/>
        </w:rPr>
        <w:t>προ</w:t>
      </w:r>
      <w:r w:rsidRPr="005511E3">
        <w:rPr>
          <w:b/>
          <w:color w:val="021142"/>
          <w:spacing w:val="-12"/>
          <w:lang w:val="el-GR"/>
        </w:rPr>
        <w:t xml:space="preserve"> </w:t>
      </w:r>
      <w:r w:rsidRPr="005511E3">
        <w:rPr>
          <w:b/>
          <w:color w:val="021142"/>
          <w:spacing w:val="-1"/>
          <w:lang w:val="el-GR"/>
        </w:rPr>
        <w:t>προβλέψεων</w:t>
      </w:r>
      <w:r w:rsidRPr="005511E3">
        <w:rPr>
          <w:b/>
          <w:color w:val="021142"/>
          <w:spacing w:val="-12"/>
          <w:lang w:val="el-GR"/>
        </w:rPr>
        <w:t xml:space="preserve"> </w:t>
      </w:r>
      <w:r w:rsidRPr="005511E3">
        <w:rPr>
          <w:b/>
          <w:color w:val="021142"/>
          <w:spacing w:val="-1"/>
          <w:lang w:val="el-GR"/>
        </w:rPr>
        <w:t>(</w:t>
      </w:r>
      <w:r>
        <w:rPr>
          <w:b/>
          <w:color w:val="021142"/>
          <w:spacing w:val="-1"/>
        </w:rPr>
        <w:t>PPI</w:t>
      </w:r>
      <w:r w:rsidRPr="005511E3">
        <w:rPr>
          <w:b/>
          <w:color w:val="021142"/>
          <w:spacing w:val="-1"/>
          <w:lang w:val="el-GR"/>
        </w:rPr>
        <w:t>):</w:t>
      </w:r>
      <w:r w:rsidRPr="005511E3">
        <w:rPr>
          <w:b/>
          <w:color w:val="021142"/>
          <w:spacing w:val="-12"/>
          <w:lang w:val="el-GR"/>
        </w:rPr>
        <w:t xml:space="preserve"> </w:t>
      </w:r>
      <w:r w:rsidRPr="005511E3">
        <w:rPr>
          <w:color w:val="021142"/>
          <w:spacing w:val="-1"/>
          <w:lang w:val="el-GR"/>
        </w:rPr>
        <w:t>Λειτουργικά</w:t>
      </w:r>
      <w:r w:rsidRPr="005511E3">
        <w:rPr>
          <w:color w:val="021142"/>
          <w:spacing w:val="-13"/>
          <w:lang w:val="el-GR"/>
        </w:rPr>
        <w:t xml:space="preserve"> </w:t>
      </w:r>
      <w:r w:rsidRPr="005511E3">
        <w:rPr>
          <w:color w:val="021142"/>
          <w:spacing w:val="-1"/>
          <w:lang w:val="el-GR"/>
        </w:rPr>
        <w:t>κέρδη</w:t>
      </w:r>
      <w:r w:rsidRPr="005511E3">
        <w:rPr>
          <w:color w:val="021142"/>
          <w:spacing w:val="-12"/>
          <w:lang w:val="el-GR"/>
        </w:rPr>
        <w:t xml:space="preserve"> </w:t>
      </w:r>
      <w:r w:rsidRPr="005511E3">
        <w:rPr>
          <w:color w:val="021142"/>
          <w:spacing w:val="-1"/>
          <w:lang w:val="el-GR"/>
        </w:rPr>
        <w:t>προ</w:t>
      </w:r>
      <w:r w:rsidRPr="005511E3">
        <w:rPr>
          <w:color w:val="021142"/>
          <w:spacing w:val="-12"/>
          <w:lang w:val="el-GR"/>
        </w:rPr>
        <w:t xml:space="preserve"> </w:t>
      </w:r>
      <w:r w:rsidRPr="005511E3">
        <w:rPr>
          <w:color w:val="021142"/>
          <w:spacing w:val="-1"/>
          <w:lang w:val="el-GR"/>
        </w:rPr>
        <w:t>απομειώσεων,</w:t>
      </w:r>
      <w:r w:rsidRPr="005511E3">
        <w:rPr>
          <w:color w:val="021142"/>
          <w:spacing w:val="-12"/>
          <w:lang w:val="el-GR"/>
        </w:rPr>
        <w:t xml:space="preserve"> </w:t>
      </w:r>
      <w:r w:rsidRPr="005511E3">
        <w:rPr>
          <w:color w:val="021142"/>
          <w:lang w:val="el-GR"/>
        </w:rPr>
        <w:t>προβλέψεων</w:t>
      </w:r>
      <w:r w:rsidRPr="005511E3">
        <w:rPr>
          <w:color w:val="021142"/>
          <w:spacing w:val="-13"/>
          <w:lang w:val="el-GR"/>
        </w:rPr>
        <w:t xml:space="preserve"> </w:t>
      </w:r>
      <w:r w:rsidR="00673494">
        <w:rPr>
          <w:color w:val="021142"/>
          <w:spacing w:val="-13"/>
          <w:lang w:val="el-GR"/>
        </w:rPr>
        <w:t xml:space="preserve">για κινδύνους </w:t>
      </w:r>
      <w:r w:rsidRPr="005511E3">
        <w:rPr>
          <w:color w:val="021142"/>
          <w:lang w:val="el-GR"/>
        </w:rPr>
        <w:t>και</w:t>
      </w:r>
      <w:r w:rsidRPr="005511E3">
        <w:rPr>
          <w:color w:val="021142"/>
          <w:spacing w:val="-12"/>
          <w:lang w:val="el-GR"/>
        </w:rPr>
        <w:t xml:space="preserve"> </w:t>
      </w:r>
      <w:r w:rsidRPr="005511E3">
        <w:rPr>
          <w:color w:val="021142"/>
          <w:lang w:val="el-GR"/>
        </w:rPr>
        <w:t>εξόδων</w:t>
      </w:r>
      <w:r w:rsidRPr="005511E3">
        <w:rPr>
          <w:color w:val="021142"/>
          <w:spacing w:val="-12"/>
          <w:lang w:val="el-GR"/>
        </w:rPr>
        <w:t xml:space="preserve"> </w:t>
      </w:r>
      <w:r w:rsidRPr="005511E3">
        <w:rPr>
          <w:color w:val="021142"/>
          <w:lang w:val="el-GR"/>
        </w:rPr>
        <w:t>αναδιάρθρωσης</w:t>
      </w:r>
      <w:r w:rsidRPr="005511E3">
        <w:rPr>
          <w:color w:val="021142"/>
          <w:spacing w:val="-52"/>
          <w:lang w:val="el-GR"/>
        </w:rPr>
        <w:t xml:space="preserve"> </w:t>
      </w:r>
      <w:r w:rsidRPr="005511E3">
        <w:rPr>
          <w:color w:val="021142"/>
          <w:lang w:val="el-GR"/>
        </w:rPr>
        <w:t>όπως</w:t>
      </w:r>
      <w:r w:rsidRPr="005511E3">
        <w:rPr>
          <w:color w:val="021142"/>
          <w:spacing w:val="-2"/>
          <w:lang w:val="el-GR"/>
        </w:rPr>
        <w:t xml:space="preserve"> </w:t>
      </w:r>
      <w:r w:rsidRPr="005511E3">
        <w:rPr>
          <w:color w:val="021142"/>
          <w:lang w:val="el-GR"/>
        </w:rPr>
        <w:t>γνωστοποιούνται</w:t>
      </w:r>
      <w:r w:rsidRPr="005511E3">
        <w:rPr>
          <w:color w:val="021142"/>
          <w:spacing w:val="-1"/>
          <w:lang w:val="el-GR"/>
        </w:rPr>
        <w:t xml:space="preserve"> </w:t>
      </w:r>
      <w:r w:rsidRPr="005511E3">
        <w:rPr>
          <w:color w:val="021142"/>
          <w:lang w:val="el-GR"/>
        </w:rPr>
        <w:t>στις</w:t>
      </w:r>
      <w:r w:rsidRPr="005511E3">
        <w:rPr>
          <w:color w:val="021142"/>
          <w:spacing w:val="-2"/>
          <w:lang w:val="el-GR"/>
        </w:rPr>
        <w:t xml:space="preserve"> </w:t>
      </w:r>
      <w:r w:rsidRPr="005511E3">
        <w:rPr>
          <w:color w:val="021142"/>
          <w:lang w:val="el-GR"/>
        </w:rPr>
        <w:t>οικονομικές</w:t>
      </w:r>
      <w:r w:rsidRPr="005511E3">
        <w:rPr>
          <w:color w:val="021142"/>
          <w:spacing w:val="-1"/>
          <w:lang w:val="el-GR"/>
        </w:rPr>
        <w:t xml:space="preserve"> </w:t>
      </w:r>
      <w:r w:rsidRPr="005511E3">
        <w:rPr>
          <w:color w:val="021142"/>
          <w:lang w:val="el-GR"/>
        </w:rPr>
        <w:t>καταστάσεις</w:t>
      </w:r>
      <w:r w:rsidRPr="005511E3">
        <w:rPr>
          <w:color w:val="021142"/>
          <w:spacing w:val="-2"/>
          <w:lang w:val="el-GR"/>
        </w:rPr>
        <w:t xml:space="preserve"> </w:t>
      </w:r>
      <w:r w:rsidRPr="005511E3">
        <w:rPr>
          <w:color w:val="021142"/>
          <w:lang w:val="el-GR"/>
        </w:rPr>
        <w:t>της</w:t>
      </w:r>
      <w:r w:rsidRPr="005511E3">
        <w:rPr>
          <w:color w:val="021142"/>
          <w:spacing w:val="-1"/>
          <w:lang w:val="el-GR"/>
        </w:rPr>
        <w:t xml:space="preserve"> </w:t>
      </w:r>
      <w:r w:rsidRPr="005511E3">
        <w:rPr>
          <w:color w:val="021142"/>
          <w:lang w:val="el-GR"/>
        </w:rPr>
        <w:t>υπό</w:t>
      </w:r>
      <w:r w:rsidRPr="005511E3">
        <w:rPr>
          <w:color w:val="021142"/>
          <w:spacing w:val="-2"/>
          <w:lang w:val="el-GR"/>
        </w:rPr>
        <w:t xml:space="preserve"> </w:t>
      </w:r>
      <w:r w:rsidRPr="005511E3">
        <w:rPr>
          <w:color w:val="021142"/>
          <w:lang w:val="el-GR"/>
        </w:rPr>
        <w:t>εξέταση</w:t>
      </w:r>
      <w:r w:rsidRPr="005511E3">
        <w:rPr>
          <w:color w:val="021142"/>
          <w:spacing w:val="-1"/>
          <w:lang w:val="el-GR"/>
        </w:rPr>
        <w:t xml:space="preserve"> </w:t>
      </w:r>
      <w:r w:rsidRPr="005511E3">
        <w:rPr>
          <w:color w:val="021142"/>
          <w:lang w:val="el-GR"/>
        </w:rPr>
        <w:t>περιόδου.</w:t>
      </w:r>
    </w:p>
    <w:p w14:paraId="69BC701B" w14:textId="0BF6EE40" w:rsidR="00852D18" w:rsidRPr="005511E3" w:rsidRDefault="005511E3" w:rsidP="0063742F">
      <w:pPr>
        <w:pStyle w:val="ListParagraph"/>
        <w:numPr>
          <w:ilvl w:val="0"/>
          <w:numId w:val="20"/>
        </w:numPr>
        <w:tabs>
          <w:tab w:val="left" w:pos="406"/>
        </w:tabs>
        <w:spacing w:before="104" w:line="252" w:lineRule="auto"/>
        <w:rPr>
          <w:lang w:val="el-GR"/>
        </w:rPr>
      </w:pPr>
      <w:r w:rsidRPr="005511E3">
        <w:rPr>
          <w:b/>
          <w:color w:val="021142"/>
          <w:lang w:val="el-GR"/>
        </w:rPr>
        <w:t>Μη</w:t>
      </w:r>
      <w:r w:rsidRPr="005511E3">
        <w:rPr>
          <w:b/>
          <w:color w:val="021142"/>
          <w:spacing w:val="-3"/>
          <w:lang w:val="el-GR"/>
        </w:rPr>
        <w:t xml:space="preserve"> </w:t>
      </w:r>
      <w:r w:rsidRPr="005511E3">
        <w:rPr>
          <w:b/>
          <w:color w:val="021142"/>
          <w:lang w:val="el-GR"/>
        </w:rPr>
        <w:t>Εξυπηρετούμενα</w:t>
      </w:r>
      <w:r w:rsidRPr="005511E3">
        <w:rPr>
          <w:b/>
          <w:color w:val="021142"/>
          <w:spacing w:val="-3"/>
          <w:lang w:val="el-GR"/>
        </w:rPr>
        <w:t xml:space="preserve"> </w:t>
      </w:r>
      <w:r w:rsidRPr="005511E3">
        <w:rPr>
          <w:b/>
          <w:color w:val="021142"/>
          <w:lang w:val="el-GR"/>
        </w:rPr>
        <w:t>Ανοίγματα</w:t>
      </w:r>
      <w:r w:rsidRPr="005511E3">
        <w:rPr>
          <w:b/>
          <w:color w:val="021142"/>
          <w:spacing w:val="-3"/>
          <w:lang w:val="el-GR"/>
        </w:rPr>
        <w:t xml:space="preserve"> </w:t>
      </w:r>
      <w:r w:rsidRPr="005511E3">
        <w:rPr>
          <w:b/>
          <w:color w:val="021142"/>
          <w:lang w:val="el-GR"/>
        </w:rPr>
        <w:t>(</w:t>
      </w:r>
      <w:r>
        <w:rPr>
          <w:b/>
          <w:color w:val="021142"/>
        </w:rPr>
        <w:t>NPE</w:t>
      </w:r>
      <w:r w:rsidR="00D953B6">
        <w:rPr>
          <w:b/>
          <w:color w:val="021142"/>
        </w:rPr>
        <w:t>s</w:t>
      </w:r>
      <w:r w:rsidRPr="005511E3">
        <w:rPr>
          <w:b/>
          <w:color w:val="021142"/>
          <w:lang w:val="el-GR"/>
        </w:rPr>
        <w:t>):</w:t>
      </w:r>
      <w:r w:rsidRPr="005511E3">
        <w:rPr>
          <w:b/>
          <w:color w:val="021142"/>
          <w:spacing w:val="-2"/>
          <w:lang w:val="el-GR"/>
        </w:rPr>
        <w:t xml:space="preserve"> </w:t>
      </w:r>
      <w:r w:rsidRPr="005511E3">
        <w:rPr>
          <w:color w:val="021142"/>
          <w:lang w:val="el-GR"/>
        </w:rPr>
        <w:t>Σύμφωνα</w:t>
      </w:r>
      <w:r w:rsidRPr="005511E3">
        <w:rPr>
          <w:color w:val="021142"/>
          <w:spacing w:val="-3"/>
          <w:lang w:val="el-GR"/>
        </w:rPr>
        <w:t xml:space="preserve"> </w:t>
      </w:r>
      <w:r w:rsidRPr="005511E3">
        <w:rPr>
          <w:color w:val="021142"/>
          <w:lang w:val="el-GR"/>
        </w:rPr>
        <w:t>με</w:t>
      </w:r>
      <w:r w:rsidRPr="005511E3">
        <w:rPr>
          <w:color w:val="021142"/>
          <w:spacing w:val="-4"/>
          <w:lang w:val="el-GR"/>
        </w:rPr>
        <w:t xml:space="preserve"> </w:t>
      </w:r>
      <w:r w:rsidRPr="005511E3">
        <w:rPr>
          <w:color w:val="021142"/>
          <w:lang w:val="el-GR"/>
        </w:rPr>
        <w:t>το</w:t>
      </w:r>
      <w:r w:rsidRPr="005511E3">
        <w:rPr>
          <w:color w:val="021142"/>
          <w:spacing w:val="-3"/>
          <w:lang w:val="el-GR"/>
        </w:rPr>
        <w:t xml:space="preserve"> </w:t>
      </w:r>
      <w:r w:rsidRPr="005511E3">
        <w:rPr>
          <w:color w:val="021142"/>
          <w:lang w:val="el-GR"/>
        </w:rPr>
        <w:t>υφιστάμενο</w:t>
      </w:r>
      <w:r w:rsidRPr="005511E3">
        <w:rPr>
          <w:color w:val="021142"/>
          <w:spacing w:val="-3"/>
          <w:lang w:val="el-GR"/>
        </w:rPr>
        <w:t xml:space="preserve"> </w:t>
      </w:r>
      <w:r w:rsidRPr="005511E3">
        <w:rPr>
          <w:color w:val="021142"/>
          <w:lang w:val="el-GR"/>
        </w:rPr>
        <w:t>πλαίσιο</w:t>
      </w:r>
      <w:r w:rsidRPr="005511E3">
        <w:rPr>
          <w:color w:val="021142"/>
          <w:spacing w:val="-4"/>
          <w:lang w:val="el-GR"/>
        </w:rPr>
        <w:t xml:space="preserve"> </w:t>
      </w:r>
      <w:r w:rsidRPr="005511E3">
        <w:rPr>
          <w:color w:val="021142"/>
          <w:lang w:val="el-GR"/>
        </w:rPr>
        <w:t>της</w:t>
      </w:r>
      <w:r w:rsidRPr="005511E3">
        <w:rPr>
          <w:color w:val="021142"/>
          <w:spacing w:val="-3"/>
          <w:lang w:val="el-GR"/>
        </w:rPr>
        <w:t xml:space="preserve"> </w:t>
      </w:r>
      <w:r w:rsidRPr="005511E3">
        <w:rPr>
          <w:color w:val="021142"/>
          <w:lang w:val="el-GR"/>
        </w:rPr>
        <w:t>Ευρωπαϊκής</w:t>
      </w:r>
      <w:r w:rsidRPr="005511E3">
        <w:rPr>
          <w:color w:val="021142"/>
          <w:spacing w:val="-3"/>
          <w:lang w:val="el-GR"/>
        </w:rPr>
        <w:t xml:space="preserve"> </w:t>
      </w:r>
      <w:r w:rsidRPr="005511E3">
        <w:rPr>
          <w:color w:val="021142"/>
          <w:lang w:val="el-GR"/>
        </w:rPr>
        <w:t>Αρχής</w:t>
      </w:r>
      <w:r w:rsidRPr="005511E3">
        <w:rPr>
          <w:color w:val="021142"/>
          <w:spacing w:val="-4"/>
          <w:lang w:val="el-GR"/>
        </w:rPr>
        <w:t xml:space="preserve"> </w:t>
      </w:r>
      <w:r w:rsidRPr="005511E3">
        <w:rPr>
          <w:color w:val="021142"/>
          <w:lang w:val="el-GR"/>
        </w:rPr>
        <w:t>Τραπεζών</w:t>
      </w:r>
      <w:r w:rsidRPr="005511E3">
        <w:rPr>
          <w:color w:val="021142"/>
          <w:spacing w:val="-52"/>
          <w:lang w:val="el-GR"/>
        </w:rPr>
        <w:t xml:space="preserve"> </w:t>
      </w:r>
      <w:r w:rsidRPr="005511E3">
        <w:rPr>
          <w:color w:val="021142"/>
          <w:lang w:val="el-GR"/>
        </w:rPr>
        <w:t xml:space="preserve">(ΕΑΤ) - </w:t>
      </w:r>
      <w:r>
        <w:rPr>
          <w:color w:val="021142"/>
        </w:rPr>
        <w:t>European</w:t>
      </w:r>
      <w:r w:rsidRPr="005511E3">
        <w:rPr>
          <w:color w:val="021142"/>
          <w:lang w:val="el-GR"/>
        </w:rPr>
        <w:t xml:space="preserve"> </w:t>
      </w:r>
      <w:r>
        <w:rPr>
          <w:color w:val="021142"/>
        </w:rPr>
        <w:t>Banking</w:t>
      </w:r>
      <w:r w:rsidRPr="005511E3">
        <w:rPr>
          <w:color w:val="021142"/>
          <w:lang w:val="el-GR"/>
        </w:rPr>
        <w:t xml:space="preserve"> </w:t>
      </w:r>
      <w:r>
        <w:rPr>
          <w:color w:val="021142"/>
        </w:rPr>
        <w:t>Authority</w:t>
      </w:r>
      <w:r w:rsidRPr="005511E3">
        <w:rPr>
          <w:color w:val="021142"/>
          <w:lang w:val="el-GR"/>
        </w:rPr>
        <w:t xml:space="preserve"> (</w:t>
      </w:r>
      <w:r>
        <w:rPr>
          <w:color w:val="021142"/>
        </w:rPr>
        <w:t>EBA</w:t>
      </w:r>
      <w:r w:rsidRPr="005511E3">
        <w:rPr>
          <w:color w:val="021142"/>
          <w:lang w:val="el-GR"/>
        </w:rPr>
        <w:t xml:space="preserve">) - στα </w:t>
      </w:r>
      <w:r>
        <w:rPr>
          <w:color w:val="021142"/>
        </w:rPr>
        <w:t>NPE</w:t>
      </w:r>
      <w:r w:rsidRPr="005511E3">
        <w:rPr>
          <w:color w:val="021142"/>
          <w:lang w:val="el-GR"/>
        </w:rPr>
        <w:t xml:space="preserve"> περιλαμβάνονται δάνεια και απαιτήσεις από πελάτες σε</w:t>
      </w:r>
      <w:r w:rsidRPr="005511E3">
        <w:rPr>
          <w:color w:val="021142"/>
          <w:spacing w:val="1"/>
          <w:lang w:val="el-GR"/>
        </w:rPr>
        <w:t xml:space="preserve"> </w:t>
      </w:r>
      <w:r w:rsidRPr="005511E3">
        <w:rPr>
          <w:color w:val="021142"/>
          <w:lang w:val="el-GR"/>
        </w:rPr>
        <w:t>καθυστέρηση άνω των 90 ημερών και δάνεια και απαιτήσεις από πελάτες αβέβαιης είσπραξης, δηλαδή δάνεια</w:t>
      </w:r>
      <w:r w:rsidRPr="005511E3">
        <w:rPr>
          <w:color w:val="021142"/>
          <w:spacing w:val="1"/>
          <w:lang w:val="el-GR"/>
        </w:rPr>
        <w:t xml:space="preserve"> </w:t>
      </w:r>
      <w:r w:rsidRPr="005511E3">
        <w:rPr>
          <w:color w:val="021142"/>
          <w:lang w:val="el-GR"/>
        </w:rPr>
        <w:t>και απαιτήσεις από πελάτες τα οποία θεωρούνται μη εξυπηρετούμενα, παρόλο που είτε είναι ενήμερα, είτε είναι</w:t>
      </w:r>
      <w:r w:rsidRPr="005511E3">
        <w:rPr>
          <w:color w:val="021142"/>
          <w:spacing w:val="1"/>
          <w:lang w:val="el-GR"/>
        </w:rPr>
        <w:t xml:space="preserve"> </w:t>
      </w:r>
      <w:r w:rsidRPr="005511E3">
        <w:rPr>
          <w:color w:val="021142"/>
          <w:lang w:val="el-GR"/>
        </w:rPr>
        <w:t>σε καθυστέρηση μέχρι 90 ημέρες, καθώς υπάρχουν ενδείξεις για δυσκολίες πλήρους αποπληρωμής χωρίς τη</w:t>
      </w:r>
      <w:r w:rsidRPr="005511E3">
        <w:rPr>
          <w:color w:val="021142"/>
          <w:spacing w:val="1"/>
          <w:lang w:val="el-GR"/>
        </w:rPr>
        <w:t xml:space="preserve"> </w:t>
      </w:r>
      <w:r w:rsidRPr="005511E3">
        <w:rPr>
          <w:color w:val="021142"/>
          <w:lang w:val="el-GR"/>
        </w:rPr>
        <w:t>ρευστοποίηση</w:t>
      </w:r>
      <w:r w:rsidRPr="005511E3">
        <w:rPr>
          <w:color w:val="021142"/>
          <w:spacing w:val="-7"/>
          <w:lang w:val="el-GR"/>
        </w:rPr>
        <w:t xml:space="preserve"> </w:t>
      </w:r>
      <w:r w:rsidRPr="005511E3">
        <w:rPr>
          <w:color w:val="021142"/>
          <w:lang w:val="el-GR"/>
        </w:rPr>
        <w:t>της</w:t>
      </w:r>
      <w:r w:rsidRPr="005511E3">
        <w:rPr>
          <w:color w:val="021142"/>
          <w:spacing w:val="-6"/>
          <w:lang w:val="el-GR"/>
        </w:rPr>
        <w:t xml:space="preserve"> </w:t>
      </w:r>
      <w:r w:rsidRPr="005511E3">
        <w:rPr>
          <w:color w:val="021142"/>
          <w:lang w:val="el-GR"/>
        </w:rPr>
        <w:t>εξασφάλισης.</w:t>
      </w:r>
      <w:r w:rsidRPr="005511E3">
        <w:rPr>
          <w:color w:val="021142"/>
          <w:spacing w:val="-7"/>
          <w:lang w:val="el-GR"/>
        </w:rPr>
        <w:t xml:space="preserve"> </w:t>
      </w:r>
      <w:r w:rsidRPr="005511E3">
        <w:rPr>
          <w:color w:val="021142"/>
          <w:lang w:val="el-GR"/>
        </w:rPr>
        <w:t>Τα</w:t>
      </w:r>
      <w:r w:rsidRPr="005511E3">
        <w:rPr>
          <w:color w:val="021142"/>
          <w:spacing w:val="-6"/>
          <w:lang w:val="el-GR"/>
        </w:rPr>
        <w:t xml:space="preserve"> </w:t>
      </w:r>
      <w:r>
        <w:rPr>
          <w:color w:val="021142"/>
        </w:rPr>
        <w:t>NPE</w:t>
      </w:r>
      <w:r w:rsidRPr="005511E3">
        <w:rPr>
          <w:color w:val="021142"/>
          <w:lang w:val="el-GR"/>
        </w:rPr>
        <w:t>,</w:t>
      </w:r>
      <w:r w:rsidRPr="005511E3">
        <w:rPr>
          <w:color w:val="021142"/>
          <w:spacing w:val="-7"/>
          <w:lang w:val="el-GR"/>
        </w:rPr>
        <w:t xml:space="preserve"> </w:t>
      </w:r>
      <w:r w:rsidRPr="005511E3">
        <w:rPr>
          <w:color w:val="021142"/>
          <w:lang w:val="el-GR"/>
        </w:rPr>
        <w:t>όπως</w:t>
      </w:r>
      <w:r w:rsidRPr="005511E3">
        <w:rPr>
          <w:color w:val="021142"/>
          <w:spacing w:val="-6"/>
          <w:lang w:val="el-GR"/>
        </w:rPr>
        <w:t xml:space="preserve"> </w:t>
      </w:r>
      <w:r w:rsidRPr="005511E3">
        <w:rPr>
          <w:color w:val="021142"/>
          <w:lang w:val="el-GR"/>
        </w:rPr>
        <w:t>αναφέρονται</w:t>
      </w:r>
      <w:r w:rsidRPr="005511E3">
        <w:rPr>
          <w:color w:val="021142"/>
          <w:spacing w:val="-6"/>
          <w:lang w:val="el-GR"/>
        </w:rPr>
        <w:t xml:space="preserve"> </w:t>
      </w:r>
      <w:r w:rsidRPr="005511E3">
        <w:rPr>
          <w:color w:val="021142"/>
          <w:lang w:val="el-GR"/>
        </w:rPr>
        <w:t>στο</w:t>
      </w:r>
      <w:r w:rsidRPr="005511E3">
        <w:rPr>
          <w:color w:val="021142"/>
          <w:spacing w:val="-7"/>
          <w:lang w:val="el-GR"/>
        </w:rPr>
        <w:t xml:space="preserve"> </w:t>
      </w:r>
      <w:r w:rsidRPr="005511E3">
        <w:rPr>
          <w:color w:val="021142"/>
          <w:lang w:val="el-GR"/>
        </w:rPr>
        <w:t>παρόν,</w:t>
      </w:r>
      <w:r w:rsidRPr="005511E3">
        <w:rPr>
          <w:color w:val="021142"/>
          <w:spacing w:val="-6"/>
          <w:lang w:val="el-GR"/>
        </w:rPr>
        <w:t xml:space="preserve"> </w:t>
      </w:r>
      <w:r w:rsidRPr="005511E3">
        <w:rPr>
          <w:color w:val="021142"/>
          <w:lang w:val="el-GR"/>
        </w:rPr>
        <w:t>αφορούν</w:t>
      </w:r>
      <w:r w:rsidRPr="005511E3">
        <w:rPr>
          <w:color w:val="021142"/>
          <w:spacing w:val="-7"/>
          <w:lang w:val="el-GR"/>
        </w:rPr>
        <w:t xml:space="preserve"> </w:t>
      </w:r>
      <w:r w:rsidRPr="005511E3">
        <w:rPr>
          <w:color w:val="021142"/>
          <w:lang w:val="el-GR"/>
        </w:rPr>
        <w:t>τα</w:t>
      </w:r>
      <w:r w:rsidRPr="005511E3">
        <w:rPr>
          <w:color w:val="021142"/>
          <w:spacing w:val="-6"/>
          <w:lang w:val="el-GR"/>
        </w:rPr>
        <w:t xml:space="preserve"> </w:t>
      </w:r>
      <w:r w:rsidRPr="005511E3">
        <w:rPr>
          <w:color w:val="021142"/>
          <w:lang w:val="el-GR"/>
        </w:rPr>
        <w:t>δάνεια</w:t>
      </w:r>
      <w:r w:rsidRPr="005511E3">
        <w:rPr>
          <w:color w:val="021142"/>
          <w:spacing w:val="-7"/>
          <w:lang w:val="el-GR"/>
        </w:rPr>
        <w:t xml:space="preserve"> </w:t>
      </w:r>
      <w:r w:rsidRPr="005511E3">
        <w:rPr>
          <w:color w:val="021142"/>
          <w:lang w:val="el-GR"/>
        </w:rPr>
        <w:t>(προ</w:t>
      </w:r>
      <w:r w:rsidRPr="005511E3">
        <w:rPr>
          <w:color w:val="021142"/>
          <w:spacing w:val="-6"/>
          <w:lang w:val="el-GR"/>
        </w:rPr>
        <w:t xml:space="preserve"> </w:t>
      </w:r>
      <w:r w:rsidRPr="005511E3">
        <w:rPr>
          <w:color w:val="021142"/>
          <w:lang w:val="el-GR"/>
        </w:rPr>
        <w:t>προβλέψεων)</w:t>
      </w:r>
      <w:r w:rsidRPr="005511E3">
        <w:rPr>
          <w:color w:val="021142"/>
          <w:spacing w:val="-52"/>
          <w:lang w:val="el-GR"/>
        </w:rPr>
        <w:t xml:space="preserve"> </w:t>
      </w:r>
      <w:r w:rsidRPr="005511E3">
        <w:rPr>
          <w:color w:val="021142"/>
          <w:lang w:val="el-GR"/>
        </w:rPr>
        <w:t>που</w:t>
      </w:r>
      <w:r w:rsidRPr="005511E3">
        <w:rPr>
          <w:color w:val="021142"/>
          <w:spacing w:val="-9"/>
          <w:lang w:val="el-GR"/>
        </w:rPr>
        <w:t xml:space="preserve"> </w:t>
      </w:r>
      <w:r w:rsidRPr="005511E3">
        <w:rPr>
          <w:color w:val="021142"/>
          <w:lang w:val="el-GR"/>
        </w:rPr>
        <w:t>επιμετρώνται</w:t>
      </w:r>
      <w:r w:rsidRPr="005511E3">
        <w:rPr>
          <w:color w:val="021142"/>
          <w:spacing w:val="-9"/>
          <w:lang w:val="el-GR"/>
        </w:rPr>
        <w:t xml:space="preserve"> </w:t>
      </w:r>
      <w:r w:rsidRPr="005511E3">
        <w:rPr>
          <w:color w:val="021142"/>
          <w:lang w:val="el-GR"/>
        </w:rPr>
        <w:t>στο</w:t>
      </w:r>
      <w:r w:rsidRPr="005511E3">
        <w:rPr>
          <w:color w:val="021142"/>
          <w:spacing w:val="-8"/>
          <w:lang w:val="el-GR"/>
        </w:rPr>
        <w:t xml:space="preserve"> </w:t>
      </w:r>
      <w:r w:rsidRPr="005511E3">
        <w:rPr>
          <w:color w:val="021142"/>
          <w:lang w:val="el-GR"/>
        </w:rPr>
        <w:t>αποσβέσιμο</w:t>
      </w:r>
      <w:r w:rsidRPr="005511E3">
        <w:rPr>
          <w:color w:val="021142"/>
          <w:spacing w:val="-9"/>
          <w:lang w:val="el-GR"/>
        </w:rPr>
        <w:t xml:space="preserve"> </w:t>
      </w:r>
      <w:r w:rsidRPr="005511E3">
        <w:rPr>
          <w:color w:val="021142"/>
          <w:lang w:val="el-GR"/>
        </w:rPr>
        <w:t>κόστος,</w:t>
      </w:r>
      <w:r w:rsidRPr="005511E3">
        <w:rPr>
          <w:color w:val="021142"/>
          <w:spacing w:val="-8"/>
          <w:lang w:val="el-GR"/>
        </w:rPr>
        <w:t xml:space="preserve"> </w:t>
      </w:r>
      <w:r w:rsidRPr="005511E3">
        <w:rPr>
          <w:color w:val="021142"/>
          <w:lang w:val="el-GR"/>
        </w:rPr>
        <w:t>εκτός</w:t>
      </w:r>
      <w:r w:rsidRPr="005511E3">
        <w:rPr>
          <w:color w:val="021142"/>
          <w:spacing w:val="-9"/>
          <w:lang w:val="el-GR"/>
        </w:rPr>
        <w:t xml:space="preserve"> </w:t>
      </w:r>
      <w:r w:rsidRPr="005511E3">
        <w:rPr>
          <w:color w:val="021142"/>
          <w:lang w:val="el-GR"/>
        </w:rPr>
        <w:t>εκείνων</w:t>
      </w:r>
      <w:r w:rsidRPr="005511E3">
        <w:rPr>
          <w:color w:val="021142"/>
          <w:spacing w:val="-9"/>
          <w:lang w:val="el-GR"/>
        </w:rPr>
        <w:t xml:space="preserve"> </w:t>
      </w:r>
      <w:r w:rsidRPr="005511E3">
        <w:rPr>
          <w:color w:val="021142"/>
          <w:lang w:val="el-GR"/>
        </w:rPr>
        <w:t>που</w:t>
      </w:r>
      <w:r w:rsidRPr="005511E3">
        <w:rPr>
          <w:color w:val="021142"/>
          <w:spacing w:val="-8"/>
          <w:lang w:val="el-GR"/>
        </w:rPr>
        <w:t xml:space="preserve"> </w:t>
      </w:r>
      <w:r w:rsidRPr="005511E3">
        <w:rPr>
          <w:color w:val="021142"/>
          <w:lang w:val="el-GR"/>
        </w:rPr>
        <w:t>έχουν</w:t>
      </w:r>
      <w:r w:rsidRPr="005511E3">
        <w:rPr>
          <w:color w:val="021142"/>
          <w:spacing w:val="-9"/>
          <w:lang w:val="el-GR"/>
        </w:rPr>
        <w:t xml:space="preserve"> </w:t>
      </w:r>
      <w:r w:rsidRPr="005511E3">
        <w:rPr>
          <w:color w:val="021142"/>
          <w:lang w:val="el-GR"/>
        </w:rPr>
        <w:t>ταξινομηθεί</w:t>
      </w:r>
      <w:r w:rsidRPr="005511E3">
        <w:rPr>
          <w:color w:val="021142"/>
          <w:spacing w:val="-8"/>
          <w:lang w:val="el-GR"/>
        </w:rPr>
        <w:t xml:space="preserve"> </w:t>
      </w:r>
      <w:r w:rsidRPr="005511E3">
        <w:rPr>
          <w:color w:val="021142"/>
          <w:lang w:val="el-GR"/>
        </w:rPr>
        <w:t>ως</w:t>
      </w:r>
      <w:r w:rsidRPr="005511E3">
        <w:rPr>
          <w:color w:val="021142"/>
          <w:spacing w:val="-9"/>
          <w:lang w:val="el-GR"/>
        </w:rPr>
        <w:t xml:space="preserve"> </w:t>
      </w:r>
      <w:r w:rsidRPr="005511E3">
        <w:rPr>
          <w:color w:val="021142"/>
          <w:lang w:val="el-GR"/>
        </w:rPr>
        <w:t>κατεχόμενα</w:t>
      </w:r>
      <w:r w:rsidRPr="005511E3">
        <w:rPr>
          <w:color w:val="021142"/>
          <w:spacing w:val="-9"/>
          <w:lang w:val="el-GR"/>
        </w:rPr>
        <w:t xml:space="preserve"> </w:t>
      </w:r>
      <w:r w:rsidRPr="005511E3">
        <w:rPr>
          <w:color w:val="021142"/>
          <w:lang w:val="el-GR"/>
        </w:rPr>
        <w:t>προς</w:t>
      </w:r>
      <w:r w:rsidRPr="005511E3">
        <w:rPr>
          <w:color w:val="021142"/>
          <w:spacing w:val="-8"/>
          <w:lang w:val="el-GR"/>
        </w:rPr>
        <w:t xml:space="preserve"> </w:t>
      </w:r>
      <w:r w:rsidRPr="005511E3">
        <w:rPr>
          <w:color w:val="021142"/>
          <w:lang w:val="el-GR"/>
        </w:rPr>
        <w:t>πώληση.</w:t>
      </w:r>
    </w:p>
    <w:p w14:paraId="7D25A2C2" w14:textId="491E4DF9" w:rsidR="00852D18" w:rsidRPr="005511E3" w:rsidRDefault="005511E3" w:rsidP="0063742F">
      <w:pPr>
        <w:pStyle w:val="ListParagraph"/>
        <w:numPr>
          <w:ilvl w:val="0"/>
          <w:numId w:val="20"/>
        </w:numPr>
        <w:tabs>
          <w:tab w:val="left" w:pos="396"/>
        </w:tabs>
        <w:spacing w:before="92" w:line="242" w:lineRule="auto"/>
        <w:rPr>
          <w:lang w:val="el-GR"/>
        </w:rPr>
      </w:pPr>
      <w:r>
        <w:rPr>
          <w:b/>
          <w:color w:val="021142"/>
        </w:rPr>
        <w:t>NPE</w:t>
      </w:r>
      <w:r w:rsidRPr="005511E3">
        <w:rPr>
          <w:b/>
          <w:color w:val="021142"/>
          <w:spacing w:val="-9"/>
          <w:lang w:val="el-GR"/>
        </w:rPr>
        <w:t xml:space="preserve"> </w:t>
      </w:r>
      <w:r w:rsidRPr="005511E3">
        <w:rPr>
          <w:b/>
          <w:color w:val="021142"/>
          <w:lang w:val="el-GR"/>
        </w:rPr>
        <w:t>(σχηματισμός):</w:t>
      </w:r>
      <w:r w:rsidRPr="005511E3">
        <w:rPr>
          <w:b/>
          <w:color w:val="021142"/>
          <w:spacing w:val="-9"/>
          <w:lang w:val="el-GR"/>
        </w:rPr>
        <w:t xml:space="preserve"> </w:t>
      </w:r>
      <w:r w:rsidRPr="005511E3">
        <w:rPr>
          <w:color w:val="021142"/>
          <w:lang w:val="el-GR"/>
        </w:rPr>
        <w:t>Καθαρή</w:t>
      </w:r>
      <w:r w:rsidRPr="005511E3">
        <w:rPr>
          <w:color w:val="021142"/>
          <w:spacing w:val="-8"/>
          <w:lang w:val="el-GR"/>
        </w:rPr>
        <w:t xml:space="preserve"> </w:t>
      </w:r>
      <w:r w:rsidRPr="005511E3">
        <w:rPr>
          <w:color w:val="021142"/>
          <w:lang w:val="el-GR"/>
        </w:rPr>
        <w:t>αύξηση/μείωση</w:t>
      </w:r>
      <w:r w:rsidRPr="005511E3">
        <w:rPr>
          <w:color w:val="021142"/>
          <w:spacing w:val="-9"/>
          <w:lang w:val="el-GR"/>
        </w:rPr>
        <w:t xml:space="preserve"> </w:t>
      </w:r>
      <w:r w:rsidRPr="005511E3">
        <w:rPr>
          <w:color w:val="021142"/>
          <w:lang w:val="el-GR"/>
        </w:rPr>
        <w:t>των</w:t>
      </w:r>
      <w:r w:rsidRPr="005511E3">
        <w:rPr>
          <w:color w:val="021142"/>
          <w:spacing w:val="-8"/>
          <w:lang w:val="el-GR"/>
        </w:rPr>
        <w:t xml:space="preserve"> </w:t>
      </w:r>
      <w:r>
        <w:rPr>
          <w:color w:val="021142"/>
        </w:rPr>
        <w:t>NPE</w:t>
      </w:r>
      <w:r w:rsidRPr="005511E3">
        <w:rPr>
          <w:color w:val="021142"/>
          <w:spacing w:val="-9"/>
          <w:lang w:val="el-GR"/>
        </w:rPr>
        <w:t xml:space="preserve"> </w:t>
      </w:r>
      <w:r w:rsidRPr="005511E3">
        <w:rPr>
          <w:color w:val="021142"/>
          <w:lang w:val="el-GR"/>
        </w:rPr>
        <w:t>της</w:t>
      </w:r>
      <w:r w:rsidRPr="005511E3">
        <w:rPr>
          <w:color w:val="021142"/>
          <w:spacing w:val="-8"/>
          <w:lang w:val="el-GR"/>
        </w:rPr>
        <w:t xml:space="preserve"> </w:t>
      </w:r>
      <w:r w:rsidRPr="005511E3">
        <w:rPr>
          <w:color w:val="021142"/>
          <w:lang w:val="el-GR"/>
        </w:rPr>
        <w:t>υπό</w:t>
      </w:r>
      <w:r w:rsidRPr="005511E3">
        <w:rPr>
          <w:color w:val="021142"/>
          <w:spacing w:val="-8"/>
          <w:lang w:val="el-GR"/>
        </w:rPr>
        <w:t xml:space="preserve"> </w:t>
      </w:r>
      <w:r w:rsidRPr="005511E3">
        <w:rPr>
          <w:color w:val="021142"/>
          <w:lang w:val="el-GR"/>
        </w:rPr>
        <w:t>εξέταση</w:t>
      </w:r>
      <w:r w:rsidRPr="005511E3">
        <w:rPr>
          <w:color w:val="021142"/>
          <w:spacing w:val="-9"/>
          <w:lang w:val="el-GR"/>
        </w:rPr>
        <w:t xml:space="preserve"> </w:t>
      </w:r>
      <w:r w:rsidRPr="005511E3">
        <w:rPr>
          <w:color w:val="021142"/>
          <w:lang w:val="el-GR"/>
        </w:rPr>
        <w:t>περιόδου</w:t>
      </w:r>
      <w:r w:rsidRPr="005511E3">
        <w:rPr>
          <w:color w:val="021142"/>
          <w:spacing w:val="-8"/>
          <w:lang w:val="el-GR"/>
        </w:rPr>
        <w:t xml:space="preserve"> </w:t>
      </w:r>
      <w:r w:rsidRPr="005511E3">
        <w:rPr>
          <w:color w:val="021142"/>
          <w:lang w:val="el-GR"/>
        </w:rPr>
        <w:t>εξαιρουμένης</w:t>
      </w:r>
      <w:r w:rsidRPr="005511E3">
        <w:rPr>
          <w:color w:val="021142"/>
          <w:spacing w:val="-9"/>
          <w:lang w:val="el-GR"/>
        </w:rPr>
        <w:t xml:space="preserve"> </w:t>
      </w:r>
      <w:r w:rsidRPr="005511E3">
        <w:rPr>
          <w:color w:val="021142"/>
          <w:lang w:val="el-GR"/>
        </w:rPr>
        <w:t>της</w:t>
      </w:r>
      <w:r w:rsidRPr="005511E3">
        <w:rPr>
          <w:color w:val="021142"/>
          <w:spacing w:val="-8"/>
          <w:lang w:val="el-GR"/>
        </w:rPr>
        <w:t xml:space="preserve"> </w:t>
      </w:r>
      <w:r w:rsidRPr="005511E3">
        <w:rPr>
          <w:color w:val="021142"/>
          <w:lang w:val="el-GR"/>
        </w:rPr>
        <w:t>επίπτωσης</w:t>
      </w:r>
      <w:r w:rsidRPr="005511E3">
        <w:rPr>
          <w:color w:val="021142"/>
          <w:spacing w:val="-52"/>
          <w:lang w:val="el-GR"/>
        </w:rPr>
        <w:t xml:space="preserve"> </w:t>
      </w:r>
      <w:r w:rsidRPr="005511E3">
        <w:rPr>
          <w:color w:val="021142"/>
          <w:lang w:val="el-GR"/>
        </w:rPr>
        <w:t>των</w:t>
      </w:r>
      <w:r w:rsidRPr="005511E3">
        <w:rPr>
          <w:color w:val="021142"/>
          <w:spacing w:val="-2"/>
          <w:lang w:val="el-GR"/>
        </w:rPr>
        <w:t xml:space="preserve"> </w:t>
      </w:r>
      <w:r w:rsidRPr="005511E3">
        <w:rPr>
          <w:color w:val="021142"/>
          <w:lang w:val="el-GR"/>
        </w:rPr>
        <w:t>διαγραφών,</w:t>
      </w:r>
      <w:r w:rsidRPr="005511E3">
        <w:rPr>
          <w:color w:val="021142"/>
          <w:spacing w:val="-1"/>
          <w:lang w:val="el-GR"/>
        </w:rPr>
        <w:t xml:space="preserve"> </w:t>
      </w:r>
      <w:r w:rsidRPr="005511E3">
        <w:rPr>
          <w:color w:val="021142"/>
          <w:lang w:val="el-GR"/>
        </w:rPr>
        <w:t>των</w:t>
      </w:r>
      <w:r w:rsidRPr="005511E3">
        <w:rPr>
          <w:color w:val="021142"/>
          <w:spacing w:val="-1"/>
          <w:lang w:val="el-GR"/>
        </w:rPr>
        <w:t xml:space="preserve"> </w:t>
      </w:r>
      <w:r w:rsidRPr="005511E3">
        <w:rPr>
          <w:color w:val="021142"/>
          <w:lang w:val="el-GR"/>
        </w:rPr>
        <w:t>πωλήσεων</w:t>
      </w:r>
      <w:r w:rsidRPr="005511E3">
        <w:rPr>
          <w:color w:val="021142"/>
          <w:spacing w:val="-1"/>
          <w:lang w:val="el-GR"/>
        </w:rPr>
        <w:t xml:space="preserve"> </w:t>
      </w:r>
      <w:r w:rsidRPr="005511E3">
        <w:rPr>
          <w:color w:val="021142"/>
          <w:lang w:val="el-GR"/>
        </w:rPr>
        <w:t>και</w:t>
      </w:r>
      <w:r w:rsidRPr="005511E3">
        <w:rPr>
          <w:color w:val="021142"/>
          <w:spacing w:val="-2"/>
          <w:lang w:val="el-GR"/>
        </w:rPr>
        <w:t xml:space="preserve"> </w:t>
      </w:r>
      <w:r w:rsidRPr="005511E3">
        <w:rPr>
          <w:color w:val="021142"/>
          <w:lang w:val="el-GR"/>
        </w:rPr>
        <w:t>λοιπών</w:t>
      </w:r>
      <w:r w:rsidRPr="005511E3">
        <w:rPr>
          <w:color w:val="021142"/>
          <w:spacing w:val="-1"/>
          <w:lang w:val="el-GR"/>
        </w:rPr>
        <w:t xml:space="preserve"> </w:t>
      </w:r>
      <w:r w:rsidRPr="005511E3">
        <w:rPr>
          <w:color w:val="021142"/>
          <w:lang w:val="el-GR"/>
        </w:rPr>
        <w:t>μεταβολών.</w:t>
      </w:r>
    </w:p>
    <w:p w14:paraId="27E1F359" w14:textId="4A3F3FBF" w:rsidR="00852D18" w:rsidRPr="00A404AB" w:rsidRDefault="005511E3" w:rsidP="0063742F">
      <w:pPr>
        <w:pStyle w:val="ListParagraph"/>
        <w:numPr>
          <w:ilvl w:val="0"/>
          <w:numId w:val="20"/>
        </w:numPr>
        <w:tabs>
          <w:tab w:val="left" w:pos="415"/>
        </w:tabs>
        <w:spacing w:before="105" w:line="247" w:lineRule="auto"/>
        <w:rPr>
          <w:lang w:val="el-GR"/>
        </w:rPr>
      </w:pPr>
      <w:r w:rsidRPr="005511E3">
        <w:rPr>
          <w:b/>
          <w:color w:val="021142"/>
          <w:lang w:val="el-GR"/>
        </w:rPr>
        <w:t>Οργανικά κέρδη προ προβλέψεων (</w:t>
      </w:r>
      <w:r>
        <w:rPr>
          <w:b/>
          <w:color w:val="021142"/>
        </w:rPr>
        <w:t>Core</w:t>
      </w:r>
      <w:r w:rsidRPr="005511E3">
        <w:rPr>
          <w:b/>
          <w:color w:val="021142"/>
          <w:lang w:val="el-GR"/>
        </w:rPr>
        <w:t xml:space="preserve"> </w:t>
      </w:r>
      <w:r>
        <w:rPr>
          <w:b/>
          <w:color w:val="021142"/>
        </w:rPr>
        <w:t>PPI</w:t>
      </w:r>
      <w:r w:rsidRPr="005511E3">
        <w:rPr>
          <w:b/>
          <w:color w:val="021142"/>
          <w:lang w:val="el-GR"/>
        </w:rPr>
        <w:t xml:space="preserve">): </w:t>
      </w:r>
      <w:r w:rsidRPr="005511E3">
        <w:rPr>
          <w:color w:val="021142"/>
          <w:lang w:val="el-GR"/>
        </w:rPr>
        <w:t>Το σύνολο των καθαρών εσόδων από τόκους, των καθαρών</w:t>
      </w:r>
      <w:r w:rsidRPr="005511E3">
        <w:rPr>
          <w:color w:val="021142"/>
          <w:spacing w:val="1"/>
          <w:lang w:val="el-GR"/>
        </w:rPr>
        <w:t xml:space="preserve"> </w:t>
      </w:r>
      <w:r w:rsidRPr="005511E3">
        <w:rPr>
          <w:color w:val="021142"/>
          <w:lang w:val="el-GR"/>
        </w:rPr>
        <w:t>εσόδων</w:t>
      </w:r>
      <w:r w:rsidRPr="005511E3">
        <w:rPr>
          <w:color w:val="021142"/>
          <w:spacing w:val="-13"/>
          <w:lang w:val="el-GR"/>
        </w:rPr>
        <w:t xml:space="preserve"> </w:t>
      </w:r>
      <w:r w:rsidRPr="005511E3">
        <w:rPr>
          <w:color w:val="021142"/>
          <w:lang w:val="el-GR"/>
        </w:rPr>
        <w:t>από</w:t>
      </w:r>
      <w:r w:rsidRPr="005511E3">
        <w:rPr>
          <w:color w:val="021142"/>
          <w:spacing w:val="-12"/>
          <w:lang w:val="el-GR"/>
        </w:rPr>
        <w:t xml:space="preserve"> </w:t>
      </w:r>
      <w:r w:rsidRPr="005511E3">
        <w:rPr>
          <w:color w:val="021142"/>
          <w:lang w:val="el-GR"/>
        </w:rPr>
        <w:t>τραπεζικές</w:t>
      </w:r>
      <w:r w:rsidRPr="005511E3">
        <w:rPr>
          <w:color w:val="021142"/>
          <w:spacing w:val="-12"/>
          <w:lang w:val="el-GR"/>
        </w:rPr>
        <w:t xml:space="preserve"> </w:t>
      </w:r>
      <w:r w:rsidRPr="005511E3">
        <w:rPr>
          <w:color w:val="021142"/>
          <w:lang w:val="el-GR"/>
        </w:rPr>
        <w:t>αμοιβές</w:t>
      </w:r>
      <w:r w:rsidRPr="005511E3">
        <w:rPr>
          <w:color w:val="021142"/>
          <w:spacing w:val="-13"/>
          <w:lang w:val="el-GR"/>
        </w:rPr>
        <w:t xml:space="preserve"> </w:t>
      </w:r>
      <w:r w:rsidRPr="005511E3">
        <w:rPr>
          <w:color w:val="021142"/>
          <w:lang w:val="el-GR"/>
        </w:rPr>
        <w:t>και</w:t>
      </w:r>
      <w:r w:rsidRPr="005511E3">
        <w:rPr>
          <w:color w:val="021142"/>
          <w:spacing w:val="-12"/>
          <w:lang w:val="el-GR"/>
        </w:rPr>
        <w:t xml:space="preserve"> </w:t>
      </w:r>
      <w:r w:rsidRPr="005511E3">
        <w:rPr>
          <w:color w:val="021142"/>
          <w:lang w:val="el-GR"/>
        </w:rPr>
        <w:t>προμήθειες</w:t>
      </w:r>
      <w:r w:rsidRPr="005511E3">
        <w:rPr>
          <w:color w:val="021142"/>
          <w:spacing w:val="-12"/>
          <w:lang w:val="el-GR"/>
        </w:rPr>
        <w:t xml:space="preserve"> </w:t>
      </w:r>
      <w:r w:rsidRPr="005511E3">
        <w:rPr>
          <w:color w:val="021142"/>
          <w:lang w:val="el-GR"/>
        </w:rPr>
        <w:t>και</w:t>
      </w:r>
      <w:r w:rsidRPr="005511E3">
        <w:rPr>
          <w:color w:val="021142"/>
          <w:spacing w:val="-13"/>
          <w:lang w:val="el-GR"/>
        </w:rPr>
        <w:t xml:space="preserve"> </w:t>
      </w:r>
      <w:r w:rsidRPr="005511E3">
        <w:rPr>
          <w:color w:val="021142"/>
          <w:lang w:val="el-GR"/>
        </w:rPr>
        <w:t>των</w:t>
      </w:r>
      <w:r w:rsidRPr="005511E3">
        <w:rPr>
          <w:color w:val="021142"/>
          <w:spacing w:val="-12"/>
          <w:lang w:val="el-GR"/>
        </w:rPr>
        <w:t xml:space="preserve"> </w:t>
      </w:r>
      <w:r w:rsidRPr="005511E3">
        <w:rPr>
          <w:color w:val="021142"/>
          <w:lang w:val="el-GR"/>
        </w:rPr>
        <w:t>εσόδων</w:t>
      </w:r>
      <w:r w:rsidRPr="005511E3">
        <w:rPr>
          <w:color w:val="021142"/>
          <w:spacing w:val="-12"/>
          <w:lang w:val="el-GR"/>
        </w:rPr>
        <w:t xml:space="preserve"> </w:t>
      </w:r>
      <w:r w:rsidRPr="005511E3">
        <w:rPr>
          <w:color w:val="021142"/>
          <w:lang w:val="el-GR"/>
        </w:rPr>
        <w:t>από</w:t>
      </w:r>
      <w:r w:rsidRPr="005511E3">
        <w:rPr>
          <w:color w:val="021142"/>
          <w:spacing w:val="-13"/>
          <w:lang w:val="el-GR"/>
        </w:rPr>
        <w:t xml:space="preserve"> </w:t>
      </w:r>
      <w:r w:rsidRPr="005511E3">
        <w:rPr>
          <w:color w:val="021142"/>
          <w:lang w:val="el-GR"/>
        </w:rPr>
        <w:t>μη</w:t>
      </w:r>
      <w:r w:rsidRPr="005511E3">
        <w:rPr>
          <w:color w:val="021142"/>
          <w:spacing w:val="-12"/>
          <w:lang w:val="el-GR"/>
        </w:rPr>
        <w:t xml:space="preserve"> </w:t>
      </w:r>
      <w:r w:rsidRPr="005511E3">
        <w:rPr>
          <w:color w:val="021142"/>
          <w:lang w:val="el-GR"/>
        </w:rPr>
        <w:t>τραπεζικές</w:t>
      </w:r>
      <w:r w:rsidRPr="005511E3">
        <w:rPr>
          <w:color w:val="021142"/>
          <w:spacing w:val="-12"/>
          <w:lang w:val="el-GR"/>
        </w:rPr>
        <w:t xml:space="preserve"> </w:t>
      </w:r>
      <w:r w:rsidRPr="005511E3">
        <w:rPr>
          <w:color w:val="021142"/>
          <w:lang w:val="el-GR"/>
        </w:rPr>
        <w:t>υπηρεσίες</w:t>
      </w:r>
      <w:r w:rsidRPr="005511E3">
        <w:rPr>
          <w:color w:val="021142"/>
          <w:spacing w:val="-13"/>
          <w:lang w:val="el-GR"/>
        </w:rPr>
        <w:t xml:space="preserve"> </w:t>
      </w:r>
      <w:r w:rsidRPr="005511E3">
        <w:rPr>
          <w:color w:val="021142"/>
          <w:lang w:val="el-GR"/>
        </w:rPr>
        <w:t>αφαιρουμένων</w:t>
      </w:r>
      <w:r w:rsidRPr="005511E3">
        <w:rPr>
          <w:color w:val="021142"/>
          <w:spacing w:val="-12"/>
          <w:lang w:val="el-GR"/>
        </w:rPr>
        <w:t xml:space="preserve"> </w:t>
      </w:r>
      <w:r w:rsidRPr="005511E3">
        <w:rPr>
          <w:color w:val="021142"/>
          <w:lang w:val="el-GR"/>
        </w:rPr>
        <w:t>των</w:t>
      </w:r>
      <w:r w:rsidRPr="005511E3">
        <w:rPr>
          <w:color w:val="021142"/>
          <w:spacing w:val="-52"/>
          <w:lang w:val="el-GR"/>
        </w:rPr>
        <w:t xml:space="preserve"> </w:t>
      </w:r>
      <w:r w:rsidRPr="005511E3">
        <w:rPr>
          <w:color w:val="021142"/>
          <w:lang w:val="el-GR"/>
        </w:rPr>
        <w:t>λειτουργικών</w:t>
      </w:r>
      <w:r w:rsidRPr="005511E3">
        <w:rPr>
          <w:color w:val="021142"/>
          <w:spacing w:val="-1"/>
          <w:lang w:val="el-GR"/>
        </w:rPr>
        <w:t xml:space="preserve"> </w:t>
      </w:r>
      <w:r w:rsidRPr="005511E3">
        <w:rPr>
          <w:color w:val="021142"/>
          <w:lang w:val="el-GR"/>
        </w:rPr>
        <w:t>εξόδων</w:t>
      </w:r>
      <w:r w:rsidRPr="005511E3">
        <w:rPr>
          <w:color w:val="021142"/>
          <w:spacing w:val="-1"/>
          <w:lang w:val="el-GR"/>
        </w:rPr>
        <w:t xml:space="preserve"> </w:t>
      </w:r>
      <w:r w:rsidRPr="005511E3">
        <w:rPr>
          <w:color w:val="021142"/>
          <w:lang w:val="el-GR"/>
        </w:rPr>
        <w:t>της</w:t>
      </w:r>
      <w:r w:rsidRPr="005511E3">
        <w:rPr>
          <w:color w:val="021142"/>
          <w:spacing w:val="-1"/>
          <w:lang w:val="el-GR"/>
        </w:rPr>
        <w:t xml:space="preserve"> </w:t>
      </w:r>
      <w:r w:rsidRPr="005511E3">
        <w:rPr>
          <w:color w:val="021142"/>
          <w:lang w:val="el-GR"/>
        </w:rPr>
        <w:t>υπό εξέταση</w:t>
      </w:r>
      <w:r w:rsidRPr="005511E3">
        <w:rPr>
          <w:color w:val="021142"/>
          <w:spacing w:val="-1"/>
          <w:lang w:val="el-GR"/>
        </w:rPr>
        <w:t xml:space="preserve"> </w:t>
      </w:r>
      <w:r w:rsidRPr="005511E3">
        <w:rPr>
          <w:color w:val="021142"/>
          <w:lang w:val="el-GR"/>
        </w:rPr>
        <w:t>περιόδου.</w:t>
      </w:r>
    </w:p>
    <w:p w14:paraId="22417560" w14:textId="77777777" w:rsidR="008E0428" w:rsidRPr="008E0428" w:rsidRDefault="00A404AB" w:rsidP="0063742F">
      <w:pPr>
        <w:pStyle w:val="ListParagraph"/>
        <w:numPr>
          <w:ilvl w:val="0"/>
          <w:numId w:val="20"/>
        </w:numPr>
        <w:tabs>
          <w:tab w:val="left" w:pos="415"/>
        </w:tabs>
        <w:spacing w:before="105" w:line="247" w:lineRule="auto"/>
        <w:rPr>
          <w:lang w:val="el-GR"/>
        </w:rPr>
      </w:pPr>
      <w:r>
        <w:rPr>
          <w:b/>
          <w:color w:val="021142"/>
          <w:lang w:val="el-GR"/>
        </w:rPr>
        <w:t>Οργανικά λειτουργικά κέρδη</w:t>
      </w:r>
      <w:r w:rsidRPr="00A404AB">
        <w:rPr>
          <w:b/>
          <w:color w:val="021142"/>
          <w:lang w:val="el-GR"/>
        </w:rPr>
        <w:t>:</w:t>
      </w:r>
      <w:r w:rsidRPr="00A404AB">
        <w:rPr>
          <w:lang w:val="el-GR"/>
        </w:rPr>
        <w:t xml:space="preserve"> </w:t>
      </w:r>
      <w:r w:rsidRPr="00A404AB">
        <w:rPr>
          <w:color w:val="021142"/>
          <w:lang w:val="el-GR"/>
        </w:rPr>
        <w:t xml:space="preserve">Οργανικά κέρδη προ προβλέψεων </w:t>
      </w:r>
      <w:r>
        <w:rPr>
          <w:color w:val="021142"/>
          <w:lang w:val="el-GR"/>
        </w:rPr>
        <w:t>αφαιρουμένων των προβλέψεων</w:t>
      </w:r>
      <w:r w:rsidR="00D0213E" w:rsidRPr="00D0213E">
        <w:rPr>
          <w:color w:val="021142"/>
          <w:lang w:val="el-GR"/>
        </w:rPr>
        <w:t xml:space="preserve"> (ζημιών) για πιστωτικούς κινδύνους από δάνεια και απαιτήσεις της υπό εξέταση περιόδου.</w:t>
      </w:r>
    </w:p>
    <w:p w14:paraId="48A5E74E" w14:textId="3A68A9D4" w:rsidR="0063742F" w:rsidRPr="0063742F" w:rsidRDefault="00E13EF0" w:rsidP="0063742F">
      <w:pPr>
        <w:pStyle w:val="ListParagraph"/>
        <w:numPr>
          <w:ilvl w:val="0"/>
          <w:numId w:val="20"/>
        </w:numPr>
        <w:tabs>
          <w:tab w:val="left" w:pos="415"/>
        </w:tabs>
        <w:spacing w:before="105" w:line="247" w:lineRule="auto"/>
        <w:rPr>
          <w:color w:val="021142"/>
          <w:lang w:val="el-GR"/>
        </w:rPr>
      </w:pPr>
      <w:r w:rsidRPr="008E0428">
        <w:rPr>
          <w:b/>
          <w:color w:val="021142"/>
          <w:lang w:val="el-GR"/>
        </w:rPr>
        <w:t>Προσαρμοσμένα καθαρά κέρδη:</w:t>
      </w:r>
      <w:r w:rsidR="00222199" w:rsidRPr="00222199">
        <w:rPr>
          <w:lang w:val="el-GR"/>
        </w:rPr>
        <w:t xml:space="preserve"> </w:t>
      </w:r>
      <w:r w:rsidR="00222199" w:rsidRPr="00222199">
        <w:rPr>
          <w:color w:val="021142"/>
          <w:lang w:val="el-GR"/>
        </w:rPr>
        <w:t>Τα καθαρά κέρδη/ζημιές</w:t>
      </w:r>
      <w:r w:rsidR="00582E94" w:rsidRPr="00582E94">
        <w:rPr>
          <w:color w:val="021142"/>
          <w:lang w:val="el-GR"/>
        </w:rPr>
        <w:t xml:space="preserve"> </w:t>
      </w:r>
      <w:r w:rsidR="00582E94">
        <w:rPr>
          <w:color w:val="021142"/>
          <w:lang w:val="el-GR"/>
        </w:rPr>
        <w:t>που αναλογούν στους μετόχους</w:t>
      </w:r>
      <w:r w:rsidR="00222199" w:rsidRPr="00222199">
        <w:rPr>
          <w:color w:val="021142"/>
          <w:lang w:val="el-GR"/>
        </w:rPr>
        <w:t xml:space="preserve"> εξαιρουμένων των εξόδων αναδιάρθρωσης, της ζημιάς απομείωσης υπεραξίας/ κέρδους από απόκτηση συμμετοχής, των κερδών / ζημιών που σχετίζονται με τα σχέδια μετασχηματισμού και μείωσης των μη Εξυπηρετούμενων Ανοιγμάτων (NPE), </w:t>
      </w:r>
      <w:r w:rsidR="003C6B94" w:rsidRPr="003C6B94">
        <w:rPr>
          <w:color w:val="021142"/>
          <w:lang w:val="el-GR"/>
        </w:rPr>
        <w:t>της συνεισφοράς σε έργα υποδομής του Ελληνικού Δημοσίου</w:t>
      </w:r>
      <w:r w:rsidR="00582E94">
        <w:rPr>
          <w:color w:val="021142"/>
          <w:lang w:val="el-GR"/>
        </w:rPr>
        <w:t xml:space="preserve">, </w:t>
      </w:r>
      <w:r w:rsidR="00582E94" w:rsidRPr="00582E94">
        <w:rPr>
          <w:color w:val="021142"/>
          <w:lang w:val="el-GR"/>
        </w:rPr>
        <w:t xml:space="preserve">της καθαρής ζημιάς από μη συνεχιζόμενες δραστηριότητες </w:t>
      </w:r>
      <w:r w:rsidR="003C6B94" w:rsidRPr="003C6B94">
        <w:rPr>
          <w:color w:val="021142"/>
          <w:lang w:val="el-GR"/>
        </w:rPr>
        <w:t xml:space="preserve"> </w:t>
      </w:r>
      <w:r w:rsidR="003C6B94">
        <w:rPr>
          <w:color w:val="021142"/>
          <w:lang w:val="el-GR"/>
        </w:rPr>
        <w:t>κ</w:t>
      </w:r>
      <w:r w:rsidR="00222199" w:rsidRPr="00222199">
        <w:rPr>
          <w:color w:val="021142"/>
          <w:lang w:val="el-GR"/>
        </w:rPr>
        <w:t>αι των αναπροσαρμογών φόρου εισοδήματος</w:t>
      </w:r>
      <w:r w:rsidR="008E0428" w:rsidRPr="008E0428">
        <w:rPr>
          <w:color w:val="021142"/>
          <w:lang w:val="el-GR"/>
        </w:rPr>
        <w:t xml:space="preserve">. </w:t>
      </w:r>
    </w:p>
    <w:p w14:paraId="007176FD" w14:textId="68E69CC3" w:rsidR="0063742F" w:rsidRPr="0063742F" w:rsidRDefault="006900D0" w:rsidP="0063742F">
      <w:pPr>
        <w:pStyle w:val="ListParagraph"/>
        <w:numPr>
          <w:ilvl w:val="0"/>
          <w:numId w:val="20"/>
        </w:numPr>
        <w:tabs>
          <w:tab w:val="left" w:pos="415"/>
        </w:tabs>
        <w:spacing w:before="105" w:line="247" w:lineRule="auto"/>
        <w:rPr>
          <w:color w:val="021142"/>
          <w:lang w:val="el-GR"/>
        </w:rPr>
      </w:pPr>
      <w:r w:rsidRPr="0063742F">
        <w:rPr>
          <w:b/>
          <w:color w:val="021142"/>
          <w:lang w:val="el-GR"/>
        </w:rPr>
        <w:t>Συνολικός δείκτης Κεφαλαιακής Επάρκειας (</w:t>
      </w:r>
      <w:r w:rsidRPr="0063742F">
        <w:rPr>
          <w:b/>
          <w:color w:val="021142"/>
        </w:rPr>
        <w:t>Total</w:t>
      </w:r>
      <w:r w:rsidRPr="0063742F">
        <w:rPr>
          <w:b/>
          <w:color w:val="021142"/>
          <w:lang w:val="el-GR"/>
        </w:rPr>
        <w:t xml:space="preserve"> </w:t>
      </w:r>
      <w:r w:rsidRPr="0063742F">
        <w:rPr>
          <w:b/>
          <w:color w:val="021142"/>
        </w:rPr>
        <w:t>Capital</w:t>
      </w:r>
      <w:r w:rsidRPr="0063742F">
        <w:rPr>
          <w:b/>
          <w:color w:val="021142"/>
          <w:lang w:val="el-GR"/>
        </w:rPr>
        <w:t xml:space="preserve"> </w:t>
      </w:r>
      <w:r w:rsidRPr="0063742F">
        <w:rPr>
          <w:b/>
          <w:color w:val="021142"/>
        </w:rPr>
        <w:t>Adequacy</w:t>
      </w:r>
      <w:r w:rsidRPr="0063742F">
        <w:rPr>
          <w:b/>
          <w:color w:val="021142"/>
          <w:lang w:val="el-GR"/>
        </w:rPr>
        <w:t xml:space="preserve"> </w:t>
      </w:r>
      <w:r w:rsidRPr="0063742F">
        <w:rPr>
          <w:b/>
          <w:color w:val="021142"/>
        </w:rPr>
        <w:t>ratio</w:t>
      </w:r>
      <w:r w:rsidRPr="0063742F">
        <w:rPr>
          <w:b/>
          <w:color w:val="021142"/>
          <w:lang w:val="el-GR"/>
        </w:rPr>
        <w:t>):</w:t>
      </w:r>
      <w:r w:rsidRPr="0063742F">
        <w:rPr>
          <w:b/>
          <w:color w:val="021142"/>
          <w:spacing w:val="-11"/>
          <w:lang w:val="el-GR"/>
        </w:rPr>
        <w:t xml:space="preserve"> </w:t>
      </w:r>
      <w:r w:rsidR="0063742F" w:rsidRPr="0063742F">
        <w:rPr>
          <w:color w:val="021142"/>
          <w:lang w:val="el-GR"/>
        </w:rPr>
        <w:t>Σύμφωνα με τον κανονισμό (EE) Αρ.575/2013, όπως ισχύει, ο λόγος των συνολικών εποπτικών κεφαλαίων  προς το σύνολο του σταθμισμένου ενεργητικού (Risk Weighted Assets - RWA). Το σταθμισμένο ενεργητικό είναι το σύνολο του ενεργητικού και των στοιχείων εκτός ισολογισμού του Ομίλου, σταθμισμένα με βάση τους συντελεστές στάθμισης κινδύνου σύμφωνα με τον κανονισμό (ΕΕ) Αρ. 575/2013, λαμβάνοντας υπόψη τον πιστωτικό, λειτουργικό και τον κίνδυνο αγοράς.</w:t>
      </w:r>
    </w:p>
    <w:p w14:paraId="20AB6A98" w14:textId="2DECFCC0" w:rsidR="006900D0" w:rsidRPr="0063742F" w:rsidRDefault="006900D0" w:rsidP="0063742F">
      <w:pPr>
        <w:pStyle w:val="ListParagraph"/>
        <w:tabs>
          <w:tab w:val="left" w:pos="390"/>
        </w:tabs>
        <w:spacing w:before="114" w:line="249" w:lineRule="auto"/>
        <w:ind w:left="720" w:right="295"/>
        <w:rPr>
          <w:lang w:val="el-GR"/>
        </w:rPr>
      </w:pPr>
    </w:p>
    <w:sectPr w:rsidR="006900D0" w:rsidRPr="0063742F">
      <w:headerReference w:type="default" r:id="rId17"/>
      <w:pgSz w:w="11910" w:h="16840"/>
      <w:pgMar w:top="1540" w:right="420" w:bottom="0" w:left="460" w:header="7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700B" w14:textId="77777777" w:rsidR="00F230C1" w:rsidRDefault="00F230C1">
      <w:r>
        <w:separator/>
      </w:r>
    </w:p>
  </w:endnote>
  <w:endnote w:type="continuationSeparator" w:id="0">
    <w:p w14:paraId="652E3ED6" w14:textId="77777777" w:rsidR="00F230C1" w:rsidRDefault="00F2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Eurobank Sans">
    <w:altName w:val="Eurobank Sans"/>
    <w:panose1 w:val="02000503000000020004"/>
    <w:charset w:val="A1"/>
    <w:family w:val="auto"/>
    <w:pitch w:val="variable"/>
    <w:sig w:usb0="A00002BF" w:usb1="5000000A"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2EE0" w14:textId="0A94ED9E" w:rsidR="00D576A5" w:rsidRPr="002E08D3" w:rsidRDefault="00D576A5" w:rsidP="002E08D3">
    <w:pPr>
      <w:tabs>
        <w:tab w:val="left" w:pos="9436"/>
      </w:tabs>
      <w:spacing w:before="39"/>
      <w:ind w:left="8640"/>
      <w:jc w:val="right"/>
      <w:rPr>
        <w:color w:val="021342"/>
        <w:sz w:val="20"/>
        <w:szCs w:val="20"/>
        <w:lang w:val="el-GR"/>
      </w:rPr>
    </w:pPr>
    <w:r w:rsidRPr="008831AF">
      <w:rPr>
        <w:color w:val="021342"/>
        <w:spacing w:val="-1"/>
        <w:sz w:val="20"/>
        <w:szCs w:val="20"/>
        <w:lang w:val="el-GR"/>
      </w:rPr>
      <w:t xml:space="preserve">                                                                                                                                                                                                                              </w:t>
    </w:r>
    <w:r w:rsidR="002E08D3">
      <w:rPr>
        <w:color w:val="021342"/>
        <w:spacing w:val="-1"/>
        <w:sz w:val="20"/>
        <w:szCs w:val="20"/>
        <w:lang w:val="el-GR"/>
      </w:rPr>
      <w:t xml:space="preserve">                       </w:t>
    </w:r>
    <w:r w:rsidR="00A24339">
      <w:rPr>
        <w:color w:val="021342"/>
        <w:spacing w:val="-1"/>
        <w:sz w:val="20"/>
        <w:szCs w:val="20"/>
        <w:lang w:val="en-GB"/>
      </w:rPr>
      <w:t>26</w:t>
    </w:r>
    <w:r w:rsidR="00916677">
      <w:rPr>
        <w:color w:val="021342"/>
        <w:spacing w:val="-1"/>
        <w:sz w:val="20"/>
        <w:szCs w:val="20"/>
        <w:lang w:val="el-GR"/>
      </w:rPr>
      <w:t xml:space="preserve"> </w:t>
    </w:r>
    <w:r w:rsidR="00A24339">
      <w:rPr>
        <w:color w:val="021342"/>
        <w:spacing w:val="-1"/>
        <w:sz w:val="20"/>
        <w:szCs w:val="20"/>
        <w:lang w:val="el-GR"/>
      </w:rPr>
      <w:t>Φεβρουαρίου</w:t>
    </w:r>
    <w:r w:rsidR="00916677">
      <w:rPr>
        <w:color w:val="021342"/>
        <w:spacing w:val="-1"/>
        <w:sz w:val="20"/>
        <w:szCs w:val="20"/>
        <w:lang w:val="el-GR"/>
      </w:rPr>
      <w:t xml:space="preserve"> </w:t>
    </w:r>
    <w:r w:rsidR="002E08D3">
      <w:rPr>
        <w:color w:val="021342"/>
        <w:spacing w:val="-1"/>
        <w:sz w:val="20"/>
        <w:szCs w:val="20"/>
        <w:lang w:val="el-GR"/>
      </w:rPr>
      <w:t>202</w:t>
    </w:r>
    <w:r w:rsidR="00630E9E">
      <w:rPr>
        <w:color w:val="021342"/>
        <w:spacing w:val="-1"/>
        <w:sz w:val="20"/>
        <w:szCs w:val="20"/>
        <w:lang w:val="el-GR"/>
      </w:rPr>
      <w:t>6</w:t>
    </w:r>
  </w:p>
  <w:p w14:paraId="52181DC4" w14:textId="77777777" w:rsidR="00D576A5" w:rsidRDefault="00D576A5" w:rsidP="004D78CF">
    <w:pPr>
      <w:tabs>
        <w:tab w:val="left" w:pos="9436"/>
      </w:tabs>
      <w:spacing w:before="39"/>
      <w:ind w:left="260"/>
      <w:jc w:val="both"/>
      <w:rPr>
        <w:color w:val="021342"/>
        <w:sz w:val="16"/>
        <w:lang w:val="el-GR"/>
      </w:rPr>
    </w:pPr>
  </w:p>
  <w:p w14:paraId="023AD29B" w14:textId="77777777" w:rsidR="00D576A5" w:rsidRPr="004D78CF" w:rsidRDefault="00D576A5" w:rsidP="004D78CF">
    <w:pPr>
      <w:tabs>
        <w:tab w:val="left" w:pos="9436"/>
      </w:tabs>
      <w:spacing w:before="39"/>
      <w:ind w:left="260"/>
      <w:jc w:val="both"/>
      <w:rPr>
        <w:sz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5CA38" w14:textId="77777777" w:rsidR="00F230C1" w:rsidRDefault="00F230C1">
      <w:r>
        <w:separator/>
      </w:r>
    </w:p>
  </w:footnote>
  <w:footnote w:type="continuationSeparator" w:id="0">
    <w:p w14:paraId="43BAA9CF" w14:textId="77777777" w:rsidR="00F230C1" w:rsidRDefault="00F230C1">
      <w:r>
        <w:continuationSeparator/>
      </w:r>
    </w:p>
  </w:footnote>
  <w:footnote w:id="1">
    <w:p w14:paraId="7D49D197" w14:textId="0DD89908" w:rsidR="00F970CE" w:rsidRPr="00F970CE" w:rsidRDefault="00F970CE">
      <w:pPr>
        <w:pStyle w:val="FootnoteText"/>
        <w:rPr>
          <w:lang w:val="el-GR"/>
        </w:rPr>
      </w:pPr>
      <w:r w:rsidRPr="00F970CE">
        <w:rPr>
          <w:rStyle w:val="FootnoteReference"/>
          <w:sz w:val="12"/>
          <w:szCs w:val="12"/>
        </w:rPr>
        <w:footnoteRef/>
      </w:r>
      <w:r w:rsidRPr="00F970CE">
        <w:rPr>
          <w:sz w:val="12"/>
          <w:szCs w:val="12"/>
          <w:lang w:val="el-GR"/>
        </w:rPr>
        <w:t xml:space="preserve"> </w:t>
      </w:r>
      <w:r w:rsidRPr="00F970CE">
        <w:rPr>
          <w:sz w:val="12"/>
          <w:szCs w:val="12"/>
          <w:lang w:val="el-GR"/>
        </w:rPr>
        <w:t>Περιλαμβάνει</w:t>
      </w:r>
      <w:r w:rsidRPr="00336D64">
        <w:rPr>
          <w:sz w:val="12"/>
          <w:szCs w:val="12"/>
          <w:lang w:val="el-GR"/>
        </w:rPr>
        <w:t xml:space="preserve"> </w:t>
      </w:r>
      <w:r>
        <w:rPr>
          <w:sz w:val="12"/>
          <w:szCs w:val="12"/>
          <w:lang w:val="el-GR"/>
        </w:rPr>
        <w:t>προμέρισμα</w:t>
      </w:r>
      <w:r w:rsidRPr="00336D64">
        <w:rPr>
          <w:sz w:val="12"/>
          <w:szCs w:val="12"/>
          <w:lang w:val="el-GR"/>
        </w:rPr>
        <w:t xml:space="preserve"> </w:t>
      </w:r>
      <w:r>
        <w:rPr>
          <w:sz w:val="12"/>
          <w:szCs w:val="12"/>
          <w:lang w:val="el-GR"/>
        </w:rPr>
        <w:t>ύψους</w:t>
      </w:r>
      <w:r w:rsidRPr="00336D64">
        <w:rPr>
          <w:sz w:val="12"/>
          <w:szCs w:val="12"/>
          <w:lang w:val="el-GR"/>
        </w:rPr>
        <w:t xml:space="preserve"> €170</w:t>
      </w:r>
      <w:r>
        <w:rPr>
          <w:sz w:val="12"/>
          <w:szCs w:val="12"/>
          <w:lang w:val="el-GR"/>
        </w:rPr>
        <w:t>εκ</w:t>
      </w:r>
      <w:r w:rsidRPr="00336D64">
        <w:rPr>
          <w:sz w:val="12"/>
          <w:szCs w:val="12"/>
          <w:lang w:val="el-GR"/>
        </w:rPr>
        <w:t xml:space="preserve"> (€0,047 </w:t>
      </w:r>
      <w:r>
        <w:rPr>
          <w:sz w:val="12"/>
          <w:szCs w:val="12"/>
          <w:lang w:val="el-GR"/>
        </w:rPr>
        <w:t>ανά</w:t>
      </w:r>
      <w:r w:rsidRPr="00336D64">
        <w:rPr>
          <w:sz w:val="12"/>
          <w:szCs w:val="12"/>
          <w:lang w:val="el-GR"/>
        </w:rPr>
        <w:t xml:space="preserve"> </w:t>
      </w:r>
      <w:r>
        <w:rPr>
          <w:sz w:val="12"/>
          <w:szCs w:val="12"/>
          <w:lang w:val="el-GR"/>
        </w:rPr>
        <w:t>μετοχή</w:t>
      </w:r>
      <w:r w:rsidRPr="00336D64">
        <w:rPr>
          <w:sz w:val="12"/>
          <w:szCs w:val="12"/>
          <w:lang w:val="el-GR"/>
        </w:rPr>
        <w:t xml:space="preserve">) </w:t>
      </w:r>
      <w:r>
        <w:rPr>
          <w:sz w:val="12"/>
          <w:szCs w:val="12"/>
          <w:lang w:val="el-GR"/>
        </w:rPr>
        <w:t xml:space="preserve">που πληρώθηκε τον Νοέμβριο 2025. </w:t>
      </w:r>
      <w:r w:rsidRPr="0010196E">
        <w:rPr>
          <w:sz w:val="12"/>
          <w:szCs w:val="12"/>
          <w:lang w:val="el-GR"/>
        </w:rPr>
        <w:t>Η διανομή κερδών υπόκειται σε έγκριση από τις Εποπτικές Αρχές και τη Γενική Συνέλευση των Μετόχων.</w:t>
      </w:r>
    </w:p>
  </w:footnote>
  <w:footnote w:id="2">
    <w:p w14:paraId="07E4F386" w14:textId="75196A6D" w:rsidR="00C74784" w:rsidRPr="0010196E" w:rsidRDefault="006A33AE" w:rsidP="00FE4888">
      <w:pPr>
        <w:pStyle w:val="FootnoteText"/>
        <w:ind w:right="399"/>
        <w:rPr>
          <w:sz w:val="12"/>
          <w:szCs w:val="12"/>
          <w:lang w:val="el-GR"/>
        </w:rPr>
      </w:pPr>
      <w:r w:rsidRPr="00C44E57">
        <w:rPr>
          <w:rStyle w:val="FootnoteReference"/>
          <w:sz w:val="12"/>
          <w:szCs w:val="12"/>
        </w:rPr>
        <w:footnoteRef/>
      </w:r>
      <w:r w:rsidRPr="00C44E57">
        <w:rPr>
          <w:sz w:val="12"/>
          <w:szCs w:val="12"/>
          <w:lang w:val="el-GR"/>
        </w:rPr>
        <w:t xml:space="preserve"> </w:t>
      </w:r>
      <w:r w:rsidRPr="00CF5FAF">
        <w:rPr>
          <w:color w:val="021142"/>
          <w:sz w:val="12"/>
          <w:szCs w:val="12"/>
          <w:lang w:val="en-GB"/>
        </w:rPr>
        <w:t>P</w:t>
      </w:r>
      <w:r w:rsidRPr="00CF5FAF">
        <w:rPr>
          <w:color w:val="021142"/>
          <w:sz w:val="12"/>
          <w:szCs w:val="12"/>
          <w:lang w:val="el-GR"/>
        </w:rPr>
        <w:t>ro</w:t>
      </w:r>
      <w:r w:rsidR="003561E2" w:rsidRPr="00CF5FAF">
        <w:rPr>
          <w:color w:val="021142"/>
          <w:sz w:val="12"/>
          <w:szCs w:val="12"/>
          <w:lang w:val="el-GR"/>
        </w:rPr>
        <w:t xml:space="preserve"> </w:t>
      </w:r>
      <w:r w:rsidRPr="00CF5FAF">
        <w:rPr>
          <w:color w:val="021142"/>
          <w:sz w:val="12"/>
          <w:szCs w:val="12"/>
          <w:lang w:val="el-GR"/>
        </w:rPr>
        <w:t>forma για τ</w:t>
      </w:r>
      <w:r w:rsidR="003561E2" w:rsidRPr="00CF5FAF">
        <w:rPr>
          <w:color w:val="021142"/>
          <w:sz w:val="12"/>
          <w:szCs w:val="12"/>
          <w:lang w:val="el-GR"/>
        </w:rPr>
        <w:t xml:space="preserve">η </w:t>
      </w:r>
      <w:r w:rsidR="003561E2" w:rsidRPr="00CF5FAF">
        <w:rPr>
          <w:color w:val="021142"/>
          <w:sz w:val="12"/>
          <w:szCs w:val="12"/>
          <w:lang w:val="en-GB"/>
        </w:rPr>
        <w:t>NPE</w:t>
      </w:r>
      <w:r w:rsidR="003561E2" w:rsidRPr="00CF5FAF">
        <w:rPr>
          <w:color w:val="021142"/>
          <w:sz w:val="12"/>
          <w:szCs w:val="12"/>
          <w:lang w:val="el-GR"/>
        </w:rPr>
        <w:t xml:space="preserve"> </w:t>
      </w:r>
      <w:r w:rsidRPr="00CF5FAF">
        <w:rPr>
          <w:color w:val="021142"/>
          <w:sz w:val="12"/>
          <w:szCs w:val="12"/>
          <w:lang w:val="el-GR"/>
        </w:rPr>
        <w:t>συναλλαγ</w:t>
      </w:r>
      <w:r w:rsidR="003561E2" w:rsidRPr="00CF5FAF">
        <w:rPr>
          <w:color w:val="021142"/>
          <w:sz w:val="12"/>
          <w:szCs w:val="12"/>
          <w:lang w:val="el-GR"/>
        </w:rPr>
        <w:t>ή «</w:t>
      </w:r>
      <w:r w:rsidR="003561E2" w:rsidRPr="00CF5FAF">
        <w:rPr>
          <w:color w:val="021142"/>
          <w:sz w:val="12"/>
          <w:szCs w:val="12"/>
          <w:lang w:val="en-GB"/>
        </w:rPr>
        <w:t>Sun</w:t>
      </w:r>
      <w:r w:rsidR="003561E2" w:rsidRPr="00CF5FAF">
        <w:rPr>
          <w:color w:val="021142"/>
          <w:sz w:val="12"/>
          <w:szCs w:val="12"/>
          <w:lang w:val="el-GR"/>
        </w:rPr>
        <w:t xml:space="preserve">» (πρώην </w:t>
      </w:r>
      <w:r w:rsidRPr="00CF5FAF">
        <w:rPr>
          <w:color w:val="021142"/>
          <w:sz w:val="12"/>
          <w:szCs w:val="12"/>
          <w:lang w:val="el-GR"/>
        </w:rPr>
        <w:t>«Solar»</w:t>
      </w:r>
      <w:r w:rsidR="003561E2" w:rsidRPr="00CF5FAF">
        <w:rPr>
          <w:color w:val="021142"/>
          <w:sz w:val="12"/>
          <w:szCs w:val="12"/>
          <w:lang w:val="el-GR"/>
        </w:rPr>
        <w:t>)</w:t>
      </w:r>
      <w:r w:rsidR="00E4064E">
        <w:rPr>
          <w:color w:val="021142"/>
          <w:sz w:val="12"/>
          <w:szCs w:val="12"/>
          <w:lang w:val="el-GR"/>
        </w:rPr>
        <w:t xml:space="preserve"> και για </w:t>
      </w:r>
      <w:r w:rsidR="00640A4D">
        <w:rPr>
          <w:color w:val="021142"/>
          <w:sz w:val="12"/>
          <w:szCs w:val="12"/>
          <w:lang w:val="el-GR"/>
        </w:rPr>
        <w:t>συνθετικ</w:t>
      </w:r>
      <w:r w:rsidR="00BF4F67">
        <w:rPr>
          <w:color w:val="021142"/>
          <w:sz w:val="12"/>
          <w:szCs w:val="12"/>
          <w:lang w:val="el-GR"/>
        </w:rPr>
        <w:t xml:space="preserve">ή </w:t>
      </w:r>
      <w:r w:rsidR="00640A4D">
        <w:rPr>
          <w:color w:val="021142"/>
          <w:sz w:val="12"/>
          <w:szCs w:val="12"/>
          <w:lang w:val="el-GR"/>
        </w:rPr>
        <w:t>τιτλοπο</w:t>
      </w:r>
      <w:r w:rsidR="00BF4F67">
        <w:rPr>
          <w:color w:val="021142"/>
          <w:sz w:val="12"/>
          <w:szCs w:val="12"/>
          <w:lang w:val="el-GR"/>
        </w:rPr>
        <w:t>ίηση.</w:t>
      </w:r>
      <w:r w:rsidR="00C4270A">
        <w:rPr>
          <w:color w:val="021142"/>
          <w:sz w:val="12"/>
          <w:szCs w:val="12"/>
          <w:lang w:val="el-GR"/>
        </w:rPr>
        <w:t xml:space="preserve"> </w:t>
      </w:r>
      <w:r w:rsidRPr="00CF5FAF">
        <w:rPr>
          <w:color w:val="021142"/>
          <w:sz w:val="12"/>
          <w:szCs w:val="12"/>
          <w:lang w:val="el-GR"/>
        </w:rPr>
        <w:t>Λαμβάνοντας</w:t>
      </w:r>
      <w:r w:rsidRPr="00C44E57">
        <w:rPr>
          <w:color w:val="021142"/>
          <w:sz w:val="12"/>
          <w:szCs w:val="12"/>
          <w:lang w:val="el-GR"/>
        </w:rPr>
        <w:t xml:space="preserve"> υπόψη</w:t>
      </w:r>
      <w:r w:rsidRPr="0010196E">
        <w:rPr>
          <w:color w:val="021142"/>
          <w:sz w:val="12"/>
          <w:szCs w:val="12"/>
          <w:lang w:val="el-GR"/>
        </w:rPr>
        <w:t xml:space="preserve"> την πρόβλεψη διανομής κερδών. Περιλαμβανομένων των κερδών περιόδου που τελούν υπό την έγκριση της Γενικής Συνέλευσης των Μετόχων. Η διανομή κερδών υπόκειται σε έγκριση από τις Εποπτικές Αρχές και τη Γενική Συνέλευση των Μετόχων.</w:t>
      </w:r>
    </w:p>
  </w:footnote>
  <w:footnote w:id="3">
    <w:p w14:paraId="15AD537E" w14:textId="0827698B" w:rsidR="00392C29" w:rsidRPr="005E2BE9" w:rsidRDefault="00392C29" w:rsidP="00FE4888">
      <w:pPr>
        <w:pStyle w:val="FootnoteText"/>
        <w:ind w:right="399"/>
        <w:rPr>
          <w:lang w:val="el-GR"/>
        </w:rPr>
      </w:pPr>
      <w:r w:rsidRPr="0010196E">
        <w:rPr>
          <w:rStyle w:val="FootnoteReference"/>
          <w:sz w:val="12"/>
          <w:szCs w:val="12"/>
        </w:rPr>
        <w:footnoteRef/>
      </w:r>
      <w:r w:rsidRPr="0010196E">
        <w:rPr>
          <w:sz w:val="12"/>
          <w:szCs w:val="12"/>
          <w:lang w:val="el-GR"/>
        </w:rPr>
        <w:t xml:space="preserve"> </w:t>
      </w:r>
      <w:r w:rsidR="00D7024F">
        <w:rPr>
          <w:sz w:val="12"/>
          <w:szCs w:val="12"/>
          <w:lang w:val="el-GR"/>
        </w:rPr>
        <w:t>Συμπεριλαμβάνει</w:t>
      </w:r>
      <w:r w:rsidR="00225570">
        <w:rPr>
          <w:sz w:val="12"/>
          <w:szCs w:val="12"/>
          <w:lang w:val="el-GR"/>
        </w:rPr>
        <w:t xml:space="preserve"> μέρισμα σε μετρητά </w:t>
      </w:r>
      <w:r w:rsidR="006A5316">
        <w:rPr>
          <w:sz w:val="12"/>
          <w:szCs w:val="12"/>
          <w:lang w:val="el-GR"/>
        </w:rPr>
        <w:t xml:space="preserve">και επαναγορά μετοχών. </w:t>
      </w:r>
      <w:r w:rsidR="004F4E2E" w:rsidRPr="0010196E">
        <w:rPr>
          <w:sz w:val="12"/>
          <w:szCs w:val="12"/>
          <w:lang w:val="el-GR"/>
        </w:rPr>
        <w:t xml:space="preserve">Η διανομή κερδών υπόκειται σε </w:t>
      </w:r>
      <w:r w:rsidR="00160581" w:rsidRPr="0010196E">
        <w:rPr>
          <w:sz w:val="12"/>
          <w:szCs w:val="12"/>
          <w:lang w:val="el-GR"/>
        </w:rPr>
        <w:t>έγκριση από τις Εποπτικές Α</w:t>
      </w:r>
      <w:r w:rsidR="00EE0E83" w:rsidRPr="0010196E">
        <w:rPr>
          <w:sz w:val="12"/>
          <w:szCs w:val="12"/>
          <w:lang w:val="el-GR"/>
        </w:rPr>
        <w:t>ρχές και τη Γενική Συνέλευση των Μετόχων.</w:t>
      </w:r>
    </w:p>
  </w:footnote>
  <w:footnote w:id="4">
    <w:p w14:paraId="059BD5EE" w14:textId="43B665F1" w:rsidR="00773B1A" w:rsidRPr="00794D07" w:rsidRDefault="00773B1A" w:rsidP="00FE4888">
      <w:pPr>
        <w:pStyle w:val="FootnoteText"/>
        <w:ind w:right="540"/>
        <w:rPr>
          <w:sz w:val="12"/>
          <w:szCs w:val="12"/>
          <w:lang w:val="el-GR"/>
        </w:rPr>
      </w:pPr>
      <w:r w:rsidRPr="002A002D">
        <w:rPr>
          <w:rStyle w:val="FootnoteReference"/>
          <w:sz w:val="12"/>
          <w:szCs w:val="12"/>
        </w:rPr>
        <w:footnoteRef/>
      </w:r>
      <w:r w:rsidRPr="002A002D">
        <w:rPr>
          <w:sz w:val="12"/>
          <w:szCs w:val="12"/>
          <w:lang w:val="el-GR"/>
        </w:rPr>
        <w:t xml:space="preserve"> </w:t>
      </w:r>
      <w:r w:rsidRPr="00CF5FAF">
        <w:rPr>
          <w:color w:val="021142"/>
          <w:sz w:val="12"/>
          <w:szCs w:val="12"/>
          <w:lang w:val="en-GB"/>
        </w:rPr>
        <w:t>P</w:t>
      </w:r>
      <w:r w:rsidRPr="00CF5FAF">
        <w:rPr>
          <w:color w:val="021142"/>
          <w:sz w:val="12"/>
          <w:szCs w:val="12"/>
          <w:lang w:val="el-GR"/>
        </w:rPr>
        <w:t>ro</w:t>
      </w:r>
      <w:r w:rsidR="00042F1B" w:rsidRPr="00CF5FAF">
        <w:rPr>
          <w:color w:val="021142"/>
          <w:sz w:val="12"/>
          <w:szCs w:val="12"/>
          <w:lang w:val="el-GR"/>
        </w:rPr>
        <w:t xml:space="preserve"> forma για τη </w:t>
      </w:r>
      <w:r w:rsidR="00042F1B" w:rsidRPr="00CF5FAF">
        <w:rPr>
          <w:color w:val="021142"/>
          <w:sz w:val="12"/>
          <w:szCs w:val="12"/>
          <w:lang w:val="en-GB"/>
        </w:rPr>
        <w:t>NPE</w:t>
      </w:r>
      <w:r w:rsidR="00042F1B" w:rsidRPr="00CF5FAF">
        <w:rPr>
          <w:color w:val="021142"/>
          <w:sz w:val="12"/>
          <w:szCs w:val="12"/>
          <w:lang w:val="el-GR"/>
        </w:rPr>
        <w:t xml:space="preserve"> συναλλαγή «</w:t>
      </w:r>
      <w:r w:rsidR="00042F1B" w:rsidRPr="00CF5FAF">
        <w:rPr>
          <w:color w:val="021142"/>
          <w:sz w:val="12"/>
          <w:szCs w:val="12"/>
          <w:lang w:val="en-GB"/>
        </w:rPr>
        <w:t>Sun</w:t>
      </w:r>
      <w:r w:rsidR="00042F1B" w:rsidRPr="00CF5FAF">
        <w:rPr>
          <w:color w:val="021142"/>
          <w:sz w:val="12"/>
          <w:szCs w:val="12"/>
          <w:lang w:val="el-GR"/>
        </w:rPr>
        <w:t>» (πρώην «Solar»)</w:t>
      </w:r>
      <w:r w:rsidR="00807308">
        <w:rPr>
          <w:color w:val="021142"/>
          <w:sz w:val="12"/>
          <w:szCs w:val="12"/>
          <w:lang w:val="el-GR"/>
        </w:rPr>
        <w:t xml:space="preserve"> και </w:t>
      </w:r>
      <w:r w:rsidR="00C4270A">
        <w:rPr>
          <w:color w:val="021142"/>
          <w:sz w:val="12"/>
          <w:szCs w:val="12"/>
          <w:lang w:val="el-GR"/>
        </w:rPr>
        <w:t xml:space="preserve">για </w:t>
      </w:r>
      <w:r w:rsidR="00BF4F67">
        <w:rPr>
          <w:color w:val="021142"/>
          <w:sz w:val="12"/>
          <w:szCs w:val="12"/>
          <w:lang w:val="el-GR"/>
        </w:rPr>
        <w:t>συνθετική τιτλοποίηση</w:t>
      </w:r>
      <w:r w:rsidR="00807308" w:rsidRPr="00CF5FAF">
        <w:rPr>
          <w:color w:val="021142"/>
          <w:sz w:val="12"/>
          <w:szCs w:val="12"/>
          <w:lang w:val="el-GR"/>
        </w:rPr>
        <w:t xml:space="preserve">. </w:t>
      </w:r>
      <w:r w:rsidR="00042F1B" w:rsidRPr="00CF5FAF">
        <w:rPr>
          <w:color w:val="021142"/>
          <w:sz w:val="12"/>
          <w:szCs w:val="12"/>
          <w:lang w:val="el-GR"/>
        </w:rPr>
        <w:t>Λαμβάνοντας</w:t>
      </w:r>
      <w:r w:rsidR="00042F1B" w:rsidRPr="002A002D">
        <w:rPr>
          <w:color w:val="021142"/>
          <w:sz w:val="12"/>
          <w:szCs w:val="12"/>
          <w:lang w:val="el-GR"/>
        </w:rPr>
        <w:t xml:space="preserve"> υπόψη</w:t>
      </w:r>
      <w:r w:rsidR="00042F1B" w:rsidRPr="00794D07">
        <w:rPr>
          <w:color w:val="021142"/>
          <w:sz w:val="12"/>
          <w:szCs w:val="12"/>
          <w:lang w:val="el-GR"/>
        </w:rPr>
        <w:t xml:space="preserve"> την πρόβλεψη διανομής κερδών. Περιλαμβανομένων των κερδών περιόδου που τελούν υπό την έγκριση της Γενικής Συνέλευσης των Μετόχων. Η διανομή κερδών υπόκειται σε έγκριση από τις Εποπτικές Αρχές και τη Γενική Συνέλευση των Μετόχων. </w:t>
      </w:r>
    </w:p>
  </w:footnote>
  <w:footnote w:id="5">
    <w:p w14:paraId="193F4F89" w14:textId="1C97EEEB" w:rsidR="00DA7E25" w:rsidRPr="00CF5FAF" w:rsidRDefault="00DA7E25">
      <w:pPr>
        <w:pStyle w:val="FootnoteText"/>
        <w:rPr>
          <w:sz w:val="12"/>
          <w:szCs w:val="12"/>
          <w:lang w:val="el-GR"/>
        </w:rPr>
      </w:pPr>
      <w:r w:rsidRPr="00CF5FAF">
        <w:rPr>
          <w:rStyle w:val="FootnoteReference"/>
          <w:sz w:val="12"/>
          <w:szCs w:val="12"/>
        </w:rPr>
        <w:footnoteRef/>
      </w:r>
      <w:r w:rsidRPr="00CF5FAF">
        <w:rPr>
          <w:sz w:val="12"/>
          <w:szCs w:val="12"/>
          <w:lang w:val="el-GR"/>
        </w:rPr>
        <w:t xml:space="preserve"> </w:t>
      </w:r>
      <w:r w:rsidR="00280F59" w:rsidRPr="00877CEB">
        <w:rPr>
          <w:sz w:val="12"/>
          <w:szCs w:val="12"/>
          <w:lang w:val="el-GR"/>
        </w:rPr>
        <w:t>Συμπεριλαμβάνει μέρισμα σε μετρητά και επαναγορά μετοχών. Η διανομή κερδών υπόκειται σε έγκριση από τις Εποπτικές Αρχές και τη Γενική Συνέλευση των Μετόχων.</w:t>
      </w:r>
    </w:p>
  </w:footnote>
  <w:footnote w:id="6">
    <w:p w14:paraId="5786D5AF" w14:textId="127FDB8E" w:rsidR="00877CEB" w:rsidRPr="00CF5FAF" w:rsidRDefault="00877CEB">
      <w:pPr>
        <w:pStyle w:val="FootnoteText"/>
        <w:rPr>
          <w:lang w:val="el-GR"/>
        </w:rPr>
      </w:pPr>
      <w:r w:rsidRPr="00CF5FAF">
        <w:rPr>
          <w:rStyle w:val="FootnoteReference"/>
          <w:sz w:val="12"/>
          <w:szCs w:val="12"/>
        </w:rPr>
        <w:footnoteRef/>
      </w:r>
      <w:r w:rsidRPr="00CF5FAF">
        <w:rPr>
          <w:sz w:val="12"/>
          <w:szCs w:val="12"/>
          <w:lang w:val="el-GR"/>
        </w:rPr>
        <w:t xml:space="preserve"> </w:t>
      </w:r>
      <w:r w:rsidRPr="00877CEB">
        <w:rPr>
          <w:color w:val="021142"/>
          <w:sz w:val="12"/>
          <w:szCs w:val="12"/>
          <w:lang w:val="el-GR"/>
        </w:rPr>
        <w:t xml:space="preserve">Περιλαμβανομένων των κερδών περιόδου και λαμβάνοντας υπόψη την πρόβλεψη διανομής κερδών, που </w:t>
      </w:r>
      <w:r w:rsidRPr="00877CEB">
        <w:rPr>
          <w:sz w:val="12"/>
          <w:szCs w:val="12"/>
          <w:lang w:val="el-GR"/>
        </w:rPr>
        <w:t>υπόκειται σε έγκριση από τις Εποπτικές Αρχές και τη Γενική Συνέλευση των Μετόχων.</w:t>
      </w:r>
      <w:r>
        <w:rPr>
          <w:sz w:val="12"/>
          <w:szCs w:val="12"/>
          <w:lang w:val="el-GR"/>
        </w:rPr>
        <w:t xml:space="preserve"> </w:t>
      </w:r>
    </w:p>
  </w:footnote>
  <w:footnote w:id="7">
    <w:p w14:paraId="0D478A16" w14:textId="765C7DF0" w:rsidR="00EB3ECD" w:rsidRPr="00341068" w:rsidRDefault="00EB3ECD" w:rsidP="00A6309E">
      <w:pPr>
        <w:pStyle w:val="FootnoteText"/>
        <w:ind w:right="398"/>
        <w:rPr>
          <w:sz w:val="12"/>
          <w:szCs w:val="12"/>
          <w:lang w:val="el-GR"/>
        </w:rPr>
      </w:pPr>
      <w:r w:rsidRPr="00341068">
        <w:rPr>
          <w:rStyle w:val="FootnoteReference"/>
          <w:sz w:val="12"/>
          <w:szCs w:val="12"/>
        </w:rPr>
        <w:footnoteRef/>
      </w:r>
      <w:r w:rsidRPr="00341068">
        <w:rPr>
          <w:sz w:val="12"/>
          <w:szCs w:val="12"/>
          <w:lang w:val="el-GR"/>
        </w:rPr>
        <w:t xml:space="preserve"> </w:t>
      </w:r>
      <w:r w:rsidRPr="00341068">
        <w:rPr>
          <w:color w:val="021142"/>
          <w:sz w:val="12"/>
          <w:szCs w:val="12"/>
          <w:lang w:val="el-GR"/>
        </w:rPr>
        <w:t xml:space="preserve">Εξαιρουμένων των NPE της </w:t>
      </w:r>
      <w:r w:rsidRPr="00341068">
        <w:rPr>
          <w:color w:val="021142"/>
          <w:sz w:val="12"/>
          <w:szCs w:val="12"/>
          <w:lang w:val="en-GB"/>
        </w:rPr>
        <w:t>Eurobank</w:t>
      </w:r>
      <w:r w:rsidRPr="00341068">
        <w:rPr>
          <w:color w:val="021142"/>
          <w:sz w:val="12"/>
          <w:szCs w:val="12"/>
          <w:lang w:val="el-GR"/>
        </w:rPr>
        <w:t xml:space="preserve"> </w:t>
      </w:r>
      <w:r w:rsidRPr="00341068">
        <w:rPr>
          <w:color w:val="021142"/>
          <w:sz w:val="12"/>
          <w:szCs w:val="12"/>
          <w:lang w:val="en-GB"/>
        </w:rPr>
        <w:t>Ltd</w:t>
      </w:r>
      <w:r w:rsidRPr="00341068">
        <w:rPr>
          <w:color w:val="021142"/>
          <w:sz w:val="12"/>
          <w:szCs w:val="12"/>
          <w:lang w:val="el-GR"/>
        </w:rPr>
        <w:t xml:space="preserve"> που καλύπτονται από το Πρόγραμμα Προστασίας Περιουσιακών Στοιχείων.</w:t>
      </w:r>
    </w:p>
  </w:footnote>
  <w:footnote w:id="8">
    <w:p w14:paraId="08501BAB" w14:textId="228D27D8" w:rsidR="00EB3ECD" w:rsidRPr="00341068" w:rsidRDefault="00EB3ECD" w:rsidP="00A6309E">
      <w:pPr>
        <w:pStyle w:val="FootnoteText"/>
        <w:ind w:right="398"/>
        <w:rPr>
          <w:sz w:val="12"/>
          <w:szCs w:val="12"/>
          <w:lang w:val="el-GR"/>
        </w:rPr>
      </w:pPr>
      <w:r w:rsidRPr="00341068">
        <w:rPr>
          <w:rStyle w:val="FootnoteReference"/>
          <w:sz w:val="12"/>
          <w:szCs w:val="12"/>
        </w:rPr>
        <w:footnoteRef/>
      </w:r>
      <w:r w:rsidRPr="00341068">
        <w:rPr>
          <w:sz w:val="12"/>
          <w:szCs w:val="12"/>
          <w:lang w:val="el-GR"/>
        </w:rPr>
        <w:t xml:space="preserve"> </w:t>
      </w:r>
      <w:r w:rsidRPr="00341068">
        <w:rPr>
          <w:color w:val="021142"/>
          <w:sz w:val="12"/>
          <w:szCs w:val="12"/>
          <w:lang w:val="el-GR"/>
        </w:rPr>
        <w:t xml:space="preserve">Εξαιρουμένων των NPE της </w:t>
      </w:r>
      <w:r w:rsidRPr="00341068">
        <w:rPr>
          <w:color w:val="021142"/>
          <w:sz w:val="12"/>
          <w:szCs w:val="12"/>
          <w:lang w:val="en-GB"/>
        </w:rPr>
        <w:t>Eurobank</w:t>
      </w:r>
      <w:r w:rsidRPr="00341068">
        <w:rPr>
          <w:color w:val="021142"/>
          <w:sz w:val="12"/>
          <w:szCs w:val="12"/>
          <w:lang w:val="el-GR"/>
        </w:rPr>
        <w:t xml:space="preserve"> </w:t>
      </w:r>
      <w:r w:rsidRPr="00341068">
        <w:rPr>
          <w:color w:val="021142"/>
          <w:sz w:val="12"/>
          <w:szCs w:val="12"/>
          <w:lang w:val="en-GB"/>
        </w:rPr>
        <w:t>Ltd</w:t>
      </w:r>
      <w:r w:rsidRPr="00341068">
        <w:rPr>
          <w:color w:val="021142"/>
          <w:sz w:val="12"/>
          <w:szCs w:val="12"/>
          <w:lang w:val="el-GR"/>
        </w:rPr>
        <w:t xml:space="preserve"> που καλύπτονται από το Πρόγραμμα Προστασίας Περιουσιακών Στοιχείων και των αντίστοιχων προβλέψεων.</w:t>
      </w:r>
    </w:p>
  </w:footnote>
  <w:footnote w:id="9">
    <w:p w14:paraId="21170544" w14:textId="28A2CBB2" w:rsidR="00EC3A22" w:rsidRPr="00341068" w:rsidRDefault="00EC3A22" w:rsidP="00A6309E">
      <w:pPr>
        <w:pStyle w:val="FootnoteText"/>
        <w:ind w:right="398"/>
        <w:rPr>
          <w:sz w:val="12"/>
          <w:szCs w:val="12"/>
          <w:lang w:val="el-GR"/>
        </w:rPr>
      </w:pPr>
      <w:r w:rsidRPr="00341068">
        <w:rPr>
          <w:rStyle w:val="FootnoteReference"/>
          <w:sz w:val="12"/>
          <w:szCs w:val="12"/>
        </w:rPr>
        <w:footnoteRef/>
      </w:r>
      <w:r w:rsidRPr="00341068">
        <w:rPr>
          <w:sz w:val="12"/>
          <w:szCs w:val="12"/>
          <w:lang w:val="el-GR"/>
        </w:rPr>
        <w:t xml:space="preserve"> </w:t>
      </w:r>
      <w:r w:rsidRPr="00341068">
        <w:rPr>
          <w:color w:val="021142"/>
          <w:sz w:val="12"/>
          <w:szCs w:val="12"/>
          <w:lang w:val="en-GB"/>
        </w:rPr>
        <w:t>P</w:t>
      </w:r>
      <w:r w:rsidRPr="00341068">
        <w:rPr>
          <w:color w:val="021142"/>
          <w:sz w:val="12"/>
          <w:szCs w:val="12"/>
          <w:lang w:val="el-GR"/>
        </w:rPr>
        <w:t xml:space="preserve">ro forma για τη </w:t>
      </w:r>
      <w:r w:rsidRPr="00341068">
        <w:rPr>
          <w:color w:val="021142"/>
          <w:sz w:val="12"/>
          <w:szCs w:val="12"/>
          <w:lang w:val="en-GB"/>
        </w:rPr>
        <w:t>NPE</w:t>
      </w:r>
      <w:r w:rsidRPr="00341068">
        <w:rPr>
          <w:color w:val="021142"/>
          <w:sz w:val="12"/>
          <w:szCs w:val="12"/>
          <w:lang w:val="el-GR"/>
        </w:rPr>
        <w:t xml:space="preserve"> συναλλαγή «</w:t>
      </w:r>
      <w:r w:rsidRPr="00341068">
        <w:rPr>
          <w:color w:val="021142"/>
          <w:sz w:val="12"/>
          <w:szCs w:val="12"/>
          <w:lang w:val="en-GB"/>
        </w:rPr>
        <w:t>Sun</w:t>
      </w:r>
      <w:r w:rsidRPr="00341068">
        <w:rPr>
          <w:color w:val="021142"/>
          <w:sz w:val="12"/>
          <w:szCs w:val="12"/>
          <w:lang w:val="el-GR"/>
        </w:rPr>
        <w:t>» (πρώην «Solar»)</w:t>
      </w:r>
      <w:r w:rsidR="00341068" w:rsidRPr="00341068">
        <w:rPr>
          <w:color w:val="021142"/>
          <w:sz w:val="12"/>
          <w:szCs w:val="12"/>
          <w:lang w:val="el-GR"/>
        </w:rPr>
        <w:t xml:space="preserve"> </w:t>
      </w:r>
      <w:r w:rsidR="00341068">
        <w:rPr>
          <w:color w:val="021142"/>
          <w:sz w:val="12"/>
          <w:szCs w:val="12"/>
          <w:lang w:val="el-GR"/>
        </w:rPr>
        <w:t xml:space="preserve">και </w:t>
      </w:r>
      <w:r w:rsidR="00C4270A">
        <w:rPr>
          <w:color w:val="021142"/>
          <w:sz w:val="12"/>
          <w:szCs w:val="12"/>
          <w:lang w:val="el-GR"/>
        </w:rPr>
        <w:t xml:space="preserve">για </w:t>
      </w:r>
      <w:r w:rsidR="00BF4F67">
        <w:rPr>
          <w:color w:val="021142"/>
          <w:sz w:val="12"/>
          <w:szCs w:val="12"/>
          <w:lang w:val="el-GR"/>
        </w:rPr>
        <w:t>συνθετική τιτλοποίηση</w:t>
      </w:r>
      <w:r w:rsidRPr="00341068">
        <w:rPr>
          <w:color w:val="021142"/>
          <w:sz w:val="12"/>
          <w:szCs w:val="12"/>
          <w:lang w:val="el-GR"/>
        </w:rPr>
        <w:t>. Λαμβάνοντας υπόψη την πρόβλεψη διανομής κερδών. Περιλαμβανομένων των κερδών περιόδου που τελούν υπό την έγκριση της Γενικής Συνέλευσης των Μετόχων. Η διανομή κερδών υπόκειται σε έγκριση από τις Εποπτικές Αρχές και τη Γενική Συνέλευση των Μετόχων.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CD58" w14:textId="77777777" w:rsidR="00D576A5" w:rsidRDefault="00735BE7">
    <w:pPr>
      <w:pStyle w:val="BodyText"/>
      <w:spacing w:line="14" w:lineRule="auto"/>
      <w:rPr>
        <w:sz w:val="20"/>
      </w:rPr>
    </w:pPr>
    <w:r>
      <w:rPr>
        <w:rFonts w:ascii="Times New Roman" w:eastAsiaTheme="minorHAnsi" w:hAnsi="Times New Roman" w:cs="Times New Roman"/>
        <w:noProof/>
        <w:sz w:val="24"/>
        <w:szCs w:val="24"/>
        <w:lang w:val="el-GR" w:eastAsia="el-GR"/>
      </w:rPr>
      <w:drawing>
        <wp:anchor distT="0" distB="0" distL="114300" distR="114300" simplePos="0" relativeHeight="487182848" behindDoc="0" locked="0" layoutInCell="1" allowOverlap="1" wp14:anchorId="01746BF3" wp14:editId="1674E6EC">
          <wp:simplePos x="0" y="0"/>
          <wp:positionH relativeFrom="margin">
            <wp:posOffset>4667885</wp:posOffset>
          </wp:positionH>
          <wp:positionV relativeFrom="paragraph">
            <wp:posOffset>635</wp:posOffset>
          </wp:positionV>
          <wp:extent cx="2138680" cy="336550"/>
          <wp:effectExtent l="0" t="0" r="0" b="6350"/>
          <wp:wrapTopAndBottom/>
          <wp:docPr id="1474162438" name="Picture 1474162438" descr="Eurobank-Holdings-Standard-Size-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urobank-Holdings-Standard-Size-RGB"/>
                  <pic:cNvPicPr>
                    <a:picLocks noChangeAspect="1" noChangeArrowheads="1"/>
                  </pic:cNvPicPr>
                </pic:nvPicPr>
                <pic:blipFill rotWithShape="1">
                  <a:blip r:embed="rId1">
                    <a:extLst>
                      <a:ext uri="{28A0092B-C50C-407E-A947-70E740481C1C}">
                        <a14:useLocalDpi xmlns:a14="http://schemas.microsoft.com/office/drawing/2010/main" val="0"/>
                      </a:ext>
                    </a:extLst>
                  </a:blip>
                  <a:srcRect b="38084"/>
                  <a:stretch>
                    <a:fillRect/>
                  </a:stretch>
                </pic:blipFill>
                <pic:spPr bwMode="auto">
                  <a:xfrm>
                    <a:off x="0" y="0"/>
                    <a:ext cx="2138680" cy="336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76A5">
      <w:rPr>
        <w:noProof/>
        <w:lang w:val="el-GR" w:eastAsia="el-GR"/>
      </w:rPr>
      <mc:AlternateContent>
        <mc:Choice Requires="wps">
          <w:drawing>
            <wp:anchor distT="0" distB="0" distL="114300" distR="114300" simplePos="0" relativeHeight="487175168" behindDoc="1" locked="0" layoutInCell="1" allowOverlap="1" wp14:anchorId="328E0B99" wp14:editId="0E5FBE68">
              <wp:simplePos x="0" y="0"/>
              <wp:positionH relativeFrom="page">
                <wp:posOffset>444500</wp:posOffset>
              </wp:positionH>
              <wp:positionV relativeFrom="page">
                <wp:posOffset>548640</wp:posOffset>
              </wp:positionV>
              <wp:extent cx="1774825" cy="212090"/>
              <wp:effectExtent l="0" t="0" r="0" b="0"/>
              <wp:wrapNone/>
              <wp:docPr id="3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7727B" w14:textId="77777777" w:rsidR="00D576A5" w:rsidRDefault="00D576A5">
                          <w:pPr>
                            <w:spacing w:before="20"/>
                            <w:ind w:left="20"/>
                            <w:rPr>
                              <w:b/>
                              <w:sz w:val="24"/>
                            </w:rPr>
                          </w:pPr>
                          <w:r>
                            <w:rPr>
                              <w:b/>
                              <w:color w:val="021142"/>
                              <w:spacing w:val="-2"/>
                              <w:sz w:val="24"/>
                            </w:rPr>
                            <w:t>Οικονομικά</w:t>
                          </w:r>
                          <w:r>
                            <w:rPr>
                              <w:b/>
                              <w:color w:val="021142"/>
                              <w:spacing w:val="-11"/>
                              <w:sz w:val="24"/>
                            </w:rPr>
                            <w:t xml:space="preserve"> </w:t>
                          </w:r>
                          <w:r>
                            <w:rPr>
                              <w:b/>
                              <w:color w:val="021142"/>
                              <w:spacing w:val="-1"/>
                              <w:sz w:val="24"/>
                            </w:rPr>
                            <w:t>Αποτελέσματα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E0B99" id="_x0000_t202" coordsize="21600,21600" o:spt="202" path="m,l,21600r21600,l21600,xe">
              <v:stroke joinstyle="miter"/>
              <v:path gradientshapeok="t" o:connecttype="rect"/>
            </v:shapetype>
            <v:shape id="docshape19" o:spid="_x0000_s1033" type="#_x0000_t202" style="position:absolute;margin-left:35pt;margin-top:43.2pt;width:139.75pt;height:16.7pt;z-index:-1614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" filled="f" stroked="f">
              <v:textbox inset="0,0,0,0">
                <w:txbxContent>
                  <w:p w14:paraId="08C7727B" w14:textId="77777777" w:rsidR="00D576A5" w:rsidRDefault="00D576A5">
                    <w:pPr>
                      <w:spacing w:before="20"/>
                      <w:ind w:left="20"/>
                      <w:rPr>
                        <w:b/>
                        <w:sz w:val="24"/>
                      </w:rPr>
                    </w:pPr>
                    <w:r>
                      <w:rPr>
                        <w:b/>
                        <w:color w:val="021142"/>
                        <w:spacing w:val="-2"/>
                        <w:sz w:val="24"/>
                      </w:rPr>
                      <w:t>Οικονομικά</w:t>
                    </w:r>
                    <w:r>
                      <w:rPr>
                        <w:b/>
                        <w:color w:val="021142"/>
                        <w:spacing w:val="-11"/>
                        <w:sz w:val="24"/>
                      </w:rPr>
                      <w:t xml:space="preserve"> </w:t>
                    </w:r>
                    <w:r>
                      <w:rPr>
                        <w:b/>
                        <w:color w:val="021142"/>
                        <w:spacing w:val="-1"/>
                        <w:sz w:val="24"/>
                      </w:rPr>
                      <w:t>Αποτελέσματα</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705A" w14:textId="77777777" w:rsidR="00D576A5" w:rsidRDefault="00FB4B83">
    <w:pPr>
      <w:pStyle w:val="BodyText"/>
      <w:spacing w:line="14" w:lineRule="auto"/>
      <w:rPr>
        <w:sz w:val="20"/>
      </w:rPr>
    </w:pPr>
    <w:r>
      <w:rPr>
        <w:rFonts w:ascii="Times New Roman" w:eastAsiaTheme="minorHAnsi" w:hAnsi="Times New Roman" w:cs="Times New Roman"/>
        <w:noProof/>
        <w:sz w:val="24"/>
        <w:szCs w:val="24"/>
        <w:lang w:val="el-GR" w:eastAsia="el-GR"/>
      </w:rPr>
      <w:drawing>
        <wp:anchor distT="0" distB="0" distL="114300" distR="114300" simplePos="0" relativeHeight="487184896" behindDoc="0" locked="0" layoutInCell="1" allowOverlap="1" wp14:anchorId="0A185CBF" wp14:editId="77D26DF7">
          <wp:simplePos x="0" y="0"/>
          <wp:positionH relativeFrom="margin">
            <wp:posOffset>4673600</wp:posOffset>
          </wp:positionH>
          <wp:positionV relativeFrom="paragraph">
            <wp:posOffset>-635</wp:posOffset>
          </wp:positionV>
          <wp:extent cx="2138680" cy="317500"/>
          <wp:effectExtent l="0" t="0" r="0" b="6350"/>
          <wp:wrapTopAndBottom/>
          <wp:docPr id="61" name="Picture 61" descr="Eurobank-Holdings-Standard-Size-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urobank-Holdings-Standard-Size-RGB"/>
                  <pic:cNvPicPr>
                    <a:picLocks noChangeAspect="1" noChangeArrowheads="1"/>
                  </pic:cNvPicPr>
                </pic:nvPicPr>
                <pic:blipFill rotWithShape="1">
                  <a:blip r:embed="rId1">
                    <a:extLst>
                      <a:ext uri="{28A0092B-C50C-407E-A947-70E740481C1C}">
                        <a14:useLocalDpi xmlns:a14="http://schemas.microsoft.com/office/drawing/2010/main" val="0"/>
                      </a:ext>
                    </a:extLst>
                  </a:blip>
                  <a:srcRect b="41589"/>
                  <a:stretch>
                    <a:fillRect/>
                  </a:stretch>
                </pic:blipFill>
                <pic:spPr bwMode="auto">
                  <a:xfrm>
                    <a:off x="0" y="0"/>
                    <a:ext cx="2138680" cy="317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76A5">
      <w:rPr>
        <w:noProof/>
        <w:lang w:val="el-GR" w:eastAsia="el-GR"/>
      </w:rPr>
      <mc:AlternateContent>
        <mc:Choice Requires="wps">
          <w:drawing>
            <wp:anchor distT="0" distB="0" distL="114300" distR="114300" simplePos="0" relativeHeight="487180800" behindDoc="1" locked="0" layoutInCell="1" allowOverlap="1" wp14:anchorId="2B2EF604" wp14:editId="43A0BC63">
              <wp:simplePos x="0" y="0"/>
              <wp:positionH relativeFrom="page">
                <wp:posOffset>444500</wp:posOffset>
              </wp:positionH>
              <wp:positionV relativeFrom="page">
                <wp:posOffset>548640</wp:posOffset>
              </wp:positionV>
              <wp:extent cx="1774825" cy="212090"/>
              <wp:effectExtent l="0" t="0" r="0" b="0"/>
              <wp:wrapNone/>
              <wp:docPr id="1"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4246A" w14:textId="77777777" w:rsidR="00D576A5" w:rsidRDefault="00D576A5">
                          <w:pPr>
                            <w:spacing w:before="20"/>
                            <w:ind w:left="20"/>
                            <w:rPr>
                              <w:b/>
                              <w:sz w:val="24"/>
                            </w:rPr>
                          </w:pPr>
                          <w:r>
                            <w:rPr>
                              <w:b/>
                              <w:color w:val="021142"/>
                              <w:spacing w:val="-2"/>
                              <w:sz w:val="24"/>
                            </w:rPr>
                            <w:t>Οικονομικά</w:t>
                          </w:r>
                          <w:r>
                            <w:rPr>
                              <w:b/>
                              <w:color w:val="021142"/>
                              <w:spacing w:val="-11"/>
                              <w:sz w:val="24"/>
                            </w:rPr>
                            <w:t xml:space="preserve"> </w:t>
                          </w:r>
                          <w:r>
                            <w:rPr>
                              <w:b/>
                              <w:color w:val="021142"/>
                              <w:spacing w:val="-1"/>
                              <w:sz w:val="24"/>
                            </w:rPr>
                            <w:t>Αποτελέσματα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EF604" id="_x0000_t202" coordsize="21600,21600" o:spt="202" path="m,l,21600r21600,l21600,xe">
              <v:stroke joinstyle="miter"/>
              <v:path gradientshapeok="t" o:connecttype="rect"/>
            </v:shapetype>
            <v:shape id="docshape63" o:spid="_x0000_s1034" type="#_x0000_t202" style="position:absolute;margin-left:35pt;margin-top:43.2pt;width:139.75pt;height:16.7pt;z-index:-1613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" filled="f" stroked="f">
              <v:textbox inset="0,0,0,0">
                <w:txbxContent>
                  <w:p w14:paraId="44A4246A" w14:textId="77777777" w:rsidR="00D576A5" w:rsidRDefault="00D576A5">
                    <w:pPr>
                      <w:spacing w:before="20"/>
                      <w:ind w:left="20"/>
                      <w:rPr>
                        <w:b/>
                        <w:sz w:val="24"/>
                      </w:rPr>
                    </w:pPr>
                    <w:r>
                      <w:rPr>
                        <w:b/>
                        <w:color w:val="021142"/>
                        <w:spacing w:val="-2"/>
                        <w:sz w:val="24"/>
                      </w:rPr>
                      <w:t>Οικονομικά</w:t>
                    </w:r>
                    <w:r>
                      <w:rPr>
                        <w:b/>
                        <w:color w:val="021142"/>
                        <w:spacing w:val="-11"/>
                        <w:sz w:val="24"/>
                      </w:rPr>
                      <w:t xml:space="preserve"> </w:t>
                    </w:r>
                    <w:r>
                      <w:rPr>
                        <w:b/>
                        <w:color w:val="021142"/>
                        <w:spacing w:val="-1"/>
                        <w:sz w:val="24"/>
                      </w:rPr>
                      <w:t>Αποτελέσματα</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21pt;visibility:visible;mso-wrap-style:square" o:bullet="t">
        <v:imagedata r:id="rId1" o:title=""/>
      </v:shape>
    </w:pict>
  </w:numPicBullet>
  <w:abstractNum w:abstractNumId="0" w15:restartNumberingAfterBreak="0">
    <w:nsid w:val="01F679F6"/>
    <w:multiLevelType w:val="hybridMultilevel"/>
    <w:tmpl w:val="4A1EADE2"/>
    <w:lvl w:ilvl="0" w:tplc="04080001">
      <w:start w:val="1"/>
      <w:numFmt w:val="bullet"/>
      <w:lvlText w:val=""/>
      <w:lvlJc w:val="left"/>
      <w:pPr>
        <w:ind w:left="980" w:hanging="360"/>
      </w:pPr>
      <w:rPr>
        <w:rFonts w:ascii="Symbol" w:hAnsi="Symbol" w:hint="default"/>
      </w:rPr>
    </w:lvl>
    <w:lvl w:ilvl="1" w:tplc="04080003" w:tentative="1">
      <w:start w:val="1"/>
      <w:numFmt w:val="bullet"/>
      <w:lvlText w:val="o"/>
      <w:lvlJc w:val="left"/>
      <w:pPr>
        <w:ind w:left="1700" w:hanging="360"/>
      </w:pPr>
      <w:rPr>
        <w:rFonts w:ascii="Courier New" w:hAnsi="Courier New" w:cs="Courier New" w:hint="default"/>
      </w:rPr>
    </w:lvl>
    <w:lvl w:ilvl="2" w:tplc="04080005" w:tentative="1">
      <w:start w:val="1"/>
      <w:numFmt w:val="bullet"/>
      <w:lvlText w:val=""/>
      <w:lvlJc w:val="left"/>
      <w:pPr>
        <w:ind w:left="2420" w:hanging="360"/>
      </w:pPr>
      <w:rPr>
        <w:rFonts w:ascii="Wingdings" w:hAnsi="Wingdings" w:hint="default"/>
      </w:rPr>
    </w:lvl>
    <w:lvl w:ilvl="3" w:tplc="04080001" w:tentative="1">
      <w:start w:val="1"/>
      <w:numFmt w:val="bullet"/>
      <w:lvlText w:val=""/>
      <w:lvlJc w:val="left"/>
      <w:pPr>
        <w:ind w:left="3140" w:hanging="360"/>
      </w:pPr>
      <w:rPr>
        <w:rFonts w:ascii="Symbol" w:hAnsi="Symbol" w:hint="default"/>
      </w:rPr>
    </w:lvl>
    <w:lvl w:ilvl="4" w:tplc="04080003" w:tentative="1">
      <w:start w:val="1"/>
      <w:numFmt w:val="bullet"/>
      <w:lvlText w:val="o"/>
      <w:lvlJc w:val="left"/>
      <w:pPr>
        <w:ind w:left="3860" w:hanging="360"/>
      </w:pPr>
      <w:rPr>
        <w:rFonts w:ascii="Courier New" w:hAnsi="Courier New" w:cs="Courier New" w:hint="default"/>
      </w:rPr>
    </w:lvl>
    <w:lvl w:ilvl="5" w:tplc="04080005" w:tentative="1">
      <w:start w:val="1"/>
      <w:numFmt w:val="bullet"/>
      <w:lvlText w:val=""/>
      <w:lvlJc w:val="left"/>
      <w:pPr>
        <w:ind w:left="4580" w:hanging="360"/>
      </w:pPr>
      <w:rPr>
        <w:rFonts w:ascii="Wingdings" w:hAnsi="Wingdings" w:hint="default"/>
      </w:rPr>
    </w:lvl>
    <w:lvl w:ilvl="6" w:tplc="04080001" w:tentative="1">
      <w:start w:val="1"/>
      <w:numFmt w:val="bullet"/>
      <w:lvlText w:val=""/>
      <w:lvlJc w:val="left"/>
      <w:pPr>
        <w:ind w:left="5300" w:hanging="360"/>
      </w:pPr>
      <w:rPr>
        <w:rFonts w:ascii="Symbol" w:hAnsi="Symbol" w:hint="default"/>
      </w:rPr>
    </w:lvl>
    <w:lvl w:ilvl="7" w:tplc="04080003" w:tentative="1">
      <w:start w:val="1"/>
      <w:numFmt w:val="bullet"/>
      <w:lvlText w:val="o"/>
      <w:lvlJc w:val="left"/>
      <w:pPr>
        <w:ind w:left="6020" w:hanging="360"/>
      </w:pPr>
      <w:rPr>
        <w:rFonts w:ascii="Courier New" w:hAnsi="Courier New" w:cs="Courier New" w:hint="default"/>
      </w:rPr>
    </w:lvl>
    <w:lvl w:ilvl="8" w:tplc="04080005" w:tentative="1">
      <w:start w:val="1"/>
      <w:numFmt w:val="bullet"/>
      <w:lvlText w:val=""/>
      <w:lvlJc w:val="left"/>
      <w:pPr>
        <w:ind w:left="6740" w:hanging="360"/>
      </w:pPr>
      <w:rPr>
        <w:rFonts w:ascii="Wingdings" w:hAnsi="Wingdings" w:hint="default"/>
      </w:rPr>
    </w:lvl>
  </w:abstractNum>
  <w:abstractNum w:abstractNumId="1" w15:restartNumberingAfterBreak="0">
    <w:nsid w:val="05873C54"/>
    <w:multiLevelType w:val="hybridMultilevel"/>
    <w:tmpl w:val="481236B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7D0EA7"/>
    <w:multiLevelType w:val="hybridMultilevel"/>
    <w:tmpl w:val="947E2C0C"/>
    <w:lvl w:ilvl="0" w:tplc="27C64810">
      <w:numFmt w:val="bullet"/>
      <w:lvlText w:val="•"/>
      <w:lvlJc w:val="left"/>
      <w:pPr>
        <w:ind w:left="260" w:hanging="130"/>
      </w:pPr>
      <w:rPr>
        <w:rFonts w:ascii="Agency FB" w:eastAsia="Agency FB" w:hAnsi="Agency FB" w:cs="Agency FB" w:hint="default"/>
        <w:b w:val="0"/>
        <w:bCs w:val="0"/>
        <w:i w:val="0"/>
        <w:iCs w:val="0"/>
        <w:color w:val="021142"/>
        <w:w w:val="100"/>
        <w:sz w:val="22"/>
        <w:szCs w:val="22"/>
        <w:lang w:val="en-US" w:eastAsia="en-US" w:bidi="ar-SA"/>
      </w:rPr>
    </w:lvl>
    <w:lvl w:ilvl="1" w:tplc="180CC21A">
      <w:numFmt w:val="bullet"/>
      <w:lvlText w:val="•"/>
      <w:lvlJc w:val="left"/>
      <w:pPr>
        <w:ind w:left="1336" w:hanging="130"/>
      </w:pPr>
      <w:rPr>
        <w:rFonts w:hint="default"/>
        <w:lang w:val="en-US" w:eastAsia="en-US" w:bidi="ar-SA"/>
      </w:rPr>
    </w:lvl>
    <w:lvl w:ilvl="2" w:tplc="D4A2C78C">
      <w:numFmt w:val="bullet"/>
      <w:lvlText w:val="•"/>
      <w:lvlJc w:val="left"/>
      <w:pPr>
        <w:ind w:left="2413" w:hanging="130"/>
      </w:pPr>
      <w:rPr>
        <w:rFonts w:hint="default"/>
        <w:lang w:val="en-US" w:eastAsia="en-US" w:bidi="ar-SA"/>
      </w:rPr>
    </w:lvl>
    <w:lvl w:ilvl="3" w:tplc="C7B878D2">
      <w:numFmt w:val="bullet"/>
      <w:lvlText w:val="•"/>
      <w:lvlJc w:val="left"/>
      <w:pPr>
        <w:ind w:left="3489" w:hanging="130"/>
      </w:pPr>
      <w:rPr>
        <w:rFonts w:hint="default"/>
        <w:lang w:val="en-US" w:eastAsia="en-US" w:bidi="ar-SA"/>
      </w:rPr>
    </w:lvl>
    <w:lvl w:ilvl="4" w:tplc="6C22D444">
      <w:numFmt w:val="bullet"/>
      <w:lvlText w:val="•"/>
      <w:lvlJc w:val="left"/>
      <w:pPr>
        <w:ind w:left="4566" w:hanging="130"/>
      </w:pPr>
      <w:rPr>
        <w:rFonts w:hint="default"/>
        <w:lang w:val="en-US" w:eastAsia="en-US" w:bidi="ar-SA"/>
      </w:rPr>
    </w:lvl>
    <w:lvl w:ilvl="5" w:tplc="E13EC378">
      <w:numFmt w:val="bullet"/>
      <w:lvlText w:val="•"/>
      <w:lvlJc w:val="left"/>
      <w:pPr>
        <w:ind w:left="5642" w:hanging="130"/>
      </w:pPr>
      <w:rPr>
        <w:rFonts w:hint="default"/>
        <w:lang w:val="en-US" w:eastAsia="en-US" w:bidi="ar-SA"/>
      </w:rPr>
    </w:lvl>
    <w:lvl w:ilvl="6" w:tplc="5FFEFB0C">
      <w:numFmt w:val="bullet"/>
      <w:lvlText w:val="•"/>
      <w:lvlJc w:val="left"/>
      <w:pPr>
        <w:ind w:left="6719" w:hanging="130"/>
      </w:pPr>
      <w:rPr>
        <w:rFonts w:hint="default"/>
        <w:lang w:val="en-US" w:eastAsia="en-US" w:bidi="ar-SA"/>
      </w:rPr>
    </w:lvl>
    <w:lvl w:ilvl="7" w:tplc="A28429DC">
      <w:numFmt w:val="bullet"/>
      <w:lvlText w:val="•"/>
      <w:lvlJc w:val="left"/>
      <w:pPr>
        <w:ind w:left="7795" w:hanging="130"/>
      </w:pPr>
      <w:rPr>
        <w:rFonts w:hint="default"/>
        <w:lang w:val="en-US" w:eastAsia="en-US" w:bidi="ar-SA"/>
      </w:rPr>
    </w:lvl>
    <w:lvl w:ilvl="8" w:tplc="57A831AE">
      <w:numFmt w:val="bullet"/>
      <w:lvlText w:val="•"/>
      <w:lvlJc w:val="left"/>
      <w:pPr>
        <w:ind w:left="8872" w:hanging="130"/>
      </w:pPr>
      <w:rPr>
        <w:rFonts w:hint="default"/>
        <w:lang w:val="en-US" w:eastAsia="en-US" w:bidi="ar-SA"/>
      </w:rPr>
    </w:lvl>
  </w:abstractNum>
  <w:abstractNum w:abstractNumId="3" w15:restartNumberingAfterBreak="0">
    <w:nsid w:val="1B147CA5"/>
    <w:multiLevelType w:val="hybridMultilevel"/>
    <w:tmpl w:val="4196621E"/>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320557"/>
    <w:multiLevelType w:val="hybridMultilevel"/>
    <w:tmpl w:val="15CC9C2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54E608B"/>
    <w:multiLevelType w:val="hybridMultilevel"/>
    <w:tmpl w:val="0B38AC1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65E1334"/>
    <w:multiLevelType w:val="hybridMultilevel"/>
    <w:tmpl w:val="B13CE1FA"/>
    <w:lvl w:ilvl="0" w:tplc="BAC6D9C4">
      <w:numFmt w:val="bullet"/>
      <w:lvlText w:val="•"/>
      <w:lvlJc w:val="left"/>
      <w:pPr>
        <w:ind w:left="260" w:hanging="180"/>
      </w:pPr>
      <w:rPr>
        <w:rFonts w:ascii="Eurobank Sans" w:eastAsia="Eurobank Sans" w:hAnsi="Eurobank Sans" w:cs="Eurobank Sans" w:hint="default"/>
        <w:b/>
        <w:bCs/>
        <w:i w:val="0"/>
        <w:iCs w:val="0"/>
        <w:color w:val="021142"/>
        <w:w w:val="100"/>
        <w:sz w:val="22"/>
        <w:szCs w:val="22"/>
        <w:lang w:val="en-US" w:eastAsia="en-US" w:bidi="ar-SA"/>
      </w:rPr>
    </w:lvl>
    <w:lvl w:ilvl="1" w:tplc="D3B07CCC">
      <w:numFmt w:val="bullet"/>
      <w:lvlText w:val="•"/>
      <w:lvlJc w:val="left"/>
      <w:pPr>
        <w:ind w:left="1336" w:hanging="180"/>
      </w:pPr>
      <w:rPr>
        <w:rFonts w:hint="default"/>
        <w:lang w:val="en-US" w:eastAsia="en-US" w:bidi="ar-SA"/>
      </w:rPr>
    </w:lvl>
    <w:lvl w:ilvl="2" w:tplc="3C0855F6">
      <w:numFmt w:val="bullet"/>
      <w:lvlText w:val="•"/>
      <w:lvlJc w:val="left"/>
      <w:pPr>
        <w:ind w:left="2413" w:hanging="180"/>
      </w:pPr>
      <w:rPr>
        <w:rFonts w:hint="default"/>
        <w:lang w:val="en-US" w:eastAsia="en-US" w:bidi="ar-SA"/>
      </w:rPr>
    </w:lvl>
    <w:lvl w:ilvl="3" w:tplc="2D9AE2AA">
      <w:numFmt w:val="bullet"/>
      <w:lvlText w:val="•"/>
      <w:lvlJc w:val="left"/>
      <w:pPr>
        <w:ind w:left="3489" w:hanging="180"/>
      </w:pPr>
      <w:rPr>
        <w:rFonts w:hint="default"/>
        <w:lang w:val="en-US" w:eastAsia="en-US" w:bidi="ar-SA"/>
      </w:rPr>
    </w:lvl>
    <w:lvl w:ilvl="4" w:tplc="31A62FFA">
      <w:numFmt w:val="bullet"/>
      <w:lvlText w:val="•"/>
      <w:lvlJc w:val="left"/>
      <w:pPr>
        <w:ind w:left="4566" w:hanging="180"/>
      </w:pPr>
      <w:rPr>
        <w:rFonts w:hint="default"/>
        <w:lang w:val="en-US" w:eastAsia="en-US" w:bidi="ar-SA"/>
      </w:rPr>
    </w:lvl>
    <w:lvl w:ilvl="5" w:tplc="198A0232">
      <w:numFmt w:val="bullet"/>
      <w:lvlText w:val="•"/>
      <w:lvlJc w:val="left"/>
      <w:pPr>
        <w:ind w:left="5642" w:hanging="180"/>
      </w:pPr>
      <w:rPr>
        <w:rFonts w:hint="default"/>
        <w:lang w:val="en-US" w:eastAsia="en-US" w:bidi="ar-SA"/>
      </w:rPr>
    </w:lvl>
    <w:lvl w:ilvl="6" w:tplc="794E46AC">
      <w:numFmt w:val="bullet"/>
      <w:lvlText w:val="•"/>
      <w:lvlJc w:val="left"/>
      <w:pPr>
        <w:ind w:left="6719" w:hanging="180"/>
      </w:pPr>
      <w:rPr>
        <w:rFonts w:hint="default"/>
        <w:lang w:val="en-US" w:eastAsia="en-US" w:bidi="ar-SA"/>
      </w:rPr>
    </w:lvl>
    <w:lvl w:ilvl="7" w:tplc="A3AC75B0">
      <w:numFmt w:val="bullet"/>
      <w:lvlText w:val="•"/>
      <w:lvlJc w:val="left"/>
      <w:pPr>
        <w:ind w:left="7795" w:hanging="180"/>
      </w:pPr>
      <w:rPr>
        <w:rFonts w:hint="default"/>
        <w:lang w:val="en-US" w:eastAsia="en-US" w:bidi="ar-SA"/>
      </w:rPr>
    </w:lvl>
    <w:lvl w:ilvl="8" w:tplc="791494B0">
      <w:numFmt w:val="bullet"/>
      <w:lvlText w:val="•"/>
      <w:lvlJc w:val="left"/>
      <w:pPr>
        <w:ind w:left="8872" w:hanging="180"/>
      </w:pPr>
      <w:rPr>
        <w:rFonts w:hint="default"/>
        <w:lang w:val="en-US" w:eastAsia="en-US" w:bidi="ar-SA"/>
      </w:rPr>
    </w:lvl>
  </w:abstractNum>
  <w:abstractNum w:abstractNumId="7" w15:restartNumberingAfterBreak="0">
    <w:nsid w:val="2FFE5814"/>
    <w:multiLevelType w:val="hybridMultilevel"/>
    <w:tmpl w:val="A09AAA40"/>
    <w:lvl w:ilvl="0" w:tplc="0408000D">
      <w:start w:val="1"/>
      <w:numFmt w:val="bullet"/>
      <w:lvlText w:val=""/>
      <w:lvlJc w:val="left"/>
      <w:pPr>
        <w:ind w:left="1546" w:hanging="360"/>
      </w:pPr>
      <w:rPr>
        <w:rFonts w:ascii="Wingdings" w:hAnsi="Wingdings" w:hint="default"/>
      </w:rPr>
    </w:lvl>
    <w:lvl w:ilvl="1" w:tplc="04080003" w:tentative="1">
      <w:start w:val="1"/>
      <w:numFmt w:val="bullet"/>
      <w:lvlText w:val="o"/>
      <w:lvlJc w:val="left"/>
      <w:pPr>
        <w:ind w:left="2266" w:hanging="360"/>
      </w:pPr>
      <w:rPr>
        <w:rFonts w:ascii="Courier New" w:hAnsi="Courier New" w:cs="Courier New" w:hint="default"/>
      </w:rPr>
    </w:lvl>
    <w:lvl w:ilvl="2" w:tplc="04080005" w:tentative="1">
      <w:start w:val="1"/>
      <w:numFmt w:val="bullet"/>
      <w:lvlText w:val=""/>
      <w:lvlJc w:val="left"/>
      <w:pPr>
        <w:ind w:left="2986" w:hanging="360"/>
      </w:pPr>
      <w:rPr>
        <w:rFonts w:ascii="Wingdings" w:hAnsi="Wingdings" w:hint="default"/>
      </w:rPr>
    </w:lvl>
    <w:lvl w:ilvl="3" w:tplc="04080001" w:tentative="1">
      <w:start w:val="1"/>
      <w:numFmt w:val="bullet"/>
      <w:lvlText w:val=""/>
      <w:lvlJc w:val="left"/>
      <w:pPr>
        <w:ind w:left="3706" w:hanging="360"/>
      </w:pPr>
      <w:rPr>
        <w:rFonts w:ascii="Symbol" w:hAnsi="Symbol" w:hint="default"/>
      </w:rPr>
    </w:lvl>
    <w:lvl w:ilvl="4" w:tplc="04080003" w:tentative="1">
      <w:start w:val="1"/>
      <w:numFmt w:val="bullet"/>
      <w:lvlText w:val="o"/>
      <w:lvlJc w:val="left"/>
      <w:pPr>
        <w:ind w:left="4426" w:hanging="360"/>
      </w:pPr>
      <w:rPr>
        <w:rFonts w:ascii="Courier New" w:hAnsi="Courier New" w:cs="Courier New" w:hint="default"/>
      </w:rPr>
    </w:lvl>
    <w:lvl w:ilvl="5" w:tplc="04080005" w:tentative="1">
      <w:start w:val="1"/>
      <w:numFmt w:val="bullet"/>
      <w:lvlText w:val=""/>
      <w:lvlJc w:val="left"/>
      <w:pPr>
        <w:ind w:left="5146" w:hanging="360"/>
      </w:pPr>
      <w:rPr>
        <w:rFonts w:ascii="Wingdings" w:hAnsi="Wingdings" w:hint="default"/>
      </w:rPr>
    </w:lvl>
    <w:lvl w:ilvl="6" w:tplc="04080001" w:tentative="1">
      <w:start w:val="1"/>
      <w:numFmt w:val="bullet"/>
      <w:lvlText w:val=""/>
      <w:lvlJc w:val="left"/>
      <w:pPr>
        <w:ind w:left="5866" w:hanging="360"/>
      </w:pPr>
      <w:rPr>
        <w:rFonts w:ascii="Symbol" w:hAnsi="Symbol" w:hint="default"/>
      </w:rPr>
    </w:lvl>
    <w:lvl w:ilvl="7" w:tplc="04080003" w:tentative="1">
      <w:start w:val="1"/>
      <w:numFmt w:val="bullet"/>
      <w:lvlText w:val="o"/>
      <w:lvlJc w:val="left"/>
      <w:pPr>
        <w:ind w:left="6586" w:hanging="360"/>
      </w:pPr>
      <w:rPr>
        <w:rFonts w:ascii="Courier New" w:hAnsi="Courier New" w:cs="Courier New" w:hint="default"/>
      </w:rPr>
    </w:lvl>
    <w:lvl w:ilvl="8" w:tplc="04080005" w:tentative="1">
      <w:start w:val="1"/>
      <w:numFmt w:val="bullet"/>
      <w:lvlText w:val=""/>
      <w:lvlJc w:val="left"/>
      <w:pPr>
        <w:ind w:left="7306" w:hanging="360"/>
      </w:pPr>
      <w:rPr>
        <w:rFonts w:ascii="Wingdings" w:hAnsi="Wingdings" w:hint="default"/>
      </w:rPr>
    </w:lvl>
  </w:abstractNum>
  <w:abstractNum w:abstractNumId="8" w15:restartNumberingAfterBreak="0">
    <w:nsid w:val="35C57B46"/>
    <w:multiLevelType w:val="hybridMultilevel"/>
    <w:tmpl w:val="B1D27A94"/>
    <w:lvl w:ilvl="0" w:tplc="04080009">
      <w:start w:val="1"/>
      <w:numFmt w:val="bullet"/>
      <w:lvlText w:val=""/>
      <w:lvlJc w:val="left"/>
      <w:pPr>
        <w:ind w:left="749" w:hanging="360"/>
      </w:pPr>
      <w:rPr>
        <w:rFonts w:ascii="Wingdings" w:hAnsi="Wingdings" w:hint="default"/>
      </w:rPr>
    </w:lvl>
    <w:lvl w:ilvl="1" w:tplc="04080003" w:tentative="1">
      <w:start w:val="1"/>
      <w:numFmt w:val="bullet"/>
      <w:lvlText w:val="o"/>
      <w:lvlJc w:val="left"/>
      <w:pPr>
        <w:ind w:left="1469" w:hanging="360"/>
      </w:pPr>
      <w:rPr>
        <w:rFonts w:ascii="Courier New" w:hAnsi="Courier New" w:cs="Courier New" w:hint="default"/>
      </w:rPr>
    </w:lvl>
    <w:lvl w:ilvl="2" w:tplc="04080005" w:tentative="1">
      <w:start w:val="1"/>
      <w:numFmt w:val="bullet"/>
      <w:lvlText w:val=""/>
      <w:lvlJc w:val="left"/>
      <w:pPr>
        <w:ind w:left="2189" w:hanging="360"/>
      </w:pPr>
      <w:rPr>
        <w:rFonts w:ascii="Wingdings" w:hAnsi="Wingdings" w:hint="default"/>
      </w:rPr>
    </w:lvl>
    <w:lvl w:ilvl="3" w:tplc="04080001" w:tentative="1">
      <w:start w:val="1"/>
      <w:numFmt w:val="bullet"/>
      <w:lvlText w:val=""/>
      <w:lvlJc w:val="left"/>
      <w:pPr>
        <w:ind w:left="2909" w:hanging="360"/>
      </w:pPr>
      <w:rPr>
        <w:rFonts w:ascii="Symbol" w:hAnsi="Symbol" w:hint="default"/>
      </w:rPr>
    </w:lvl>
    <w:lvl w:ilvl="4" w:tplc="04080003" w:tentative="1">
      <w:start w:val="1"/>
      <w:numFmt w:val="bullet"/>
      <w:lvlText w:val="o"/>
      <w:lvlJc w:val="left"/>
      <w:pPr>
        <w:ind w:left="3629" w:hanging="360"/>
      </w:pPr>
      <w:rPr>
        <w:rFonts w:ascii="Courier New" w:hAnsi="Courier New" w:cs="Courier New" w:hint="default"/>
      </w:rPr>
    </w:lvl>
    <w:lvl w:ilvl="5" w:tplc="04080005" w:tentative="1">
      <w:start w:val="1"/>
      <w:numFmt w:val="bullet"/>
      <w:lvlText w:val=""/>
      <w:lvlJc w:val="left"/>
      <w:pPr>
        <w:ind w:left="4349" w:hanging="360"/>
      </w:pPr>
      <w:rPr>
        <w:rFonts w:ascii="Wingdings" w:hAnsi="Wingdings" w:hint="default"/>
      </w:rPr>
    </w:lvl>
    <w:lvl w:ilvl="6" w:tplc="04080001" w:tentative="1">
      <w:start w:val="1"/>
      <w:numFmt w:val="bullet"/>
      <w:lvlText w:val=""/>
      <w:lvlJc w:val="left"/>
      <w:pPr>
        <w:ind w:left="5069" w:hanging="360"/>
      </w:pPr>
      <w:rPr>
        <w:rFonts w:ascii="Symbol" w:hAnsi="Symbol" w:hint="default"/>
      </w:rPr>
    </w:lvl>
    <w:lvl w:ilvl="7" w:tplc="04080003" w:tentative="1">
      <w:start w:val="1"/>
      <w:numFmt w:val="bullet"/>
      <w:lvlText w:val="o"/>
      <w:lvlJc w:val="left"/>
      <w:pPr>
        <w:ind w:left="5789" w:hanging="360"/>
      </w:pPr>
      <w:rPr>
        <w:rFonts w:ascii="Courier New" w:hAnsi="Courier New" w:cs="Courier New" w:hint="default"/>
      </w:rPr>
    </w:lvl>
    <w:lvl w:ilvl="8" w:tplc="04080005" w:tentative="1">
      <w:start w:val="1"/>
      <w:numFmt w:val="bullet"/>
      <w:lvlText w:val=""/>
      <w:lvlJc w:val="left"/>
      <w:pPr>
        <w:ind w:left="6509" w:hanging="360"/>
      </w:pPr>
      <w:rPr>
        <w:rFonts w:ascii="Wingdings" w:hAnsi="Wingdings" w:hint="default"/>
      </w:rPr>
    </w:lvl>
  </w:abstractNum>
  <w:abstractNum w:abstractNumId="9" w15:restartNumberingAfterBreak="0">
    <w:nsid w:val="420201E9"/>
    <w:multiLevelType w:val="hybridMultilevel"/>
    <w:tmpl w:val="FCDAE654"/>
    <w:lvl w:ilvl="0" w:tplc="0408000D">
      <w:start w:val="1"/>
      <w:numFmt w:val="bullet"/>
      <w:lvlText w:val=""/>
      <w:lvlJc w:val="left"/>
      <w:pPr>
        <w:ind w:left="903" w:hanging="360"/>
      </w:pPr>
      <w:rPr>
        <w:rFonts w:ascii="Wingdings" w:hAnsi="Wingdings" w:hint="default"/>
      </w:rPr>
    </w:lvl>
    <w:lvl w:ilvl="1" w:tplc="04080003" w:tentative="1">
      <w:start w:val="1"/>
      <w:numFmt w:val="bullet"/>
      <w:lvlText w:val="o"/>
      <w:lvlJc w:val="left"/>
      <w:pPr>
        <w:ind w:left="1623" w:hanging="360"/>
      </w:pPr>
      <w:rPr>
        <w:rFonts w:ascii="Courier New" w:hAnsi="Courier New" w:cs="Courier New" w:hint="default"/>
      </w:rPr>
    </w:lvl>
    <w:lvl w:ilvl="2" w:tplc="04080005" w:tentative="1">
      <w:start w:val="1"/>
      <w:numFmt w:val="bullet"/>
      <w:lvlText w:val=""/>
      <w:lvlJc w:val="left"/>
      <w:pPr>
        <w:ind w:left="2343" w:hanging="360"/>
      </w:pPr>
      <w:rPr>
        <w:rFonts w:ascii="Wingdings" w:hAnsi="Wingdings" w:hint="default"/>
      </w:rPr>
    </w:lvl>
    <w:lvl w:ilvl="3" w:tplc="04080001" w:tentative="1">
      <w:start w:val="1"/>
      <w:numFmt w:val="bullet"/>
      <w:lvlText w:val=""/>
      <w:lvlJc w:val="left"/>
      <w:pPr>
        <w:ind w:left="3063" w:hanging="360"/>
      </w:pPr>
      <w:rPr>
        <w:rFonts w:ascii="Symbol" w:hAnsi="Symbol" w:hint="default"/>
      </w:rPr>
    </w:lvl>
    <w:lvl w:ilvl="4" w:tplc="04080003" w:tentative="1">
      <w:start w:val="1"/>
      <w:numFmt w:val="bullet"/>
      <w:lvlText w:val="o"/>
      <w:lvlJc w:val="left"/>
      <w:pPr>
        <w:ind w:left="3783" w:hanging="360"/>
      </w:pPr>
      <w:rPr>
        <w:rFonts w:ascii="Courier New" w:hAnsi="Courier New" w:cs="Courier New" w:hint="default"/>
      </w:rPr>
    </w:lvl>
    <w:lvl w:ilvl="5" w:tplc="04080005" w:tentative="1">
      <w:start w:val="1"/>
      <w:numFmt w:val="bullet"/>
      <w:lvlText w:val=""/>
      <w:lvlJc w:val="left"/>
      <w:pPr>
        <w:ind w:left="4503" w:hanging="360"/>
      </w:pPr>
      <w:rPr>
        <w:rFonts w:ascii="Wingdings" w:hAnsi="Wingdings" w:hint="default"/>
      </w:rPr>
    </w:lvl>
    <w:lvl w:ilvl="6" w:tplc="04080001" w:tentative="1">
      <w:start w:val="1"/>
      <w:numFmt w:val="bullet"/>
      <w:lvlText w:val=""/>
      <w:lvlJc w:val="left"/>
      <w:pPr>
        <w:ind w:left="5223" w:hanging="360"/>
      </w:pPr>
      <w:rPr>
        <w:rFonts w:ascii="Symbol" w:hAnsi="Symbol" w:hint="default"/>
      </w:rPr>
    </w:lvl>
    <w:lvl w:ilvl="7" w:tplc="04080003" w:tentative="1">
      <w:start w:val="1"/>
      <w:numFmt w:val="bullet"/>
      <w:lvlText w:val="o"/>
      <w:lvlJc w:val="left"/>
      <w:pPr>
        <w:ind w:left="5943" w:hanging="360"/>
      </w:pPr>
      <w:rPr>
        <w:rFonts w:ascii="Courier New" w:hAnsi="Courier New" w:cs="Courier New" w:hint="default"/>
      </w:rPr>
    </w:lvl>
    <w:lvl w:ilvl="8" w:tplc="04080005" w:tentative="1">
      <w:start w:val="1"/>
      <w:numFmt w:val="bullet"/>
      <w:lvlText w:val=""/>
      <w:lvlJc w:val="left"/>
      <w:pPr>
        <w:ind w:left="6663" w:hanging="360"/>
      </w:pPr>
      <w:rPr>
        <w:rFonts w:ascii="Wingdings" w:hAnsi="Wingdings" w:hint="default"/>
      </w:rPr>
    </w:lvl>
  </w:abstractNum>
  <w:abstractNum w:abstractNumId="10" w15:restartNumberingAfterBreak="0">
    <w:nsid w:val="494F2BA9"/>
    <w:multiLevelType w:val="hybridMultilevel"/>
    <w:tmpl w:val="650E66D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4AF17A9"/>
    <w:multiLevelType w:val="hybridMultilevel"/>
    <w:tmpl w:val="C08EA344"/>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527091A"/>
    <w:multiLevelType w:val="hybridMultilevel"/>
    <w:tmpl w:val="D9D45B56"/>
    <w:lvl w:ilvl="0" w:tplc="55668F2E">
      <w:numFmt w:val="bullet"/>
      <w:lvlText w:val="•"/>
      <w:lvlJc w:val="left"/>
      <w:pPr>
        <w:ind w:left="260" w:hanging="181"/>
      </w:pPr>
      <w:rPr>
        <w:rFonts w:ascii="Eurobank Sans" w:eastAsia="Eurobank Sans" w:hAnsi="Eurobank Sans" w:cs="Eurobank Sans" w:hint="default"/>
        <w:b/>
        <w:bCs/>
        <w:i w:val="0"/>
        <w:iCs w:val="0"/>
        <w:color w:val="021142"/>
        <w:w w:val="100"/>
        <w:sz w:val="22"/>
        <w:szCs w:val="22"/>
        <w:lang w:val="en-US" w:eastAsia="en-US" w:bidi="ar-SA"/>
      </w:rPr>
    </w:lvl>
    <w:lvl w:ilvl="1" w:tplc="801E66EA">
      <w:numFmt w:val="bullet"/>
      <w:lvlText w:val="•"/>
      <w:lvlJc w:val="left"/>
      <w:pPr>
        <w:ind w:left="1336" w:hanging="181"/>
      </w:pPr>
      <w:rPr>
        <w:rFonts w:hint="default"/>
        <w:lang w:val="en-US" w:eastAsia="en-US" w:bidi="ar-SA"/>
      </w:rPr>
    </w:lvl>
    <w:lvl w:ilvl="2" w:tplc="9E2EB746">
      <w:numFmt w:val="bullet"/>
      <w:lvlText w:val="•"/>
      <w:lvlJc w:val="left"/>
      <w:pPr>
        <w:ind w:left="2413" w:hanging="181"/>
      </w:pPr>
      <w:rPr>
        <w:rFonts w:hint="default"/>
        <w:lang w:val="en-US" w:eastAsia="en-US" w:bidi="ar-SA"/>
      </w:rPr>
    </w:lvl>
    <w:lvl w:ilvl="3" w:tplc="9A32FEAC">
      <w:numFmt w:val="bullet"/>
      <w:lvlText w:val="•"/>
      <w:lvlJc w:val="left"/>
      <w:pPr>
        <w:ind w:left="3489" w:hanging="181"/>
      </w:pPr>
      <w:rPr>
        <w:rFonts w:hint="default"/>
        <w:lang w:val="en-US" w:eastAsia="en-US" w:bidi="ar-SA"/>
      </w:rPr>
    </w:lvl>
    <w:lvl w:ilvl="4" w:tplc="C3AAD15A">
      <w:numFmt w:val="bullet"/>
      <w:lvlText w:val="•"/>
      <w:lvlJc w:val="left"/>
      <w:pPr>
        <w:ind w:left="4566" w:hanging="181"/>
      </w:pPr>
      <w:rPr>
        <w:rFonts w:hint="default"/>
        <w:lang w:val="en-US" w:eastAsia="en-US" w:bidi="ar-SA"/>
      </w:rPr>
    </w:lvl>
    <w:lvl w:ilvl="5" w:tplc="2954D094">
      <w:numFmt w:val="bullet"/>
      <w:lvlText w:val="•"/>
      <w:lvlJc w:val="left"/>
      <w:pPr>
        <w:ind w:left="5642" w:hanging="181"/>
      </w:pPr>
      <w:rPr>
        <w:rFonts w:hint="default"/>
        <w:lang w:val="en-US" w:eastAsia="en-US" w:bidi="ar-SA"/>
      </w:rPr>
    </w:lvl>
    <w:lvl w:ilvl="6" w:tplc="5CF23CAC">
      <w:numFmt w:val="bullet"/>
      <w:lvlText w:val="•"/>
      <w:lvlJc w:val="left"/>
      <w:pPr>
        <w:ind w:left="6719" w:hanging="181"/>
      </w:pPr>
      <w:rPr>
        <w:rFonts w:hint="default"/>
        <w:lang w:val="en-US" w:eastAsia="en-US" w:bidi="ar-SA"/>
      </w:rPr>
    </w:lvl>
    <w:lvl w:ilvl="7" w:tplc="FA8EC2A8">
      <w:numFmt w:val="bullet"/>
      <w:lvlText w:val="•"/>
      <w:lvlJc w:val="left"/>
      <w:pPr>
        <w:ind w:left="7795" w:hanging="181"/>
      </w:pPr>
      <w:rPr>
        <w:rFonts w:hint="default"/>
        <w:lang w:val="en-US" w:eastAsia="en-US" w:bidi="ar-SA"/>
      </w:rPr>
    </w:lvl>
    <w:lvl w:ilvl="8" w:tplc="24E6FB50">
      <w:numFmt w:val="bullet"/>
      <w:lvlText w:val="•"/>
      <w:lvlJc w:val="left"/>
      <w:pPr>
        <w:ind w:left="8872" w:hanging="181"/>
      </w:pPr>
      <w:rPr>
        <w:rFonts w:hint="default"/>
        <w:lang w:val="en-US" w:eastAsia="en-US" w:bidi="ar-SA"/>
      </w:rPr>
    </w:lvl>
  </w:abstractNum>
  <w:abstractNum w:abstractNumId="13" w15:restartNumberingAfterBreak="0">
    <w:nsid w:val="589E7892"/>
    <w:multiLevelType w:val="hybridMultilevel"/>
    <w:tmpl w:val="7FB26726"/>
    <w:lvl w:ilvl="0" w:tplc="04080001">
      <w:start w:val="1"/>
      <w:numFmt w:val="bullet"/>
      <w:lvlText w:val=""/>
      <w:lvlJc w:val="left"/>
      <w:pPr>
        <w:ind w:left="980" w:hanging="360"/>
      </w:pPr>
      <w:rPr>
        <w:rFonts w:ascii="Symbol" w:hAnsi="Symbol" w:hint="default"/>
      </w:rPr>
    </w:lvl>
    <w:lvl w:ilvl="1" w:tplc="04080003" w:tentative="1">
      <w:start w:val="1"/>
      <w:numFmt w:val="bullet"/>
      <w:lvlText w:val="o"/>
      <w:lvlJc w:val="left"/>
      <w:pPr>
        <w:ind w:left="1700" w:hanging="360"/>
      </w:pPr>
      <w:rPr>
        <w:rFonts w:ascii="Courier New" w:hAnsi="Courier New" w:cs="Courier New" w:hint="default"/>
      </w:rPr>
    </w:lvl>
    <w:lvl w:ilvl="2" w:tplc="04080005" w:tentative="1">
      <w:start w:val="1"/>
      <w:numFmt w:val="bullet"/>
      <w:lvlText w:val=""/>
      <w:lvlJc w:val="left"/>
      <w:pPr>
        <w:ind w:left="2420" w:hanging="360"/>
      </w:pPr>
      <w:rPr>
        <w:rFonts w:ascii="Wingdings" w:hAnsi="Wingdings" w:hint="default"/>
      </w:rPr>
    </w:lvl>
    <w:lvl w:ilvl="3" w:tplc="04080001" w:tentative="1">
      <w:start w:val="1"/>
      <w:numFmt w:val="bullet"/>
      <w:lvlText w:val=""/>
      <w:lvlJc w:val="left"/>
      <w:pPr>
        <w:ind w:left="3140" w:hanging="360"/>
      </w:pPr>
      <w:rPr>
        <w:rFonts w:ascii="Symbol" w:hAnsi="Symbol" w:hint="default"/>
      </w:rPr>
    </w:lvl>
    <w:lvl w:ilvl="4" w:tplc="04080003" w:tentative="1">
      <w:start w:val="1"/>
      <w:numFmt w:val="bullet"/>
      <w:lvlText w:val="o"/>
      <w:lvlJc w:val="left"/>
      <w:pPr>
        <w:ind w:left="3860" w:hanging="360"/>
      </w:pPr>
      <w:rPr>
        <w:rFonts w:ascii="Courier New" w:hAnsi="Courier New" w:cs="Courier New" w:hint="default"/>
      </w:rPr>
    </w:lvl>
    <w:lvl w:ilvl="5" w:tplc="04080005" w:tentative="1">
      <w:start w:val="1"/>
      <w:numFmt w:val="bullet"/>
      <w:lvlText w:val=""/>
      <w:lvlJc w:val="left"/>
      <w:pPr>
        <w:ind w:left="4580" w:hanging="360"/>
      </w:pPr>
      <w:rPr>
        <w:rFonts w:ascii="Wingdings" w:hAnsi="Wingdings" w:hint="default"/>
      </w:rPr>
    </w:lvl>
    <w:lvl w:ilvl="6" w:tplc="04080001" w:tentative="1">
      <w:start w:val="1"/>
      <w:numFmt w:val="bullet"/>
      <w:lvlText w:val=""/>
      <w:lvlJc w:val="left"/>
      <w:pPr>
        <w:ind w:left="5300" w:hanging="360"/>
      </w:pPr>
      <w:rPr>
        <w:rFonts w:ascii="Symbol" w:hAnsi="Symbol" w:hint="default"/>
      </w:rPr>
    </w:lvl>
    <w:lvl w:ilvl="7" w:tplc="04080003" w:tentative="1">
      <w:start w:val="1"/>
      <w:numFmt w:val="bullet"/>
      <w:lvlText w:val="o"/>
      <w:lvlJc w:val="left"/>
      <w:pPr>
        <w:ind w:left="6020" w:hanging="360"/>
      </w:pPr>
      <w:rPr>
        <w:rFonts w:ascii="Courier New" w:hAnsi="Courier New" w:cs="Courier New" w:hint="default"/>
      </w:rPr>
    </w:lvl>
    <w:lvl w:ilvl="8" w:tplc="04080005" w:tentative="1">
      <w:start w:val="1"/>
      <w:numFmt w:val="bullet"/>
      <w:lvlText w:val=""/>
      <w:lvlJc w:val="left"/>
      <w:pPr>
        <w:ind w:left="6740" w:hanging="360"/>
      </w:pPr>
      <w:rPr>
        <w:rFonts w:ascii="Wingdings" w:hAnsi="Wingdings" w:hint="default"/>
      </w:rPr>
    </w:lvl>
  </w:abstractNum>
  <w:abstractNum w:abstractNumId="14" w15:restartNumberingAfterBreak="0">
    <w:nsid w:val="58BE4938"/>
    <w:multiLevelType w:val="hybridMultilevel"/>
    <w:tmpl w:val="6590B6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C7A7825"/>
    <w:multiLevelType w:val="hybridMultilevel"/>
    <w:tmpl w:val="858EFBC2"/>
    <w:lvl w:ilvl="0" w:tplc="FFFFFFFF">
      <w:numFmt w:val="bullet"/>
      <w:lvlText w:val="•"/>
      <w:lvlJc w:val="left"/>
      <w:pPr>
        <w:ind w:left="423" w:hanging="136"/>
      </w:pPr>
      <w:rPr>
        <w:rFonts w:ascii="Agency FB" w:eastAsia="Agency FB" w:hAnsi="Agency FB" w:cs="Agency FB" w:hint="default"/>
        <w:b w:val="0"/>
        <w:bCs w:val="0"/>
        <w:i w:val="0"/>
        <w:iCs w:val="0"/>
        <w:color w:val="021142"/>
        <w:w w:val="100"/>
        <w:sz w:val="22"/>
        <w:szCs w:val="22"/>
        <w:lang w:val="en-US" w:eastAsia="en-US" w:bidi="ar-SA"/>
      </w:rPr>
    </w:lvl>
    <w:lvl w:ilvl="1" w:tplc="04080005">
      <w:start w:val="1"/>
      <w:numFmt w:val="bullet"/>
      <w:lvlText w:val=""/>
      <w:lvlJc w:val="left"/>
      <w:pPr>
        <w:ind w:left="749" w:hanging="360"/>
      </w:pPr>
      <w:rPr>
        <w:rFonts w:ascii="Wingdings" w:hAnsi="Wingdings" w:hint="default"/>
      </w:rPr>
    </w:lvl>
    <w:lvl w:ilvl="2" w:tplc="FFFFFFFF">
      <w:numFmt w:val="bullet"/>
      <w:lvlText w:val="•"/>
      <w:lvlJc w:val="left"/>
      <w:pPr>
        <w:ind w:left="940" w:hanging="154"/>
      </w:pPr>
      <w:rPr>
        <w:rFonts w:hint="default"/>
        <w:lang w:val="en-US" w:eastAsia="en-US" w:bidi="ar-SA"/>
      </w:rPr>
    </w:lvl>
    <w:lvl w:ilvl="3" w:tplc="FFFFFFFF">
      <w:numFmt w:val="bullet"/>
      <w:lvlText w:val="•"/>
      <w:lvlJc w:val="left"/>
      <w:pPr>
        <w:ind w:left="2200" w:hanging="154"/>
      </w:pPr>
      <w:rPr>
        <w:rFonts w:hint="default"/>
        <w:lang w:val="en-US" w:eastAsia="en-US" w:bidi="ar-SA"/>
      </w:rPr>
    </w:lvl>
    <w:lvl w:ilvl="4" w:tplc="FFFFFFFF">
      <w:numFmt w:val="bullet"/>
      <w:lvlText w:val="•"/>
      <w:lvlJc w:val="left"/>
      <w:pPr>
        <w:ind w:left="3461" w:hanging="154"/>
      </w:pPr>
      <w:rPr>
        <w:rFonts w:hint="default"/>
        <w:lang w:val="en-US" w:eastAsia="en-US" w:bidi="ar-SA"/>
      </w:rPr>
    </w:lvl>
    <w:lvl w:ilvl="5" w:tplc="FFFFFFFF">
      <w:numFmt w:val="bullet"/>
      <w:lvlText w:val="•"/>
      <w:lvlJc w:val="left"/>
      <w:pPr>
        <w:ind w:left="4722" w:hanging="154"/>
      </w:pPr>
      <w:rPr>
        <w:rFonts w:hint="default"/>
        <w:lang w:val="en-US" w:eastAsia="en-US" w:bidi="ar-SA"/>
      </w:rPr>
    </w:lvl>
    <w:lvl w:ilvl="6" w:tplc="FFFFFFFF">
      <w:numFmt w:val="bullet"/>
      <w:lvlText w:val="•"/>
      <w:lvlJc w:val="left"/>
      <w:pPr>
        <w:ind w:left="5982" w:hanging="154"/>
      </w:pPr>
      <w:rPr>
        <w:rFonts w:hint="default"/>
        <w:lang w:val="en-US" w:eastAsia="en-US" w:bidi="ar-SA"/>
      </w:rPr>
    </w:lvl>
    <w:lvl w:ilvl="7" w:tplc="FFFFFFFF">
      <w:numFmt w:val="bullet"/>
      <w:lvlText w:val="•"/>
      <w:lvlJc w:val="left"/>
      <w:pPr>
        <w:ind w:left="7243" w:hanging="154"/>
      </w:pPr>
      <w:rPr>
        <w:rFonts w:hint="default"/>
        <w:lang w:val="en-US" w:eastAsia="en-US" w:bidi="ar-SA"/>
      </w:rPr>
    </w:lvl>
    <w:lvl w:ilvl="8" w:tplc="FFFFFFFF">
      <w:numFmt w:val="bullet"/>
      <w:lvlText w:val="•"/>
      <w:lvlJc w:val="left"/>
      <w:pPr>
        <w:ind w:left="8504" w:hanging="154"/>
      </w:pPr>
      <w:rPr>
        <w:rFonts w:hint="default"/>
        <w:lang w:val="en-US" w:eastAsia="en-US" w:bidi="ar-SA"/>
      </w:rPr>
    </w:lvl>
  </w:abstractNum>
  <w:abstractNum w:abstractNumId="16" w15:restartNumberingAfterBreak="0">
    <w:nsid w:val="5E99691C"/>
    <w:multiLevelType w:val="hybridMultilevel"/>
    <w:tmpl w:val="438837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38F38CE"/>
    <w:multiLevelType w:val="hybridMultilevel"/>
    <w:tmpl w:val="081EBE1C"/>
    <w:lvl w:ilvl="0" w:tplc="0408000D">
      <w:start w:val="1"/>
      <w:numFmt w:val="bullet"/>
      <w:lvlText w:val=""/>
      <w:lvlJc w:val="left"/>
      <w:pPr>
        <w:ind w:left="749" w:hanging="360"/>
      </w:pPr>
      <w:rPr>
        <w:rFonts w:ascii="Wingdings" w:hAnsi="Wingdings" w:hint="default"/>
      </w:rPr>
    </w:lvl>
    <w:lvl w:ilvl="1" w:tplc="04080003" w:tentative="1">
      <w:start w:val="1"/>
      <w:numFmt w:val="bullet"/>
      <w:lvlText w:val="o"/>
      <w:lvlJc w:val="left"/>
      <w:pPr>
        <w:ind w:left="1469" w:hanging="360"/>
      </w:pPr>
      <w:rPr>
        <w:rFonts w:ascii="Courier New" w:hAnsi="Courier New" w:cs="Courier New" w:hint="default"/>
      </w:rPr>
    </w:lvl>
    <w:lvl w:ilvl="2" w:tplc="04080005" w:tentative="1">
      <w:start w:val="1"/>
      <w:numFmt w:val="bullet"/>
      <w:lvlText w:val=""/>
      <w:lvlJc w:val="left"/>
      <w:pPr>
        <w:ind w:left="2189" w:hanging="360"/>
      </w:pPr>
      <w:rPr>
        <w:rFonts w:ascii="Wingdings" w:hAnsi="Wingdings" w:hint="default"/>
      </w:rPr>
    </w:lvl>
    <w:lvl w:ilvl="3" w:tplc="04080001" w:tentative="1">
      <w:start w:val="1"/>
      <w:numFmt w:val="bullet"/>
      <w:lvlText w:val=""/>
      <w:lvlJc w:val="left"/>
      <w:pPr>
        <w:ind w:left="2909" w:hanging="360"/>
      </w:pPr>
      <w:rPr>
        <w:rFonts w:ascii="Symbol" w:hAnsi="Symbol" w:hint="default"/>
      </w:rPr>
    </w:lvl>
    <w:lvl w:ilvl="4" w:tplc="04080003" w:tentative="1">
      <w:start w:val="1"/>
      <w:numFmt w:val="bullet"/>
      <w:lvlText w:val="o"/>
      <w:lvlJc w:val="left"/>
      <w:pPr>
        <w:ind w:left="3629" w:hanging="360"/>
      </w:pPr>
      <w:rPr>
        <w:rFonts w:ascii="Courier New" w:hAnsi="Courier New" w:cs="Courier New" w:hint="default"/>
      </w:rPr>
    </w:lvl>
    <w:lvl w:ilvl="5" w:tplc="04080005" w:tentative="1">
      <w:start w:val="1"/>
      <w:numFmt w:val="bullet"/>
      <w:lvlText w:val=""/>
      <w:lvlJc w:val="left"/>
      <w:pPr>
        <w:ind w:left="4349" w:hanging="360"/>
      </w:pPr>
      <w:rPr>
        <w:rFonts w:ascii="Wingdings" w:hAnsi="Wingdings" w:hint="default"/>
      </w:rPr>
    </w:lvl>
    <w:lvl w:ilvl="6" w:tplc="04080001" w:tentative="1">
      <w:start w:val="1"/>
      <w:numFmt w:val="bullet"/>
      <w:lvlText w:val=""/>
      <w:lvlJc w:val="left"/>
      <w:pPr>
        <w:ind w:left="5069" w:hanging="360"/>
      </w:pPr>
      <w:rPr>
        <w:rFonts w:ascii="Symbol" w:hAnsi="Symbol" w:hint="default"/>
      </w:rPr>
    </w:lvl>
    <w:lvl w:ilvl="7" w:tplc="04080003" w:tentative="1">
      <w:start w:val="1"/>
      <w:numFmt w:val="bullet"/>
      <w:lvlText w:val="o"/>
      <w:lvlJc w:val="left"/>
      <w:pPr>
        <w:ind w:left="5789" w:hanging="360"/>
      </w:pPr>
      <w:rPr>
        <w:rFonts w:ascii="Courier New" w:hAnsi="Courier New" w:cs="Courier New" w:hint="default"/>
      </w:rPr>
    </w:lvl>
    <w:lvl w:ilvl="8" w:tplc="04080005" w:tentative="1">
      <w:start w:val="1"/>
      <w:numFmt w:val="bullet"/>
      <w:lvlText w:val=""/>
      <w:lvlJc w:val="left"/>
      <w:pPr>
        <w:ind w:left="6509" w:hanging="360"/>
      </w:pPr>
      <w:rPr>
        <w:rFonts w:ascii="Wingdings" w:hAnsi="Wingdings" w:hint="default"/>
      </w:rPr>
    </w:lvl>
  </w:abstractNum>
  <w:abstractNum w:abstractNumId="18" w15:restartNumberingAfterBreak="0">
    <w:nsid w:val="63D234E7"/>
    <w:multiLevelType w:val="hybridMultilevel"/>
    <w:tmpl w:val="0E3C8214"/>
    <w:lvl w:ilvl="0" w:tplc="89BECE3E">
      <w:numFmt w:val="bullet"/>
      <w:lvlText w:val="•"/>
      <w:lvlJc w:val="left"/>
      <w:pPr>
        <w:ind w:left="423" w:hanging="136"/>
      </w:pPr>
      <w:rPr>
        <w:rFonts w:ascii="Agency FB" w:eastAsia="Agency FB" w:hAnsi="Agency FB" w:cs="Agency FB" w:hint="default"/>
        <w:b w:val="0"/>
        <w:bCs w:val="0"/>
        <w:i w:val="0"/>
        <w:iCs w:val="0"/>
        <w:color w:val="021142"/>
        <w:w w:val="100"/>
        <w:sz w:val="22"/>
        <w:szCs w:val="22"/>
        <w:lang w:val="en-US" w:eastAsia="en-US" w:bidi="ar-SA"/>
      </w:rPr>
    </w:lvl>
    <w:lvl w:ilvl="1" w:tplc="0408000D">
      <w:start w:val="1"/>
      <w:numFmt w:val="bullet"/>
      <w:lvlText w:val=""/>
      <w:lvlJc w:val="left"/>
      <w:pPr>
        <w:ind w:left="749" w:hanging="360"/>
      </w:pPr>
      <w:rPr>
        <w:rFonts w:ascii="Wingdings" w:hAnsi="Wingdings" w:hint="default"/>
      </w:rPr>
    </w:lvl>
    <w:lvl w:ilvl="2" w:tplc="C7662DDA">
      <w:numFmt w:val="bullet"/>
      <w:lvlText w:val="•"/>
      <w:lvlJc w:val="left"/>
      <w:pPr>
        <w:ind w:left="940" w:hanging="154"/>
      </w:pPr>
      <w:rPr>
        <w:rFonts w:hint="default"/>
        <w:lang w:val="en-US" w:eastAsia="en-US" w:bidi="ar-SA"/>
      </w:rPr>
    </w:lvl>
    <w:lvl w:ilvl="3" w:tplc="6FC6807C">
      <w:numFmt w:val="bullet"/>
      <w:lvlText w:val="•"/>
      <w:lvlJc w:val="left"/>
      <w:pPr>
        <w:ind w:left="2200" w:hanging="154"/>
      </w:pPr>
      <w:rPr>
        <w:rFonts w:hint="default"/>
        <w:lang w:val="en-US" w:eastAsia="en-US" w:bidi="ar-SA"/>
      </w:rPr>
    </w:lvl>
    <w:lvl w:ilvl="4" w:tplc="9FBA15D8">
      <w:numFmt w:val="bullet"/>
      <w:lvlText w:val="•"/>
      <w:lvlJc w:val="left"/>
      <w:pPr>
        <w:ind w:left="3461" w:hanging="154"/>
      </w:pPr>
      <w:rPr>
        <w:rFonts w:hint="default"/>
        <w:lang w:val="en-US" w:eastAsia="en-US" w:bidi="ar-SA"/>
      </w:rPr>
    </w:lvl>
    <w:lvl w:ilvl="5" w:tplc="813EA026">
      <w:numFmt w:val="bullet"/>
      <w:lvlText w:val="•"/>
      <w:lvlJc w:val="left"/>
      <w:pPr>
        <w:ind w:left="4722" w:hanging="154"/>
      </w:pPr>
      <w:rPr>
        <w:rFonts w:hint="default"/>
        <w:lang w:val="en-US" w:eastAsia="en-US" w:bidi="ar-SA"/>
      </w:rPr>
    </w:lvl>
    <w:lvl w:ilvl="6" w:tplc="67DA8DD6">
      <w:numFmt w:val="bullet"/>
      <w:lvlText w:val="•"/>
      <w:lvlJc w:val="left"/>
      <w:pPr>
        <w:ind w:left="5982" w:hanging="154"/>
      </w:pPr>
      <w:rPr>
        <w:rFonts w:hint="default"/>
        <w:lang w:val="en-US" w:eastAsia="en-US" w:bidi="ar-SA"/>
      </w:rPr>
    </w:lvl>
    <w:lvl w:ilvl="7" w:tplc="D28A99A8">
      <w:numFmt w:val="bullet"/>
      <w:lvlText w:val="•"/>
      <w:lvlJc w:val="left"/>
      <w:pPr>
        <w:ind w:left="7243" w:hanging="154"/>
      </w:pPr>
      <w:rPr>
        <w:rFonts w:hint="default"/>
        <w:lang w:val="en-US" w:eastAsia="en-US" w:bidi="ar-SA"/>
      </w:rPr>
    </w:lvl>
    <w:lvl w:ilvl="8" w:tplc="4B9E72FC">
      <w:numFmt w:val="bullet"/>
      <w:lvlText w:val="•"/>
      <w:lvlJc w:val="left"/>
      <w:pPr>
        <w:ind w:left="8504" w:hanging="154"/>
      </w:pPr>
      <w:rPr>
        <w:rFonts w:hint="default"/>
        <w:lang w:val="en-US" w:eastAsia="en-US" w:bidi="ar-SA"/>
      </w:rPr>
    </w:lvl>
  </w:abstractNum>
  <w:abstractNum w:abstractNumId="19" w15:restartNumberingAfterBreak="0">
    <w:nsid w:val="64DC1CE0"/>
    <w:multiLevelType w:val="hybridMultilevel"/>
    <w:tmpl w:val="DDB2AFAE"/>
    <w:lvl w:ilvl="0" w:tplc="5D5C210C">
      <w:numFmt w:val="bullet"/>
      <w:lvlText w:val="•"/>
      <w:lvlJc w:val="left"/>
      <w:pPr>
        <w:ind w:left="260" w:hanging="158"/>
      </w:pPr>
      <w:rPr>
        <w:rFonts w:ascii="Agency FB" w:eastAsia="Agency FB" w:hAnsi="Agency FB" w:cs="Agency FB" w:hint="default"/>
        <w:b w:val="0"/>
        <w:bCs w:val="0"/>
        <w:i w:val="0"/>
        <w:iCs w:val="0"/>
        <w:color w:val="021142"/>
        <w:w w:val="100"/>
        <w:sz w:val="22"/>
        <w:szCs w:val="22"/>
        <w:lang w:val="en-US" w:eastAsia="en-US" w:bidi="ar-SA"/>
      </w:rPr>
    </w:lvl>
    <w:lvl w:ilvl="1" w:tplc="2FDA390E">
      <w:numFmt w:val="bullet"/>
      <w:lvlText w:val="•"/>
      <w:lvlJc w:val="left"/>
      <w:pPr>
        <w:ind w:left="1336" w:hanging="158"/>
      </w:pPr>
      <w:rPr>
        <w:rFonts w:hint="default"/>
        <w:lang w:val="en-US" w:eastAsia="en-US" w:bidi="ar-SA"/>
      </w:rPr>
    </w:lvl>
    <w:lvl w:ilvl="2" w:tplc="50FC4522">
      <w:numFmt w:val="bullet"/>
      <w:lvlText w:val="•"/>
      <w:lvlJc w:val="left"/>
      <w:pPr>
        <w:ind w:left="2413" w:hanging="158"/>
      </w:pPr>
      <w:rPr>
        <w:rFonts w:hint="default"/>
        <w:lang w:val="en-US" w:eastAsia="en-US" w:bidi="ar-SA"/>
      </w:rPr>
    </w:lvl>
    <w:lvl w:ilvl="3" w:tplc="BEA2C590">
      <w:numFmt w:val="bullet"/>
      <w:lvlText w:val="•"/>
      <w:lvlJc w:val="left"/>
      <w:pPr>
        <w:ind w:left="3489" w:hanging="158"/>
      </w:pPr>
      <w:rPr>
        <w:rFonts w:hint="default"/>
        <w:lang w:val="en-US" w:eastAsia="en-US" w:bidi="ar-SA"/>
      </w:rPr>
    </w:lvl>
    <w:lvl w:ilvl="4" w:tplc="D35AA2F4">
      <w:numFmt w:val="bullet"/>
      <w:lvlText w:val="•"/>
      <w:lvlJc w:val="left"/>
      <w:pPr>
        <w:ind w:left="4566" w:hanging="158"/>
      </w:pPr>
      <w:rPr>
        <w:rFonts w:hint="default"/>
        <w:lang w:val="en-US" w:eastAsia="en-US" w:bidi="ar-SA"/>
      </w:rPr>
    </w:lvl>
    <w:lvl w:ilvl="5" w:tplc="12D25B06">
      <w:numFmt w:val="bullet"/>
      <w:lvlText w:val="•"/>
      <w:lvlJc w:val="left"/>
      <w:pPr>
        <w:ind w:left="5642" w:hanging="158"/>
      </w:pPr>
      <w:rPr>
        <w:rFonts w:hint="default"/>
        <w:lang w:val="en-US" w:eastAsia="en-US" w:bidi="ar-SA"/>
      </w:rPr>
    </w:lvl>
    <w:lvl w:ilvl="6" w:tplc="59520410">
      <w:numFmt w:val="bullet"/>
      <w:lvlText w:val="•"/>
      <w:lvlJc w:val="left"/>
      <w:pPr>
        <w:ind w:left="6719" w:hanging="158"/>
      </w:pPr>
      <w:rPr>
        <w:rFonts w:hint="default"/>
        <w:lang w:val="en-US" w:eastAsia="en-US" w:bidi="ar-SA"/>
      </w:rPr>
    </w:lvl>
    <w:lvl w:ilvl="7" w:tplc="4A50577A">
      <w:numFmt w:val="bullet"/>
      <w:lvlText w:val="•"/>
      <w:lvlJc w:val="left"/>
      <w:pPr>
        <w:ind w:left="7795" w:hanging="158"/>
      </w:pPr>
      <w:rPr>
        <w:rFonts w:hint="default"/>
        <w:lang w:val="en-US" w:eastAsia="en-US" w:bidi="ar-SA"/>
      </w:rPr>
    </w:lvl>
    <w:lvl w:ilvl="8" w:tplc="44165274">
      <w:numFmt w:val="bullet"/>
      <w:lvlText w:val="•"/>
      <w:lvlJc w:val="left"/>
      <w:pPr>
        <w:ind w:left="8872" w:hanging="158"/>
      </w:pPr>
      <w:rPr>
        <w:rFonts w:hint="default"/>
        <w:lang w:val="en-US" w:eastAsia="en-US" w:bidi="ar-SA"/>
      </w:rPr>
    </w:lvl>
  </w:abstractNum>
  <w:abstractNum w:abstractNumId="20" w15:restartNumberingAfterBreak="0">
    <w:nsid w:val="67672D8A"/>
    <w:multiLevelType w:val="hybridMultilevel"/>
    <w:tmpl w:val="902EBED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95028029">
    <w:abstractNumId w:val="2"/>
  </w:num>
  <w:num w:numId="2" w16cid:durableId="1971738239">
    <w:abstractNumId w:val="6"/>
  </w:num>
  <w:num w:numId="3" w16cid:durableId="1747410051">
    <w:abstractNumId w:val="19"/>
  </w:num>
  <w:num w:numId="4" w16cid:durableId="1218275415">
    <w:abstractNumId w:val="12"/>
  </w:num>
  <w:num w:numId="5" w16cid:durableId="465247509">
    <w:abstractNumId w:val="18"/>
  </w:num>
  <w:num w:numId="6" w16cid:durableId="1012299667">
    <w:abstractNumId w:val="7"/>
  </w:num>
  <w:num w:numId="7" w16cid:durableId="1871455777">
    <w:abstractNumId w:val="20"/>
  </w:num>
  <w:num w:numId="8" w16cid:durableId="1771971213">
    <w:abstractNumId w:val="0"/>
  </w:num>
  <w:num w:numId="9" w16cid:durableId="383261671">
    <w:abstractNumId w:val="13"/>
  </w:num>
  <w:num w:numId="10" w16cid:durableId="440564306">
    <w:abstractNumId w:val="4"/>
  </w:num>
  <w:num w:numId="11" w16cid:durableId="1843811380">
    <w:abstractNumId w:val="3"/>
  </w:num>
  <w:num w:numId="12" w16cid:durableId="1046639085">
    <w:abstractNumId w:val="10"/>
  </w:num>
  <w:num w:numId="13" w16cid:durableId="625962814">
    <w:abstractNumId w:val="5"/>
  </w:num>
  <w:num w:numId="14" w16cid:durableId="1786071740">
    <w:abstractNumId w:val="16"/>
  </w:num>
  <w:num w:numId="15" w16cid:durableId="2128231749">
    <w:abstractNumId w:val="15"/>
  </w:num>
  <w:num w:numId="16" w16cid:durableId="2031569919">
    <w:abstractNumId w:val="8"/>
  </w:num>
  <w:num w:numId="17" w16cid:durableId="360742602">
    <w:abstractNumId w:val="17"/>
  </w:num>
  <w:num w:numId="18" w16cid:durableId="1572078844">
    <w:abstractNumId w:val="11"/>
  </w:num>
  <w:num w:numId="19" w16cid:durableId="320159073">
    <w:abstractNumId w:val="1"/>
  </w:num>
  <w:num w:numId="20" w16cid:durableId="1066489787">
    <w:abstractNumId w:val="14"/>
  </w:num>
  <w:num w:numId="21" w16cid:durableId="7863939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18"/>
    <w:rsid w:val="00001971"/>
    <w:rsid w:val="000027B6"/>
    <w:rsid w:val="000029A0"/>
    <w:rsid w:val="000037EA"/>
    <w:rsid w:val="000046A0"/>
    <w:rsid w:val="0000497E"/>
    <w:rsid w:val="00004C48"/>
    <w:rsid w:val="00006D06"/>
    <w:rsid w:val="00007D9B"/>
    <w:rsid w:val="00011507"/>
    <w:rsid w:val="00012841"/>
    <w:rsid w:val="00020F0D"/>
    <w:rsid w:val="00021135"/>
    <w:rsid w:val="00021556"/>
    <w:rsid w:val="0002224A"/>
    <w:rsid w:val="00022347"/>
    <w:rsid w:val="000234F5"/>
    <w:rsid w:val="000236DB"/>
    <w:rsid w:val="00025B97"/>
    <w:rsid w:val="00026226"/>
    <w:rsid w:val="00026243"/>
    <w:rsid w:val="00026549"/>
    <w:rsid w:val="00027850"/>
    <w:rsid w:val="00030208"/>
    <w:rsid w:val="000311BD"/>
    <w:rsid w:val="00031669"/>
    <w:rsid w:val="00032731"/>
    <w:rsid w:val="000328E8"/>
    <w:rsid w:val="00033BFB"/>
    <w:rsid w:val="000364C0"/>
    <w:rsid w:val="00042369"/>
    <w:rsid w:val="00042F1B"/>
    <w:rsid w:val="00043CF7"/>
    <w:rsid w:val="000441A2"/>
    <w:rsid w:val="00044CB7"/>
    <w:rsid w:val="000456E9"/>
    <w:rsid w:val="00046E94"/>
    <w:rsid w:val="00047EA2"/>
    <w:rsid w:val="00050896"/>
    <w:rsid w:val="00051251"/>
    <w:rsid w:val="000517C0"/>
    <w:rsid w:val="000520E5"/>
    <w:rsid w:val="000525B2"/>
    <w:rsid w:val="000527B1"/>
    <w:rsid w:val="000547FF"/>
    <w:rsid w:val="00055974"/>
    <w:rsid w:val="0005779D"/>
    <w:rsid w:val="00057E86"/>
    <w:rsid w:val="000600FF"/>
    <w:rsid w:val="0006095F"/>
    <w:rsid w:val="00061434"/>
    <w:rsid w:val="000629C2"/>
    <w:rsid w:val="00064144"/>
    <w:rsid w:val="00064351"/>
    <w:rsid w:val="000654C1"/>
    <w:rsid w:val="000655B9"/>
    <w:rsid w:val="000661D5"/>
    <w:rsid w:val="00066970"/>
    <w:rsid w:val="000718C5"/>
    <w:rsid w:val="00071AA5"/>
    <w:rsid w:val="00072A4B"/>
    <w:rsid w:val="00073BD3"/>
    <w:rsid w:val="000743B6"/>
    <w:rsid w:val="000754EF"/>
    <w:rsid w:val="00076688"/>
    <w:rsid w:val="000773AE"/>
    <w:rsid w:val="0008220A"/>
    <w:rsid w:val="000841E4"/>
    <w:rsid w:val="00084B58"/>
    <w:rsid w:val="00085A51"/>
    <w:rsid w:val="000869FC"/>
    <w:rsid w:val="00086F9C"/>
    <w:rsid w:val="00090C65"/>
    <w:rsid w:val="00091750"/>
    <w:rsid w:val="000925E9"/>
    <w:rsid w:val="00094286"/>
    <w:rsid w:val="000945B9"/>
    <w:rsid w:val="00095714"/>
    <w:rsid w:val="00097B09"/>
    <w:rsid w:val="000A0116"/>
    <w:rsid w:val="000A08F9"/>
    <w:rsid w:val="000A23BA"/>
    <w:rsid w:val="000A2ACD"/>
    <w:rsid w:val="000B1A33"/>
    <w:rsid w:val="000B234F"/>
    <w:rsid w:val="000B2486"/>
    <w:rsid w:val="000B2F3B"/>
    <w:rsid w:val="000B3668"/>
    <w:rsid w:val="000B5C91"/>
    <w:rsid w:val="000B7668"/>
    <w:rsid w:val="000C2953"/>
    <w:rsid w:val="000C56AE"/>
    <w:rsid w:val="000C5FF0"/>
    <w:rsid w:val="000C64EF"/>
    <w:rsid w:val="000C6A96"/>
    <w:rsid w:val="000C71AA"/>
    <w:rsid w:val="000D0CDB"/>
    <w:rsid w:val="000D2983"/>
    <w:rsid w:val="000D2D2C"/>
    <w:rsid w:val="000D388F"/>
    <w:rsid w:val="000D3B78"/>
    <w:rsid w:val="000D439C"/>
    <w:rsid w:val="000D4465"/>
    <w:rsid w:val="000D59C9"/>
    <w:rsid w:val="000D6440"/>
    <w:rsid w:val="000E1422"/>
    <w:rsid w:val="000E2AA1"/>
    <w:rsid w:val="000E3A2C"/>
    <w:rsid w:val="000E4280"/>
    <w:rsid w:val="000E4DF5"/>
    <w:rsid w:val="000E580D"/>
    <w:rsid w:val="000F187C"/>
    <w:rsid w:val="000F216F"/>
    <w:rsid w:val="000F255A"/>
    <w:rsid w:val="000F293E"/>
    <w:rsid w:val="000F30E5"/>
    <w:rsid w:val="000F5589"/>
    <w:rsid w:val="000F7F9B"/>
    <w:rsid w:val="00100F93"/>
    <w:rsid w:val="001015F9"/>
    <w:rsid w:val="0010196E"/>
    <w:rsid w:val="001058C5"/>
    <w:rsid w:val="0010704E"/>
    <w:rsid w:val="001076FD"/>
    <w:rsid w:val="00107E74"/>
    <w:rsid w:val="001103FF"/>
    <w:rsid w:val="001105C8"/>
    <w:rsid w:val="0011093A"/>
    <w:rsid w:val="001118F2"/>
    <w:rsid w:val="00113393"/>
    <w:rsid w:val="0011439A"/>
    <w:rsid w:val="001147D2"/>
    <w:rsid w:val="0011677D"/>
    <w:rsid w:val="0011722E"/>
    <w:rsid w:val="00117598"/>
    <w:rsid w:val="001175E5"/>
    <w:rsid w:val="001203D6"/>
    <w:rsid w:val="00120AD5"/>
    <w:rsid w:val="001222AA"/>
    <w:rsid w:val="00122DA4"/>
    <w:rsid w:val="00122FC0"/>
    <w:rsid w:val="00123DB7"/>
    <w:rsid w:val="0012420A"/>
    <w:rsid w:val="001251B0"/>
    <w:rsid w:val="00125671"/>
    <w:rsid w:val="001301F7"/>
    <w:rsid w:val="00130212"/>
    <w:rsid w:val="00132310"/>
    <w:rsid w:val="00132D7C"/>
    <w:rsid w:val="00133D75"/>
    <w:rsid w:val="00135F1B"/>
    <w:rsid w:val="00136A00"/>
    <w:rsid w:val="00136FE3"/>
    <w:rsid w:val="00137F8E"/>
    <w:rsid w:val="00141E00"/>
    <w:rsid w:val="001420C9"/>
    <w:rsid w:val="001427D3"/>
    <w:rsid w:val="001430F6"/>
    <w:rsid w:val="00143175"/>
    <w:rsid w:val="00147120"/>
    <w:rsid w:val="00152C7B"/>
    <w:rsid w:val="00153A8E"/>
    <w:rsid w:val="001549D5"/>
    <w:rsid w:val="0015564C"/>
    <w:rsid w:val="001557A1"/>
    <w:rsid w:val="001559B1"/>
    <w:rsid w:val="001563E0"/>
    <w:rsid w:val="00156C33"/>
    <w:rsid w:val="00156C86"/>
    <w:rsid w:val="001575D3"/>
    <w:rsid w:val="001579DB"/>
    <w:rsid w:val="00160581"/>
    <w:rsid w:val="00161573"/>
    <w:rsid w:val="001627F2"/>
    <w:rsid w:val="001628D0"/>
    <w:rsid w:val="00162CF7"/>
    <w:rsid w:val="00163C1A"/>
    <w:rsid w:val="00164566"/>
    <w:rsid w:val="00165405"/>
    <w:rsid w:val="00165625"/>
    <w:rsid w:val="00165FAA"/>
    <w:rsid w:val="00170542"/>
    <w:rsid w:val="0017074C"/>
    <w:rsid w:val="00171B44"/>
    <w:rsid w:val="00175163"/>
    <w:rsid w:val="0018110C"/>
    <w:rsid w:val="00181D27"/>
    <w:rsid w:val="001829EE"/>
    <w:rsid w:val="001835A5"/>
    <w:rsid w:val="00184FFF"/>
    <w:rsid w:val="001850FA"/>
    <w:rsid w:val="00187A39"/>
    <w:rsid w:val="00190A52"/>
    <w:rsid w:val="00192E20"/>
    <w:rsid w:val="001931E1"/>
    <w:rsid w:val="00193A34"/>
    <w:rsid w:val="001951BB"/>
    <w:rsid w:val="00195AAC"/>
    <w:rsid w:val="001965CB"/>
    <w:rsid w:val="00197117"/>
    <w:rsid w:val="00197DD9"/>
    <w:rsid w:val="001A001D"/>
    <w:rsid w:val="001A025B"/>
    <w:rsid w:val="001A13D1"/>
    <w:rsid w:val="001A16C6"/>
    <w:rsid w:val="001A1CAC"/>
    <w:rsid w:val="001A2C9B"/>
    <w:rsid w:val="001A4D90"/>
    <w:rsid w:val="001A5261"/>
    <w:rsid w:val="001A5613"/>
    <w:rsid w:val="001A6A8D"/>
    <w:rsid w:val="001B0A99"/>
    <w:rsid w:val="001B17A1"/>
    <w:rsid w:val="001B1835"/>
    <w:rsid w:val="001B2602"/>
    <w:rsid w:val="001B26E3"/>
    <w:rsid w:val="001B2AC2"/>
    <w:rsid w:val="001B3D1C"/>
    <w:rsid w:val="001B57BB"/>
    <w:rsid w:val="001B6E97"/>
    <w:rsid w:val="001B7DEB"/>
    <w:rsid w:val="001C1081"/>
    <w:rsid w:val="001C119A"/>
    <w:rsid w:val="001C1DC0"/>
    <w:rsid w:val="001C23C3"/>
    <w:rsid w:val="001C2B49"/>
    <w:rsid w:val="001C2E83"/>
    <w:rsid w:val="001C2FC4"/>
    <w:rsid w:val="001C4F15"/>
    <w:rsid w:val="001C5310"/>
    <w:rsid w:val="001C5F9D"/>
    <w:rsid w:val="001C6385"/>
    <w:rsid w:val="001C644F"/>
    <w:rsid w:val="001D2528"/>
    <w:rsid w:val="001D2C7D"/>
    <w:rsid w:val="001D3B90"/>
    <w:rsid w:val="001D4C7E"/>
    <w:rsid w:val="001D6764"/>
    <w:rsid w:val="001D7737"/>
    <w:rsid w:val="001D7DC0"/>
    <w:rsid w:val="001E09DA"/>
    <w:rsid w:val="001E165F"/>
    <w:rsid w:val="001E3B5D"/>
    <w:rsid w:val="001E4853"/>
    <w:rsid w:val="001E56F5"/>
    <w:rsid w:val="001E6A59"/>
    <w:rsid w:val="001E705B"/>
    <w:rsid w:val="001E7493"/>
    <w:rsid w:val="001F2EC8"/>
    <w:rsid w:val="001F6436"/>
    <w:rsid w:val="00200380"/>
    <w:rsid w:val="00201178"/>
    <w:rsid w:val="002013DE"/>
    <w:rsid w:val="00201E03"/>
    <w:rsid w:val="002023DB"/>
    <w:rsid w:val="0020712E"/>
    <w:rsid w:val="0020732E"/>
    <w:rsid w:val="0020740E"/>
    <w:rsid w:val="00207FB4"/>
    <w:rsid w:val="002115B8"/>
    <w:rsid w:val="00212AED"/>
    <w:rsid w:val="00215270"/>
    <w:rsid w:val="002206AE"/>
    <w:rsid w:val="00220A88"/>
    <w:rsid w:val="002220C3"/>
    <w:rsid w:val="00222199"/>
    <w:rsid w:val="00224B9E"/>
    <w:rsid w:val="002250E1"/>
    <w:rsid w:val="00225570"/>
    <w:rsid w:val="00225BAB"/>
    <w:rsid w:val="002268C2"/>
    <w:rsid w:val="0022762B"/>
    <w:rsid w:val="0023101D"/>
    <w:rsid w:val="002314DB"/>
    <w:rsid w:val="00234162"/>
    <w:rsid w:val="00235C13"/>
    <w:rsid w:val="002402EA"/>
    <w:rsid w:val="002442DF"/>
    <w:rsid w:val="002454B8"/>
    <w:rsid w:val="002474E0"/>
    <w:rsid w:val="00250507"/>
    <w:rsid w:val="0025128C"/>
    <w:rsid w:val="00251666"/>
    <w:rsid w:val="0025202B"/>
    <w:rsid w:val="0025309D"/>
    <w:rsid w:val="002544BF"/>
    <w:rsid w:val="00254C45"/>
    <w:rsid w:val="00260273"/>
    <w:rsid w:val="0026127E"/>
    <w:rsid w:val="002616EF"/>
    <w:rsid w:val="0026340B"/>
    <w:rsid w:val="0026554C"/>
    <w:rsid w:val="00266818"/>
    <w:rsid w:val="00267889"/>
    <w:rsid w:val="00267C9E"/>
    <w:rsid w:val="0027087B"/>
    <w:rsid w:val="00272EFB"/>
    <w:rsid w:val="00273600"/>
    <w:rsid w:val="002755F8"/>
    <w:rsid w:val="0027625F"/>
    <w:rsid w:val="00277512"/>
    <w:rsid w:val="00280E7B"/>
    <w:rsid w:val="00280F59"/>
    <w:rsid w:val="0028117D"/>
    <w:rsid w:val="00281B7F"/>
    <w:rsid w:val="002822A3"/>
    <w:rsid w:val="0028320D"/>
    <w:rsid w:val="002849A0"/>
    <w:rsid w:val="00284B37"/>
    <w:rsid w:val="00284BA5"/>
    <w:rsid w:val="00285CDF"/>
    <w:rsid w:val="00286A01"/>
    <w:rsid w:val="00286CCF"/>
    <w:rsid w:val="0028700E"/>
    <w:rsid w:val="00287A15"/>
    <w:rsid w:val="00287A49"/>
    <w:rsid w:val="00290105"/>
    <w:rsid w:val="00292633"/>
    <w:rsid w:val="00293057"/>
    <w:rsid w:val="00293432"/>
    <w:rsid w:val="00296A05"/>
    <w:rsid w:val="002A002D"/>
    <w:rsid w:val="002A04DF"/>
    <w:rsid w:val="002A0C11"/>
    <w:rsid w:val="002A0E41"/>
    <w:rsid w:val="002A263D"/>
    <w:rsid w:val="002A2B91"/>
    <w:rsid w:val="002A2E49"/>
    <w:rsid w:val="002A3867"/>
    <w:rsid w:val="002A43D2"/>
    <w:rsid w:val="002A4589"/>
    <w:rsid w:val="002A4BE1"/>
    <w:rsid w:val="002A4E82"/>
    <w:rsid w:val="002A628C"/>
    <w:rsid w:val="002A738F"/>
    <w:rsid w:val="002B193D"/>
    <w:rsid w:val="002B25CA"/>
    <w:rsid w:val="002B4A24"/>
    <w:rsid w:val="002B5341"/>
    <w:rsid w:val="002B55B1"/>
    <w:rsid w:val="002B7205"/>
    <w:rsid w:val="002B7353"/>
    <w:rsid w:val="002C14DC"/>
    <w:rsid w:val="002C1E0E"/>
    <w:rsid w:val="002C1FAE"/>
    <w:rsid w:val="002C2E0C"/>
    <w:rsid w:val="002C5210"/>
    <w:rsid w:val="002C57C7"/>
    <w:rsid w:val="002C6C97"/>
    <w:rsid w:val="002C7663"/>
    <w:rsid w:val="002C76D3"/>
    <w:rsid w:val="002D0C85"/>
    <w:rsid w:val="002D4944"/>
    <w:rsid w:val="002D4E3E"/>
    <w:rsid w:val="002D5275"/>
    <w:rsid w:val="002D55E0"/>
    <w:rsid w:val="002D5F23"/>
    <w:rsid w:val="002D6F1A"/>
    <w:rsid w:val="002E08D3"/>
    <w:rsid w:val="002E09E5"/>
    <w:rsid w:val="002E180C"/>
    <w:rsid w:val="002E5504"/>
    <w:rsid w:val="002E76D0"/>
    <w:rsid w:val="002E76F2"/>
    <w:rsid w:val="002F0189"/>
    <w:rsid w:val="002F194E"/>
    <w:rsid w:val="002F37F1"/>
    <w:rsid w:val="002F3C6F"/>
    <w:rsid w:val="002F403A"/>
    <w:rsid w:val="002F4C98"/>
    <w:rsid w:val="002F4D5B"/>
    <w:rsid w:val="002F6599"/>
    <w:rsid w:val="003004DD"/>
    <w:rsid w:val="00302122"/>
    <w:rsid w:val="0030293F"/>
    <w:rsid w:val="0030399A"/>
    <w:rsid w:val="00304059"/>
    <w:rsid w:val="0030612E"/>
    <w:rsid w:val="00307D31"/>
    <w:rsid w:val="00311927"/>
    <w:rsid w:val="00311CC6"/>
    <w:rsid w:val="00311D72"/>
    <w:rsid w:val="00312279"/>
    <w:rsid w:val="00313DAE"/>
    <w:rsid w:val="00314E0D"/>
    <w:rsid w:val="003150D8"/>
    <w:rsid w:val="00315296"/>
    <w:rsid w:val="00315568"/>
    <w:rsid w:val="00315B39"/>
    <w:rsid w:val="003162C7"/>
    <w:rsid w:val="00316D1B"/>
    <w:rsid w:val="003170CC"/>
    <w:rsid w:val="00320EEF"/>
    <w:rsid w:val="00322CC9"/>
    <w:rsid w:val="00325125"/>
    <w:rsid w:val="00325421"/>
    <w:rsid w:val="00325B71"/>
    <w:rsid w:val="003277BD"/>
    <w:rsid w:val="00330249"/>
    <w:rsid w:val="003303A6"/>
    <w:rsid w:val="0033088B"/>
    <w:rsid w:val="00331832"/>
    <w:rsid w:val="00331CAD"/>
    <w:rsid w:val="00336AF0"/>
    <w:rsid w:val="00336D64"/>
    <w:rsid w:val="00340FBA"/>
    <w:rsid w:val="00340FCC"/>
    <w:rsid w:val="00341068"/>
    <w:rsid w:val="00342D22"/>
    <w:rsid w:val="00342EFB"/>
    <w:rsid w:val="00345C24"/>
    <w:rsid w:val="00346476"/>
    <w:rsid w:val="00347654"/>
    <w:rsid w:val="00351A8D"/>
    <w:rsid w:val="00353704"/>
    <w:rsid w:val="003560F0"/>
    <w:rsid w:val="003561E2"/>
    <w:rsid w:val="003570AB"/>
    <w:rsid w:val="00357B66"/>
    <w:rsid w:val="0036037C"/>
    <w:rsid w:val="00360D3A"/>
    <w:rsid w:val="00361295"/>
    <w:rsid w:val="0036374A"/>
    <w:rsid w:val="00363C0D"/>
    <w:rsid w:val="00363ECF"/>
    <w:rsid w:val="00364250"/>
    <w:rsid w:val="0036461F"/>
    <w:rsid w:val="00364C43"/>
    <w:rsid w:val="00365459"/>
    <w:rsid w:val="00365A96"/>
    <w:rsid w:val="003660A7"/>
    <w:rsid w:val="00367961"/>
    <w:rsid w:val="00370545"/>
    <w:rsid w:val="0037289F"/>
    <w:rsid w:val="00372FE0"/>
    <w:rsid w:val="00373741"/>
    <w:rsid w:val="00373BA8"/>
    <w:rsid w:val="00376337"/>
    <w:rsid w:val="003767C7"/>
    <w:rsid w:val="00376B95"/>
    <w:rsid w:val="00380FCE"/>
    <w:rsid w:val="003840CC"/>
    <w:rsid w:val="0038427A"/>
    <w:rsid w:val="003856C8"/>
    <w:rsid w:val="00385B03"/>
    <w:rsid w:val="00386235"/>
    <w:rsid w:val="0038746B"/>
    <w:rsid w:val="0039063F"/>
    <w:rsid w:val="003906FD"/>
    <w:rsid w:val="00390845"/>
    <w:rsid w:val="003909FC"/>
    <w:rsid w:val="003917C4"/>
    <w:rsid w:val="00391B5C"/>
    <w:rsid w:val="00392B10"/>
    <w:rsid w:val="00392C29"/>
    <w:rsid w:val="00393623"/>
    <w:rsid w:val="00393F78"/>
    <w:rsid w:val="003964D0"/>
    <w:rsid w:val="0039759B"/>
    <w:rsid w:val="003977C9"/>
    <w:rsid w:val="003A0464"/>
    <w:rsid w:val="003A0E8F"/>
    <w:rsid w:val="003A1871"/>
    <w:rsid w:val="003A2E50"/>
    <w:rsid w:val="003A316C"/>
    <w:rsid w:val="003A376A"/>
    <w:rsid w:val="003A4D40"/>
    <w:rsid w:val="003A4EA2"/>
    <w:rsid w:val="003A5421"/>
    <w:rsid w:val="003A6CA1"/>
    <w:rsid w:val="003A741C"/>
    <w:rsid w:val="003A779D"/>
    <w:rsid w:val="003B1672"/>
    <w:rsid w:val="003B7365"/>
    <w:rsid w:val="003C0157"/>
    <w:rsid w:val="003C0413"/>
    <w:rsid w:val="003C1672"/>
    <w:rsid w:val="003C350F"/>
    <w:rsid w:val="003C3FED"/>
    <w:rsid w:val="003C4DCE"/>
    <w:rsid w:val="003C5735"/>
    <w:rsid w:val="003C5F06"/>
    <w:rsid w:val="003C6B94"/>
    <w:rsid w:val="003C7C10"/>
    <w:rsid w:val="003D19B4"/>
    <w:rsid w:val="003D2DCD"/>
    <w:rsid w:val="003D3081"/>
    <w:rsid w:val="003D3D05"/>
    <w:rsid w:val="003D46C2"/>
    <w:rsid w:val="003D5669"/>
    <w:rsid w:val="003D645C"/>
    <w:rsid w:val="003E1054"/>
    <w:rsid w:val="003E1178"/>
    <w:rsid w:val="003E192E"/>
    <w:rsid w:val="003E1E32"/>
    <w:rsid w:val="003E29AE"/>
    <w:rsid w:val="003E2A18"/>
    <w:rsid w:val="003E2E8D"/>
    <w:rsid w:val="003E30C2"/>
    <w:rsid w:val="003E593E"/>
    <w:rsid w:val="003E6338"/>
    <w:rsid w:val="003E6B27"/>
    <w:rsid w:val="003F2E3E"/>
    <w:rsid w:val="003F2E9F"/>
    <w:rsid w:val="003F3E99"/>
    <w:rsid w:val="003F4F61"/>
    <w:rsid w:val="003F522D"/>
    <w:rsid w:val="003F55F4"/>
    <w:rsid w:val="003F6D6B"/>
    <w:rsid w:val="0040283B"/>
    <w:rsid w:val="00403B1C"/>
    <w:rsid w:val="00403DE3"/>
    <w:rsid w:val="00404D6A"/>
    <w:rsid w:val="00405769"/>
    <w:rsid w:val="004072F4"/>
    <w:rsid w:val="0041004E"/>
    <w:rsid w:val="00412CA3"/>
    <w:rsid w:val="00412E78"/>
    <w:rsid w:val="004132CB"/>
    <w:rsid w:val="004140AA"/>
    <w:rsid w:val="00416CC7"/>
    <w:rsid w:val="00417150"/>
    <w:rsid w:val="00417265"/>
    <w:rsid w:val="00417908"/>
    <w:rsid w:val="00421313"/>
    <w:rsid w:val="00423A9E"/>
    <w:rsid w:val="004249AA"/>
    <w:rsid w:val="004260C4"/>
    <w:rsid w:val="00430249"/>
    <w:rsid w:val="004320BE"/>
    <w:rsid w:val="00432117"/>
    <w:rsid w:val="00433F06"/>
    <w:rsid w:val="00435B57"/>
    <w:rsid w:val="00435D86"/>
    <w:rsid w:val="004379E2"/>
    <w:rsid w:val="00442584"/>
    <w:rsid w:val="00445AE7"/>
    <w:rsid w:val="004510AF"/>
    <w:rsid w:val="00451E2C"/>
    <w:rsid w:val="00453883"/>
    <w:rsid w:val="00453B2E"/>
    <w:rsid w:val="004546DF"/>
    <w:rsid w:val="00456037"/>
    <w:rsid w:val="0045632B"/>
    <w:rsid w:val="00456E15"/>
    <w:rsid w:val="00460295"/>
    <w:rsid w:val="00461FEF"/>
    <w:rsid w:val="00465563"/>
    <w:rsid w:val="00465684"/>
    <w:rsid w:val="00465F3D"/>
    <w:rsid w:val="004673FF"/>
    <w:rsid w:val="00471743"/>
    <w:rsid w:val="00471AAF"/>
    <w:rsid w:val="00472F15"/>
    <w:rsid w:val="00473EA4"/>
    <w:rsid w:val="00474C8E"/>
    <w:rsid w:val="00476CA9"/>
    <w:rsid w:val="0047723F"/>
    <w:rsid w:val="004773FD"/>
    <w:rsid w:val="00477CCD"/>
    <w:rsid w:val="00480125"/>
    <w:rsid w:val="004805BF"/>
    <w:rsid w:val="00480768"/>
    <w:rsid w:val="00480AA4"/>
    <w:rsid w:val="00480F71"/>
    <w:rsid w:val="00481724"/>
    <w:rsid w:val="00481733"/>
    <w:rsid w:val="004817C9"/>
    <w:rsid w:val="00481D67"/>
    <w:rsid w:val="004838E4"/>
    <w:rsid w:val="00483C8B"/>
    <w:rsid w:val="004841F3"/>
    <w:rsid w:val="00484F12"/>
    <w:rsid w:val="00485E4C"/>
    <w:rsid w:val="00486328"/>
    <w:rsid w:val="00487334"/>
    <w:rsid w:val="0049268C"/>
    <w:rsid w:val="00494810"/>
    <w:rsid w:val="0049653A"/>
    <w:rsid w:val="00496CD7"/>
    <w:rsid w:val="00497AD5"/>
    <w:rsid w:val="004A1EF9"/>
    <w:rsid w:val="004A403D"/>
    <w:rsid w:val="004A4C4F"/>
    <w:rsid w:val="004A50A0"/>
    <w:rsid w:val="004A69DB"/>
    <w:rsid w:val="004A6EA1"/>
    <w:rsid w:val="004A6EDD"/>
    <w:rsid w:val="004A73D2"/>
    <w:rsid w:val="004B1460"/>
    <w:rsid w:val="004B2884"/>
    <w:rsid w:val="004B2B97"/>
    <w:rsid w:val="004B3A0B"/>
    <w:rsid w:val="004B3A1B"/>
    <w:rsid w:val="004B6374"/>
    <w:rsid w:val="004B77A5"/>
    <w:rsid w:val="004B7D9E"/>
    <w:rsid w:val="004C042E"/>
    <w:rsid w:val="004C0EC2"/>
    <w:rsid w:val="004C2D80"/>
    <w:rsid w:val="004C33CF"/>
    <w:rsid w:val="004C5B79"/>
    <w:rsid w:val="004C6282"/>
    <w:rsid w:val="004C6745"/>
    <w:rsid w:val="004D1E8A"/>
    <w:rsid w:val="004D2A84"/>
    <w:rsid w:val="004D2F90"/>
    <w:rsid w:val="004D3FBC"/>
    <w:rsid w:val="004D3FD6"/>
    <w:rsid w:val="004D5083"/>
    <w:rsid w:val="004D603E"/>
    <w:rsid w:val="004D78CF"/>
    <w:rsid w:val="004E09F4"/>
    <w:rsid w:val="004E205D"/>
    <w:rsid w:val="004E2148"/>
    <w:rsid w:val="004E246F"/>
    <w:rsid w:val="004E3161"/>
    <w:rsid w:val="004E328B"/>
    <w:rsid w:val="004E398A"/>
    <w:rsid w:val="004E470E"/>
    <w:rsid w:val="004E7222"/>
    <w:rsid w:val="004E7D13"/>
    <w:rsid w:val="004F01F1"/>
    <w:rsid w:val="004F193A"/>
    <w:rsid w:val="004F337F"/>
    <w:rsid w:val="004F36AE"/>
    <w:rsid w:val="004F3722"/>
    <w:rsid w:val="004F3CCE"/>
    <w:rsid w:val="004F4E2E"/>
    <w:rsid w:val="004F5DD4"/>
    <w:rsid w:val="004F63FA"/>
    <w:rsid w:val="004F6586"/>
    <w:rsid w:val="004F6E53"/>
    <w:rsid w:val="004F7AA6"/>
    <w:rsid w:val="004F7D1F"/>
    <w:rsid w:val="00502FA9"/>
    <w:rsid w:val="005043B2"/>
    <w:rsid w:val="00504554"/>
    <w:rsid w:val="005061DD"/>
    <w:rsid w:val="00506C33"/>
    <w:rsid w:val="00507CAB"/>
    <w:rsid w:val="00510AF6"/>
    <w:rsid w:val="005142AB"/>
    <w:rsid w:val="005145D3"/>
    <w:rsid w:val="0051508F"/>
    <w:rsid w:val="00515090"/>
    <w:rsid w:val="00521777"/>
    <w:rsid w:val="00523A90"/>
    <w:rsid w:val="00525776"/>
    <w:rsid w:val="00525FD0"/>
    <w:rsid w:val="005264FA"/>
    <w:rsid w:val="00527580"/>
    <w:rsid w:val="00527A0E"/>
    <w:rsid w:val="005312E0"/>
    <w:rsid w:val="005312E9"/>
    <w:rsid w:val="00531887"/>
    <w:rsid w:val="005323AA"/>
    <w:rsid w:val="00532C11"/>
    <w:rsid w:val="00536312"/>
    <w:rsid w:val="00541A0B"/>
    <w:rsid w:val="0054239B"/>
    <w:rsid w:val="005432FC"/>
    <w:rsid w:val="005437AA"/>
    <w:rsid w:val="00543EDB"/>
    <w:rsid w:val="005442A7"/>
    <w:rsid w:val="00545364"/>
    <w:rsid w:val="00545871"/>
    <w:rsid w:val="00545DE3"/>
    <w:rsid w:val="005511E3"/>
    <w:rsid w:val="00551A74"/>
    <w:rsid w:val="0055272F"/>
    <w:rsid w:val="005558BD"/>
    <w:rsid w:val="00560306"/>
    <w:rsid w:val="005605CB"/>
    <w:rsid w:val="00563456"/>
    <w:rsid w:val="0056350A"/>
    <w:rsid w:val="00563E02"/>
    <w:rsid w:val="00564081"/>
    <w:rsid w:val="00565849"/>
    <w:rsid w:val="00566EB1"/>
    <w:rsid w:val="00567FE2"/>
    <w:rsid w:val="00570B8A"/>
    <w:rsid w:val="00570DDC"/>
    <w:rsid w:val="005730C9"/>
    <w:rsid w:val="00573171"/>
    <w:rsid w:val="005744B0"/>
    <w:rsid w:val="00575577"/>
    <w:rsid w:val="00577191"/>
    <w:rsid w:val="00577C90"/>
    <w:rsid w:val="00580B0A"/>
    <w:rsid w:val="00581005"/>
    <w:rsid w:val="00582E94"/>
    <w:rsid w:val="00584A43"/>
    <w:rsid w:val="005868F9"/>
    <w:rsid w:val="00586B48"/>
    <w:rsid w:val="00591EE5"/>
    <w:rsid w:val="005943FE"/>
    <w:rsid w:val="00597DEA"/>
    <w:rsid w:val="005A05D4"/>
    <w:rsid w:val="005A1723"/>
    <w:rsid w:val="005A20A4"/>
    <w:rsid w:val="005A4F5A"/>
    <w:rsid w:val="005A5262"/>
    <w:rsid w:val="005A76BA"/>
    <w:rsid w:val="005A7F2C"/>
    <w:rsid w:val="005B0018"/>
    <w:rsid w:val="005B0F5A"/>
    <w:rsid w:val="005B1CFD"/>
    <w:rsid w:val="005B5733"/>
    <w:rsid w:val="005B7282"/>
    <w:rsid w:val="005B7513"/>
    <w:rsid w:val="005B7DFC"/>
    <w:rsid w:val="005C0C75"/>
    <w:rsid w:val="005C131D"/>
    <w:rsid w:val="005C3EB0"/>
    <w:rsid w:val="005C62A7"/>
    <w:rsid w:val="005C71E8"/>
    <w:rsid w:val="005C7312"/>
    <w:rsid w:val="005C778E"/>
    <w:rsid w:val="005C7A24"/>
    <w:rsid w:val="005D0876"/>
    <w:rsid w:val="005D1C26"/>
    <w:rsid w:val="005D3303"/>
    <w:rsid w:val="005D45D7"/>
    <w:rsid w:val="005D6DDA"/>
    <w:rsid w:val="005D791C"/>
    <w:rsid w:val="005E051C"/>
    <w:rsid w:val="005E0A6E"/>
    <w:rsid w:val="005E227D"/>
    <w:rsid w:val="005E2BE9"/>
    <w:rsid w:val="005E2BEC"/>
    <w:rsid w:val="005E4A8A"/>
    <w:rsid w:val="005E5A01"/>
    <w:rsid w:val="005E70E9"/>
    <w:rsid w:val="005F0DF8"/>
    <w:rsid w:val="005F25B6"/>
    <w:rsid w:val="005F2727"/>
    <w:rsid w:val="005F4463"/>
    <w:rsid w:val="005F5C93"/>
    <w:rsid w:val="005F7949"/>
    <w:rsid w:val="006000D3"/>
    <w:rsid w:val="00600213"/>
    <w:rsid w:val="0060177D"/>
    <w:rsid w:val="006049F3"/>
    <w:rsid w:val="006049F8"/>
    <w:rsid w:val="00605238"/>
    <w:rsid w:val="00605DE7"/>
    <w:rsid w:val="00607E09"/>
    <w:rsid w:val="00611525"/>
    <w:rsid w:val="006167C8"/>
    <w:rsid w:val="0061750D"/>
    <w:rsid w:val="006207DA"/>
    <w:rsid w:val="00621381"/>
    <w:rsid w:val="00621D7E"/>
    <w:rsid w:val="006229F9"/>
    <w:rsid w:val="00622CB5"/>
    <w:rsid w:val="006233A3"/>
    <w:rsid w:val="00623A6B"/>
    <w:rsid w:val="0062419B"/>
    <w:rsid w:val="0062607F"/>
    <w:rsid w:val="006277C6"/>
    <w:rsid w:val="00627F74"/>
    <w:rsid w:val="00630E9E"/>
    <w:rsid w:val="006320D5"/>
    <w:rsid w:val="0063264B"/>
    <w:rsid w:val="00633A91"/>
    <w:rsid w:val="00635604"/>
    <w:rsid w:val="00636281"/>
    <w:rsid w:val="00636695"/>
    <w:rsid w:val="0063742F"/>
    <w:rsid w:val="006400DB"/>
    <w:rsid w:val="00640A4D"/>
    <w:rsid w:val="00640C29"/>
    <w:rsid w:val="006418EB"/>
    <w:rsid w:val="00645C9D"/>
    <w:rsid w:val="00646298"/>
    <w:rsid w:val="00646616"/>
    <w:rsid w:val="00647F03"/>
    <w:rsid w:val="006538A6"/>
    <w:rsid w:val="006542C8"/>
    <w:rsid w:val="006554BF"/>
    <w:rsid w:val="00656917"/>
    <w:rsid w:val="0066026A"/>
    <w:rsid w:val="0066134D"/>
    <w:rsid w:val="00661559"/>
    <w:rsid w:val="00662755"/>
    <w:rsid w:val="00662765"/>
    <w:rsid w:val="006672A7"/>
    <w:rsid w:val="0066772A"/>
    <w:rsid w:val="00667CA8"/>
    <w:rsid w:val="00670C1E"/>
    <w:rsid w:val="00671F45"/>
    <w:rsid w:val="00671F8B"/>
    <w:rsid w:val="0067329C"/>
    <w:rsid w:val="00673494"/>
    <w:rsid w:val="00673B09"/>
    <w:rsid w:val="0067445D"/>
    <w:rsid w:val="0067559C"/>
    <w:rsid w:val="00681CCA"/>
    <w:rsid w:val="00681E7D"/>
    <w:rsid w:val="006831D3"/>
    <w:rsid w:val="0068463E"/>
    <w:rsid w:val="00684AF1"/>
    <w:rsid w:val="00684AF4"/>
    <w:rsid w:val="00686CB9"/>
    <w:rsid w:val="006900D0"/>
    <w:rsid w:val="006907BE"/>
    <w:rsid w:val="00691120"/>
    <w:rsid w:val="00691906"/>
    <w:rsid w:val="00694805"/>
    <w:rsid w:val="00695389"/>
    <w:rsid w:val="00695D1D"/>
    <w:rsid w:val="006A10A2"/>
    <w:rsid w:val="006A1D6B"/>
    <w:rsid w:val="006A3044"/>
    <w:rsid w:val="006A33AE"/>
    <w:rsid w:val="006A5316"/>
    <w:rsid w:val="006A613B"/>
    <w:rsid w:val="006A61D8"/>
    <w:rsid w:val="006A6B58"/>
    <w:rsid w:val="006A70E5"/>
    <w:rsid w:val="006B0329"/>
    <w:rsid w:val="006B0CA6"/>
    <w:rsid w:val="006B44F5"/>
    <w:rsid w:val="006B53AE"/>
    <w:rsid w:val="006B6C59"/>
    <w:rsid w:val="006B6E90"/>
    <w:rsid w:val="006C0062"/>
    <w:rsid w:val="006C0344"/>
    <w:rsid w:val="006C076B"/>
    <w:rsid w:val="006C0810"/>
    <w:rsid w:val="006C0A18"/>
    <w:rsid w:val="006C1F20"/>
    <w:rsid w:val="006C5E75"/>
    <w:rsid w:val="006C646E"/>
    <w:rsid w:val="006C6641"/>
    <w:rsid w:val="006D03A3"/>
    <w:rsid w:val="006D4878"/>
    <w:rsid w:val="006D4D51"/>
    <w:rsid w:val="006D6632"/>
    <w:rsid w:val="006E00C3"/>
    <w:rsid w:val="006E036F"/>
    <w:rsid w:val="006E08D7"/>
    <w:rsid w:val="006E26CE"/>
    <w:rsid w:val="006E2902"/>
    <w:rsid w:val="006E46A9"/>
    <w:rsid w:val="006E796F"/>
    <w:rsid w:val="006F0214"/>
    <w:rsid w:val="006F04C1"/>
    <w:rsid w:val="006F0D63"/>
    <w:rsid w:val="006F114F"/>
    <w:rsid w:val="006F2072"/>
    <w:rsid w:val="006F3CD9"/>
    <w:rsid w:val="006F607C"/>
    <w:rsid w:val="006F661F"/>
    <w:rsid w:val="006F6E67"/>
    <w:rsid w:val="006F7666"/>
    <w:rsid w:val="006F7B76"/>
    <w:rsid w:val="006F7D9F"/>
    <w:rsid w:val="00701134"/>
    <w:rsid w:val="0070174C"/>
    <w:rsid w:val="00701AFE"/>
    <w:rsid w:val="0070324A"/>
    <w:rsid w:val="00703477"/>
    <w:rsid w:val="00703E7C"/>
    <w:rsid w:val="0070400A"/>
    <w:rsid w:val="00704206"/>
    <w:rsid w:val="00705139"/>
    <w:rsid w:val="00707FEB"/>
    <w:rsid w:val="00712F5B"/>
    <w:rsid w:val="00713594"/>
    <w:rsid w:val="007156F0"/>
    <w:rsid w:val="007164F7"/>
    <w:rsid w:val="007203F9"/>
    <w:rsid w:val="0072143B"/>
    <w:rsid w:val="0072168E"/>
    <w:rsid w:val="00722065"/>
    <w:rsid w:val="00730DCB"/>
    <w:rsid w:val="0073318C"/>
    <w:rsid w:val="00734C17"/>
    <w:rsid w:val="00735BE7"/>
    <w:rsid w:val="00736205"/>
    <w:rsid w:val="0073664B"/>
    <w:rsid w:val="00740926"/>
    <w:rsid w:val="00740B68"/>
    <w:rsid w:val="00740DFE"/>
    <w:rsid w:val="007431B1"/>
    <w:rsid w:val="00744572"/>
    <w:rsid w:val="00744B7D"/>
    <w:rsid w:val="007451C0"/>
    <w:rsid w:val="00745574"/>
    <w:rsid w:val="00745FD4"/>
    <w:rsid w:val="00746F76"/>
    <w:rsid w:val="00750EE8"/>
    <w:rsid w:val="00750FEA"/>
    <w:rsid w:val="007515EA"/>
    <w:rsid w:val="007526BA"/>
    <w:rsid w:val="00752763"/>
    <w:rsid w:val="0075321A"/>
    <w:rsid w:val="00754102"/>
    <w:rsid w:val="0075520A"/>
    <w:rsid w:val="00756751"/>
    <w:rsid w:val="00756D69"/>
    <w:rsid w:val="007604E4"/>
    <w:rsid w:val="00762527"/>
    <w:rsid w:val="00762D75"/>
    <w:rsid w:val="00763DB8"/>
    <w:rsid w:val="007641CE"/>
    <w:rsid w:val="0076507D"/>
    <w:rsid w:val="00766044"/>
    <w:rsid w:val="00766D33"/>
    <w:rsid w:val="00766E03"/>
    <w:rsid w:val="00767F1C"/>
    <w:rsid w:val="0077048E"/>
    <w:rsid w:val="007706FB"/>
    <w:rsid w:val="00771107"/>
    <w:rsid w:val="00771602"/>
    <w:rsid w:val="00773B1A"/>
    <w:rsid w:val="00774C2D"/>
    <w:rsid w:val="00774E0F"/>
    <w:rsid w:val="0077756E"/>
    <w:rsid w:val="00777A39"/>
    <w:rsid w:val="007818C5"/>
    <w:rsid w:val="007823CD"/>
    <w:rsid w:val="0078778A"/>
    <w:rsid w:val="00790F0C"/>
    <w:rsid w:val="007925FC"/>
    <w:rsid w:val="00794D07"/>
    <w:rsid w:val="0079607C"/>
    <w:rsid w:val="00796416"/>
    <w:rsid w:val="007A06A7"/>
    <w:rsid w:val="007A0A43"/>
    <w:rsid w:val="007A0DDD"/>
    <w:rsid w:val="007A1AA0"/>
    <w:rsid w:val="007A2C07"/>
    <w:rsid w:val="007A510F"/>
    <w:rsid w:val="007A5746"/>
    <w:rsid w:val="007A5C90"/>
    <w:rsid w:val="007A5D75"/>
    <w:rsid w:val="007A6A6B"/>
    <w:rsid w:val="007B2315"/>
    <w:rsid w:val="007B46E2"/>
    <w:rsid w:val="007B4E14"/>
    <w:rsid w:val="007B60E9"/>
    <w:rsid w:val="007B74FE"/>
    <w:rsid w:val="007C0ABD"/>
    <w:rsid w:val="007C2111"/>
    <w:rsid w:val="007C2E19"/>
    <w:rsid w:val="007C3A32"/>
    <w:rsid w:val="007C3CC6"/>
    <w:rsid w:val="007C41E4"/>
    <w:rsid w:val="007C5275"/>
    <w:rsid w:val="007C5F26"/>
    <w:rsid w:val="007D0E04"/>
    <w:rsid w:val="007D19C5"/>
    <w:rsid w:val="007D2B96"/>
    <w:rsid w:val="007D2FE1"/>
    <w:rsid w:val="007D4708"/>
    <w:rsid w:val="007D4B8B"/>
    <w:rsid w:val="007D5D8D"/>
    <w:rsid w:val="007D5F35"/>
    <w:rsid w:val="007D67E5"/>
    <w:rsid w:val="007D7FA0"/>
    <w:rsid w:val="007E045C"/>
    <w:rsid w:val="007E06E8"/>
    <w:rsid w:val="007E0A4B"/>
    <w:rsid w:val="007E16AF"/>
    <w:rsid w:val="007E1C93"/>
    <w:rsid w:val="007E2A31"/>
    <w:rsid w:val="007E39EC"/>
    <w:rsid w:val="007E3F9F"/>
    <w:rsid w:val="007E4716"/>
    <w:rsid w:val="007E4EC6"/>
    <w:rsid w:val="007E54FF"/>
    <w:rsid w:val="007E6657"/>
    <w:rsid w:val="007E72C1"/>
    <w:rsid w:val="007E77D5"/>
    <w:rsid w:val="007F4862"/>
    <w:rsid w:val="007F4CA4"/>
    <w:rsid w:val="007F7856"/>
    <w:rsid w:val="00800F0D"/>
    <w:rsid w:val="008019A8"/>
    <w:rsid w:val="00801FB5"/>
    <w:rsid w:val="008024DC"/>
    <w:rsid w:val="008026E7"/>
    <w:rsid w:val="008028B2"/>
    <w:rsid w:val="00803022"/>
    <w:rsid w:val="00806CFB"/>
    <w:rsid w:val="00806F13"/>
    <w:rsid w:val="00807308"/>
    <w:rsid w:val="00807D01"/>
    <w:rsid w:val="00810008"/>
    <w:rsid w:val="00810BF1"/>
    <w:rsid w:val="00811BA6"/>
    <w:rsid w:val="00811F15"/>
    <w:rsid w:val="00812A58"/>
    <w:rsid w:val="008140D2"/>
    <w:rsid w:val="00814997"/>
    <w:rsid w:val="00814E0B"/>
    <w:rsid w:val="008161FE"/>
    <w:rsid w:val="00816937"/>
    <w:rsid w:val="00817B6A"/>
    <w:rsid w:val="0082040B"/>
    <w:rsid w:val="00820991"/>
    <w:rsid w:val="00820B10"/>
    <w:rsid w:val="00825449"/>
    <w:rsid w:val="00825986"/>
    <w:rsid w:val="00825B01"/>
    <w:rsid w:val="00827464"/>
    <w:rsid w:val="00831482"/>
    <w:rsid w:val="008318C3"/>
    <w:rsid w:val="008326CE"/>
    <w:rsid w:val="008357AD"/>
    <w:rsid w:val="00837536"/>
    <w:rsid w:val="0084182E"/>
    <w:rsid w:val="00842B6B"/>
    <w:rsid w:val="00843DEF"/>
    <w:rsid w:val="00845A60"/>
    <w:rsid w:val="008511B9"/>
    <w:rsid w:val="00851301"/>
    <w:rsid w:val="0085160A"/>
    <w:rsid w:val="00852D18"/>
    <w:rsid w:val="0085447B"/>
    <w:rsid w:val="00854D24"/>
    <w:rsid w:val="008552A5"/>
    <w:rsid w:val="00855691"/>
    <w:rsid w:val="008565CB"/>
    <w:rsid w:val="00856D20"/>
    <w:rsid w:val="00862931"/>
    <w:rsid w:val="00864421"/>
    <w:rsid w:val="00864FBF"/>
    <w:rsid w:val="00867498"/>
    <w:rsid w:val="00867C3D"/>
    <w:rsid w:val="00867CCF"/>
    <w:rsid w:val="008719CA"/>
    <w:rsid w:val="00872B77"/>
    <w:rsid w:val="0087421E"/>
    <w:rsid w:val="00874A3E"/>
    <w:rsid w:val="008752DE"/>
    <w:rsid w:val="00876F8A"/>
    <w:rsid w:val="00877630"/>
    <w:rsid w:val="00877CEB"/>
    <w:rsid w:val="00880A10"/>
    <w:rsid w:val="00880FEF"/>
    <w:rsid w:val="00881476"/>
    <w:rsid w:val="008818F0"/>
    <w:rsid w:val="008831AF"/>
    <w:rsid w:val="00883C85"/>
    <w:rsid w:val="00884257"/>
    <w:rsid w:val="008849DB"/>
    <w:rsid w:val="008856ED"/>
    <w:rsid w:val="00886CF6"/>
    <w:rsid w:val="00887C2C"/>
    <w:rsid w:val="008907A6"/>
    <w:rsid w:val="0089305F"/>
    <w:rsid w:val="00893773"/>
    <w:rsid w:val="00893E3B"/>
    <w:rsid w:val="00895109"/>
    <w:rsid w:val="00895C40"/>
    <w:rsid w:val="00896E98"/>
    <w:rsid w:val="00897D0C"/>
    <w:rsid w:val="008A06DC"/>
    <w:rsid w:val="008A071D"/>
    <w:rsid w:val="008A0BD8"/>
    <w:rsid w:val="008A321D"/>
    <w:rsid w:val="008A34E7"/>
    <w:rsid w:val="008A4A67"/>
    <w:rsid w:val="008A5818"/>
    <w:rsid w:val="008A5AC5"/>
    <w:rsid w:val="008A62A8"/>
    <w:rsid w:val="008A7CB8"/>
    <w:rsid w:val="008B202D"/>
    <w:rsid w:val="008B3ADD"/>
    <w:rsid w:val="008B3F2D"/>
    <w:rsid w:val="008B46E3"/>
    <w:rsid w:val="008B5576"/>
    <w:rsid w:val="008B64AC"/>
    <w:rsid w:val="008C0A13"/>
    <w:rsid w:val="008C1418"/>
    <w:rsid w:val="008C1D91"/>
    <w:rsid w:val="008C2691"/>
    <w:rsid w:val="008C2D3D"/>
    <w:rsid w:val="008C36B0"/>
    <w:rsid w:val="008C4976"/>
    <w:rsid w:val="008C4A31"/>
    <w:rsid w:val="008C5F2E"/>
    <w:rsid w:val="008C7FCD"/>
    <w:rsid w:val="008D0192"/>
    <w:rsid w:val="008D052F"/>
    <w:rsid w:val="008D3A9E"/>
    <w:rsid w:val="008D429B"/>
    <w:rsid w:val="008D6E25"/>
    <w:rsid w:val="008E0428"/>
    <w:rsid w:val="008E1122"/>
    <w:rsid w:val="008E1532"/>
    <w:rsid w:val="008E182F"/>
    <w:rsid w:val="008E1EEC"/>
    <w:rsid w:val="008F0B38"/>
    <w:rsid w:val="008F3B3E"/>
    <w:rsid w:val="008F41D8"/>
    <w:rsid w:val="008F4352"/>
    <w:rsid w:val="008F5061"/>
    <w:rsid w:val="008F5963"/>
    <w:rsid w:val="008F667F"/>
    <w:rsid w:val="0090024D"/>
    <w:rsid w:val="0090119D"/>
    <w:rsid w:val="00903727"/>
    <w:rsid w:val="009056AB"/>
    <w:rsid w:val="00905D26"/>
    <w:rsid w:val="009076BC"/>
    <w:rsid w:val="009115CE"/>
    <w:rsid w:val="00911B75"/>
    <w:rsid w:val="0091379E"/>
    <w:rsid w:val="009137B9"/>
    <w:rsid w:val="00913AC0"/>
    <w:rsid w:val="00913FF3"/>
    <w:rsid w:val="00916677"/>
    <w:rsid w:val="00917221"/>
    <w:rsid w:val="009226BA"/>
    <w:rsid w:val="00922C81"/>
    <w:rsid w:val="009237DC"/>
    <w:rsid w:val="009254E4"/>
    <w:rsid w:val="00926B50"/>
    <w:rsid w:val="00926C11"/>
    <w:rsid w:val="009279EB"/>
    <w:rsid w:val="00927AEA"/>
    <w:rsid w:val="0093144D"/>
    <w:rsid w:val="0093167C"/>
    <w:rsid w:val="00931AB7"/>
    <w:rsid w:val="00932786"/>
    <w:rsid w:val="009331EA"/>
    <w:rsid w:val="00935D43"/>
    <w:rsid w:val="00935DDF"/>
    <w:rsid w:val="00936F69"/>
    <w:rsid w:val="00937849"/>
    <w:rsid w:val="009431EA"/>
    <w:rsid w:val="00943E5E"/>
    <w:rsid w:val="00944A0E"/>
    <w:rsid w:val="009455B0"/>
    <w:rsid w:val="00950CB3"/>
    <w:rsid w:val="00950E8F"/>
    <w:rsid w:val="00951045"/>
    <w:rsid w:val="00951206"/>
    <w:rsid w:val="00953E80"/>
    <w:rsid w:val="00954C30"/>
    <w:rsid w:val="0095503D"/>
    <w:rsid w:val="00955501"/>
    <w:rsid w:val="00955774"/>
    <w:rsid w:val="00957867"/>
    <w:rsid w:val="00960508"/>
    <w:rsid w:val="00960CE3"/>
    <w:rsid w:val="009610D3"/>
    <w:rsid w:val="009668F2"/>
    <w:rsid w:val="009676CB"/>
    <w:rsid w:val="00971962"/>
    <w:rsid w:val="00971A4C"/>
    <w:rsid w:val="00974C0B"/>
    <w:rsid w:val="00975000"/>
    <w:rsid w:val="00975C3F"/>
    <w:rsid w:val="00975DF9"/>
    <w:rsid w:val="00981468"/>
    <w:rsid w:val="00981625"/>
    <w:rsid w:val="00981D8D"/>
    <w:rsid w:val="0098341C"/>
    <w:rsid w:val="0098430E"/>
    <w:rsid w:val="00984E70"/>
    <w:rsid w:val="00984F89"/>
    <w:rsid w:val="0098526B"/>
    <w:rsid w:val="00985B04"/>
    <w:rsid w:val="00986AC0"/>
    <w:rsid w:val="00987C39"/>
    <w:rsid w:val="009918F4"/>
    <w:rsid w:val="00991ECF"/>
    <w:rsid w:val="00991F73"/>
    <w:rsid w:val="0099219D"/>
    <w:rsid w:val="009945B5"/>
    <w:rsid w:val="00994911"/>
    <w:rsid w:val="0099520E"/>
    <w:rsid w:val="00997745"/>
    <w:rsid w:val="009A0A93"/>
    <w:rsid w:val="009A3E2B"/>
    <w:rsid w:val="009A4720"/>
    <w:rsid w:val="009A4C89"/>
    <w:rsid w:val="009A5351"/>
    <w:rsid w:val="009A54F2"/>
    <w:rsid w:val="009A5CA9"/>
    <w:rsid w:val="009A5D5F"/>
    <w:rsid w:val="009A6109"/>
    <w:rsid w:val="009A663F"/>
    <w:rsid w:val="009A7D95"/>
    <w:rsid w:val="009B08BE"/>
    <w:rsid w:val="009B0C74"/>
    <w:rsid w:val="009B3829"/>
    <w:rsid w:val="009B3899"/>
    <w:rsid w:val="009B481E"/>
    <w:rsid w:val="009B5E63"/>
    <w:rsid w:val="009B5FBC"/>
    <w:rsid w:val="009B64DE"/>
    <w:rsid w:val="009C06F8"/>
    <w:rsid w:val="009C0E78"/>
    <w:rsid w:val="009C2AA4"/>
    <w:rsid w:val="009C32A9"/>
    <w:rsid w:val="009C4DE6"/>
    <w:rsid w:val="009C56E3"/>
    <w:rsid w:val="009C5EF9"/>
    <w:rsid w:val="009C7F26"/>
    <w:rsid w:val="009D181A"/>
    <w:rsid w:val="009D265D"/>
    <w:rsid w:val="009D278F"/>
    <w:rsid w:val="009D63EE"/>
    <w:rsid w:val="009E1448"/>
    <w:rsid w:val="009E14DA"/>
    <w:rsid w:val="009E327E"/>
    <w:rsid w:val="009E4AE8"/>
    <w:rsid w:val="009E78F4"/>
    <w:rsid w:val="009F006B"/>
    <w:rsid w:val="009F0092"/>
    <w:rsid w:val="009F0C11"/>
    <w:rsid w:val="009F1D63"/>
    <w:rsid w:val="009F2462"/>
    <w:rsid w:val="009F283F"/>
    <w:rsid w:val="009F3CC4"/>
    <w:rsid w:val="009F4AB7"/>
    <w:rsid w:val="009F4E2E"/>
    <w:rsid w:val="009F62F6"/>
    <w:rsid w:val="009F6DF9"/>
    <w:rsid w:val="00A002AE"/>
    <w:rsid w:val="00A0075B"/>
    <w:rsid w:val="00A00A6B"/>
    <w:rsid w:val="00A0126C"/>
    <w:rsid w:val="00A0164F"/>
    <w:rsid w:val="00A01894"/>
    <w:rsid w:val="00A0303D"/>
    <w:rsid w:val="00A03C14"/>
    <w:rsid w:val="00A04D95"/>
    <w:rsid w:val="00A06D6C"/>
    <w:rsid w:val="00A077FD"/>
    <w:rsid w:val="00A10E9B"/>
    <w:rsid w:val="00A11878"/>
    <w:rsid w:val="00A11A9B"/>
    <w:rsid w:val="00A148E8"/>
    <w:rsid w:val="00A1563B"/>
    <w:rsid w:val="00A16724"/>
    <w:rsid w:val="00A21999"/>
    <w:rsid w:val="00A23346"/>
    <w:rsid w:val="00A23627"/>
    <w:rsid w:val="00A23D10"/>
    <w:rsid w:val="00A24339"/>
    <w:rsid w:val="00A249EB"/>
    <w:rsid w:val="00A277B9"/>
    <w:rsid w:val="00A279BF"/>
    <w:rsid w:val="00A30892"/>
    <w:rsid w:val="00A31D61"/>
    <w:rsid w:val="00A32364"/>
    <w:rsid w:val="00A3331E"/>
    <w:rsid w:val="00A3397C"/>
    <w:rsid w:val="00A3454E"/>
    <w:rsid w:val="00A3526E"/>
    <w:rsid w:val="00A35BB3"/>
    <w:rsid w:val="00A35F73"/>
    <w:rsid w:val="00A37331"/>
    <w:rsid w:val="00A3738B"/>
    <w:rsid w:val="00A37D90"/>
    <w:rsid w:val="00A404AB"/>
    <w:rsid w:val="00A4142F"/>
    <w:rsid w:val="00A43999"/>
    <w:rsid w:val="00A43EEE"/>
    <w:rsid w:val="00A43FC4"/>
    <w:rsid w:val="00A458B1"/>
    <w:rsid w:val="00A45C07"/>
    <w:rsid w:val="00A4656F"/>
    <w:rsid w:val="00A468D4"/>
    <w:rsid w:val="00A47634"/>
    <w:rsid w:val="00A479CF"/>
    <w:rsid w:val="00A47E7E"/>
    <w:rsid w:val="00A50A18"/>
    <w:rsid w:val="00A528D6"/>
    <w:rsid w:val="00A533C9"/>
    <w:rsid w:val="00A53710"/>
    <w:rsid w:val="00A5477A"/>
    <w:rsid w:val="00A54D40"/>
    <w:rsid w:val="00A55376"/>
    <w:rsid w:val="00A554DF"/>
    <w:rsid w:val="00A557A2"/>
    <w:rsid w:val="00A57312"/>
    <w:rsid w:val="00A57D11"/>
    <w:rsid w:val="00A60157"/>
    <w:rsid w:val="00A6309E"/>
    <w:rsid w:val="00A63226"/>
    <w:rsid w:val="00A64584"/>
    <w:rsid w:val="00A64C75"/>
    <w:rsid w:val="00A65539"/>
    <w:rsid w:val="00A65707"/>
    <w:rsid w:val="00A66F9F"/>
    <w:rsid w:val="00A67A1F"/>
    <w:rsid w:val="00A67D06"/>
    <w:rsid w:val="00A71C1B"/>
    <w:rsid w:val="00A7372C"/>
    <w:rsid w:val="00A73A65"/>
    <w:rsid w:val="00A753B2"/>
    <w:rsid w:val="00A77E14"/>
    <w:rsid w:val="00A77F69"/>
    <w:rsid w:val="00A8399E"/>
    <w:rsid w:val="00A85F6A"/>
    <w:rsid w:val="00A8657A"/>
    <w:rsid w:val="00A868CE"/>
    <w:rsid w:val="00A86FA3"/>
    <w:rsid w:val="00A87688"/>
    <w:rsid w:val="00A8778E"/>
    <w:rsid w:val="00A87B01"/>
    <w:rsid w:val="00A9018E"/>
    <w:rsid w:val="00A916C3"/>
    <w:rsid w:val="00A91F6F"/>
    <w:rsid w:val="00A9301F"/>
    <w:rsid w:val="00A93AEB"/>
    <w:rsid w:val="00A94E62"/>
    <w:rsid w:val="00A96CC2"/>
    <w:rsid w:val="00AA2BC5"/>
    <w:rsid w:val="00AA2D86"/>
    <w:rsid w:val="00AA3460"/>
    <w:rsid w:val="00AA4A3D"/>
    <w:rsid w:val="00AA75B2"/>
    <w:rsid w:val="00AA7FFA"/>
    <w:rsid w:val="00AB21D3"/>
    <w:rsid w:val="00AB309D"/>
    <w:rsid w:val="00AB630E"/>
    <w:rsid w:val="00AB6709"/>
    <w:rsid w:val="00AC18B1"/>
    <w:rsid w:val="00AC1BFA"/>
    <w:rsid w:val="00AC2395"/>
    <w:rsid w:val="00AC25D0"/>
    <w:rsid w:val="00AC3157"/>
    <w:rsid w:val="00AC5495"/>
    <w:rsid w:val="00AC5E82"/>
    <w:rsid w:val="00AC5F8D"/>
    <w:rsid w:val="00AC730C"/>
    <w:rsid w:val="00AD03CE"/>
    <w:rsid w:val="00AD09BB"/>
    <w:rsid w:val="00AD0ED4"/>
    <w:rsid w:val="00AD1C48"/>
    <w:rsid w:val="00AD3974"/>
    <w:rsid w:val="00AD439D"/>
    <w:rsid w:val="00AD6178"/>
    <w:rsid w:val="00AD6FE7"/>
    <w:rsid w:val="00AE387A"/>
    <w:rsid w:val="00AE4BFB"/>
    <w:rsid w:val="00AE5116"/>
    <w:rsid w:val="00AE5FEF"/>
    <w:rsid w:val="00AE6331"/>
    <w:rsid w:val="00AF18BB"/>
    <w:rsid w:val="00AF2577"/>
    <w:rsid w:val="00AF3606"/>
    <w:rsid w:val="00AF3914"/>
    <w:rsid w:val="00AF3EFB"/>
    <w:rsid w:val="00AF4327"/>
    <w:rsid w:val="00B00E1A"/>
    <w:rsid w:val="00B01A2E"/>
    <w:rsid w:val="00B01DD1"/>
    <w:rsid w:val="00B02503"/>
    <w:rsid w:val="00B028FC"/>
    <w:rsid w:val="00B02B82"/>
    <w:rsid w:val="00B02DF3"/>
    <w:rsid w:val="00B044EE"/>
    <w:rsid w:val="00B05E3C"/>
    <w:rsid w:val="00B060F7"/>
    <w:rsid w:val="00B06F25"/>
    <w:rsid w:val="00B0723A"/>
    <w:rsid w:val="00B07835"/>
    <w:rsid w:val="00B07CD2"/>
    <w:rsid w:val="00B1097C"/>
    <w:rsid w:val="00B10FDE"/>
    <w:rsid w:val="00B11489"/>
    <w:rsid w:val="00B14335"/>
    <w:rsid w:val="00B2019C"/>
    <w:rsid w:val="00B2084A"/>
    <w:rsid w:val="00B21457"/>
    <w:rsid w:val="00B25259"/>
    <w:rsid w:val="00B2696D"/>
    <w:rsid w:val="00B30247"/>
    <w:rsid w:val="00B315B9"/>
    <w:rsid w:val="00B31809"/>
    <w:rsid w:val="00B36593"/>
    <w:rsid w:val="00B365B2"/>
    <w:rsid w:val="00B36E14"/>
    <w:rsid w:val="00B40B0D"/>
    <w:rsid w:val="00B40E25"/>
    <w:rsid w:val="00B41348"/>
    <w:rsid w:val="00B417F5"/>
    <w:rsid w:val="00B41B95"/>
    <w:rsid w:val="00B42C73"/>
    <w:rsid w:val="00B45170"/>
    <w:rsid w:val="00B455F0"/>
    <w:rsid w:val="00B45F20"/>
    <w:rsid w:val="00B463E2"/>
    <w:rsid w:val="00B473F4"/>
    <w:rsid w:val="00B53097"/>
    <w:rsid w:val="00B54FBE"/>
    <w:rsid w:val="00B5669A"/>
    <w:rsid w:val="00B606C1"/>
    <w:rsid w:val="00B60FB2"/>
    <w:rsid w:val="00B61363"/>
    <w:rsid w:val="00B61FCA"/>
    <w:rsid w:val="00B648D6"/>
    <w:rsid w:val="00B65D66"/>
    <w:rsid w:val="00B662B6"/>
    <w:rsid w:val="00B66B55"/>
    <w:rsid w:val="00B67E8A"/>
    <w:rsid w:val="00B7129B"/>
    <w:rsid w:val="00B71BF0"/>
    <w:rsid w:val="00B71E8B"/>
    <w:rsid w:val="00B71FCC"/>
    <w:rsid w:val="00B74152"/>
    <w:rsid w:val="00B76784"/>
    <w:rsid w:val="00B7702F"/>
    <w:rsid w:val="00B77BB0"/>
    <w:rsid w:val="00B80C1C"/>
    <w:rsid w:val="00B8121B"/>
    <w:rsid w:val="00B81B61"/>
    <w:rsid w:val="00B82A88"/>
    <w:rsid w:val="00B82FA0"/>
    <w:rsid w:val="00B83F2A"/>
    <w:rsid w:val="00B84981"/>
    <w:rsid w:val="00B84D17"/>
    <w:rsid w:val="00B85452"/>
    <w:rsid w:val="00B86271"/>
    <w:rsid w:val="00B864E3"/>
    <w:rsid w:val="00B86682"/>
    <w:rsid w:val="00B86D6D"/>
    <w:rsid w:val="00B870B7"/>
    <w:rsid w:val="00B879ED"/>
    <w:rsid w:val="00B917F1"/>
    <w:rsid w:val="00B93AD7"/>
    <w:rsid w:val="00B96089"/>
    <w:rsid w:val="00B965F6"/>
    <w:rsid w:val="00B96B16"/>
    <w:rsid w:val="00B96B78"/>
    <w:rsid w:val="00B96B8D"/>
    <w:rsid w:val="00BA30E7"/>
    <w:rsid w:val="00BA4773"/>
    <w:rsid w:val="00BA4EBC"/>
    <w:rsid w:val="00BA56AD"/>
    <w:rsid w:val="00BA6702"/>
    <w:rsid w:val="00BA676F"/>
    <w:rsid w:val="00BA67BA"/>
    <w:rsid w:val="00BA7D0D"/>
    <w:rsid w:val="00BB0E7C"/>
    <w:rsid w:val="00BB1050"/>
    <w:rsid w:val="00BB193A"/>
    <w:rsid w:val="00BB1E51"/>
    <w:rsid w:val="00BB2CE1"/>
    <w:rsid w:val="00BB3299"/>
    <w:rsid w:val="00BB376B"/>
    <w:rsid w:val="00BB4AE6"/>
    <w:rsid w:val="00BB5690"/>
    <w:rsid w:val="00BB6750"/>
    <w:rsid w:val="00BB6F95"/>
    <w:rsid w:val="00BB7E1D"/>
    <w:rsid w:val="00BC0DEC"/>
    <w:rsid w:val="00BC19DD"/>
    <w:rsid w:val="00BC26B9"/>
    <w:rsid w:val="00BC28E5"/>
    <w:rsid w:val="00BC3A6A"/>
    <w:rsid w:val="00BC4DF1"/>
    <w:rsid w:val="00BC63A3"/>
    <w:rsid w:val="00BC6734"/>
    <w:rsid w:val="00BD1852"/>
    <w:rsid w:val="00BD2A57"/>
    <w:rsid w:val="00BD2B1A"/>
    <w:rsid w:val="00BD352E"/>
    <w:rsid w:val="00BD373F"/>
    <w:rsid w:val="00BD3C97"/>
    <w:rsid w:val="00BD625D"/>
    <w:rsid w:val="00BE046F"/>
    <w:rsid w:val="00BE1009"/>
    <w:rsid w:val="00BE1C2F"/>
    <w:rsid w:val="00BE23EE"/>
    <w:rsid w:val="00BE2F99"/>
    <w:rsid w:val="00BE3D58"/>
    <w:rsid w:val="00BE3FF2"/>
    <w:rsid w:val="00BE4729"/>
    <w:rsid w:val="00BE579A"/>
    <w:rsid w:val="00BE5A9F"/>
    <w:rsid w:val="00BE7C6D"/>
    <w:rsid w:val="00BE7F2A"/>
    <w:rsid w:val="00BF2825"/>
    <w:rsid w:val="00BF3989"/>
    <w:rsid w:val="00BF3AE2"/>
    <w:rsid w:val="00BF49A0"/>
    <w:rsid w:val="00BF4F67"/>
    <w:rsid w:val="00BF51D5"/>
    <w:rsid w:val="00BF628B"/>
    <w:rsid w:val="00BF6698"/>
    <w:rsid w:val="00BF6702"/>
    <w:rsid w:val="00BF762F"/>
    <w:rsid w:val="00BF7F29"/>
    <w:rsid w:val="00C012CC"/>
    <w:rsid w:val="00C016AE"/>
    <w:rsid w:val="00C017B1"/>
    <w:rsid w:val="00C02814"/>
    <w:rsid w:val="00C03EEA"/>
    <w:rsid w:val="00C06F31"/>
    <w:rsid w:val="00C11BB6"/>
    <w:rsid w:val="00C13BD4"/>
    <w:rsid w:val="00C16609"/>
    <w:rsid w:val="00C174C0"/>
    <w:rsid w:val="00C17925"/>
    <w:rsid w:val="00C2040A"/>
    <w:rsid w:val="00C20A06"/>
    <w:rsid w:val="00C214B9"/>
    <w:rsid w:val="00C21584"/>
    <w:rsid w:val="00C23BF0"/>
    <w:rsid w:val="00C26E83"/>
    <w:rsid w:val="00C27290"/>
    <w:rsid w:val="00C32A02"/>
    <w:rsid w:val="00C334F3"/>
    <w:rsid w:val="00C35E2C"/>
    <w:rsid w:val="00C368D3"/>
    <w:rsid w:val="00C4270A"/>
    <w:rsid w:val="00C4445D"/>
    <w:rsid w:val="00C44E57"/>
    <w:rsid w:val="00C45F33"/>
    <w:rsid w:val="00C47DA5"/>
    <w:rsid w:val="00C5081B"/>
    <w:rsid w:val="00C51610"/>
    <w:rsid w:val="00C557AE"/>
    <w:rsid w:val="00C56198"/>
    <w:rsid w:val="00C56265"/>
    <w:rsid w:val="00C56279"/>
    <w:rsid w:val="00C56999"/>
    <w:rsid w:val="00C57155"/>
    <w:rsid w:val="00C57932"/>
    <w:rsid w:val="00C57DEA"/>
    <w:rsid w:val="00C6217B"/>
    <w:rsid w:val="00C6384E"/>
    <w:rsid w:val="00C6386F"/>
    <w:rsid w:val="00C665DE"/>
    <w:rsid w:val="00C6706F"/>
    <w:rsid w:val="00C6711A"/>
    <w:rsid w:val="00C67507"/>
    <w:rsid w:val="00C67652"/>
    <w:rsid w:val="00C67965"/>
    <w:rsid w:val="00C70DBF"/>
    <w:rsid w:val="00C71906"/>
    <w:rsid w:val="00C743B7"/>
    <w:rsid w:val="00C74784"/>
    <w:rsid w:val="00C7527B"/>
    <w:rsid w:val="00C803E0"/>
    <w:rsid w:val="00C81813"/>
    <w:rsid w:val="00C82635"/>
    <w:rsid w:val="00C8375E"/>
    <w:rsid w:val="00C840AA"/>
    <w:rsid w:val="00C84F15"/>
    <w:rsid w:val="00C87647"/>
    <w:rsid w:val="00C8779A"/>
    <w:rsid w:val="00C87897"/>
    <w:rsid w:val="00C87F4A"/>
    <w:rsid w:val="00C91D9C"/>
    <w:rsid w:val="00C92018"/>
    <w:rsid w:val="00C9301B"/>
    <w:rsid w:val="00C938C4"/>
    <w:rsid w:val="00C93A6C"/>
    <w:rsid w:val="00C93ECF"/>
    <w:rsid w:val="00C94EC6"/>
    <w:rsid w:val="00C95B6D"/>
    <w:rsid w:val="00C95CDC"/>
    <w:rsid w:val="00C962E0"/>
    <w:rsid w:val="00C96B79"/>
    <w:rsid w:val="00C97C21"/>
    <w:rsid w:val="00C97E20"/>
    <w:rsid w:val="00CA1CA8"/>
    <w:rsid w:val="00CA41CB"/>
    <w:rsid w:val="00CA4CC4"/>
    <w:rsid w:val="00CA715C"/>
    <w:rsid w:val="00CA7E52"/>
    <w:rsid w:val="00CB0152"/>
    <w:rsid w:val="00CB2724"/>
    <w:rsid w:val="00CB6011"/>
    <w:rsid w:val="00CB601C"/>
    <w:rsid w:val="00CB7D3A"/>
    <w:rsid w:val="00CB7EB7"/>
    <w:rsid w:val="00CC38B8"/>
    <w:rsid w:val="00CC3D8A"/>
    <w:rsid w:val="00CC3F05"/>
    <w:rsid w:val="00CC46F4"/>
    <w:rsid w:val="00CC59C5"/>
    <w:rsid w:val="00CC6AEF"/>
    <w:rsid w:val="00CC6FE2"/>
    <w:rsid w:val="00CD0CB8"/>
    <w:rsid w:val="00CD13BC"/>
    <w:rsid w:val="00CD32E1"/>
    <w:rsid w:val="00CD45AD"/>
    <w:rsid w:val="00CD53D6"/>
    <w:rsid w:val="00CD6290"/>
    <w:rsid w:val="00CE16CF"/>
    <w:rsid w:val="00CE3189"/>
    <w:rsid w:val="00CE46A7"/>
    <w:rsid w:val="00CE5386"/>
    <w:rsid w:val="00CE5C45"/>
    <w:rsid w:val="00CE5DE1"/>
    <w:rsid w:val="00CE7310"/>
    <w:rsid w:val="00CF0EE6"/>
    <w:rsid w:val="00CF28A3"/>
    <w:rsid w:val="00CF4012"/>
    <w:rsid w:val="00CF47FF"/>
    <w:rsid w:val="00CF57B8"/>
    <w:rsid w:val="00CF5FAF"/>
    <w:rsid w:val="00CF76D1"/>
    <w:rsid w:val="00CF7844"/>
    <w:rsid w:val="00CF78FA"/>
    <w:rsid w:val="00D0213E"/>
    <w:rsid w:val="00D03B7C"/>
    <w:rsid w:val="00D0529E"/>
    <w:rsid w:val="00D05491"/>
    <w:rsid w:val="00D062D6"/>
    <w:rsid w:val="00D11EE9"/>
    <w:rsid w:val="00D131FC"/>
    <w:rsid w:val="00D13DA2"/>
    <w:rsid w:val="00D144EB"/>
    <w:rsid w:val="00D1540B"/>
    <w:rsid w:val="00D16014"/>
    <w:rsid w:val="00D169B1"/>
    <w:rsid w:val="00D20653"/>
    <w:rsid w:val="00D2317A"/>
    <w:rsid w:val="00D24A90"/>
    <w:rsid w:val="00D24B08"/>
    <w:rsid w:val="00D251FB"/>
    <w:rsid w:val="00D26ED8"/>
    <w:rsid w:val="00D318CC"/>
    <w:rsid w:val="00D33982"/>
    <w:rsid w:val="00D343C7"/>
    <w:rsid w:val="00D3577C"/>
    <w:rsid w:val="00D358BE"/>
    <w:rsid w:val="00D358F5"/>
    <w:rsid w:val="00D366D0"/>
    <w:rsid w:val="00D36A1C"/>
    <w:rsid w:val="00D3766D"/>
    <w:rsid w:val="00D379B4"/>
    <w:rsid w:val="00D42AD7"/>
    <w:rsid w:val="00D42C35"/>
    <w:rsid w:val="00D42FAC"/>
    <w:rsid w:val="00D5027A"/>
    <w:rsid w:val="00D50ADD"/>
    <w:rsid w:val="00D52C61"/>
    <w:rsid w:val="00D53588"/>
    <w:rsid w:val="00D56A89"/>
    <w:rsid w:val="00D56F06"/>
    <w:rsid w:val="00D576A5"/>
    <w:rsid w:val="00D615CE"/>
    <w:rsid w:val="00D625E1"/>
    <w:rsid w:val="00D7024F"/>
    <w:rsid w:val="00D7170C"/>
    <w:rsid w:val="00D72463"/>
    <w:rsid w:val="00D72AE3"/>
    <w:rsid w:val="00D72D5E"/>
    <w:rsid w:val="00D74549"/>
    <w:rsid w:val="00D76E12"/>
    <w:rsid w:val="00D77036"/>
    <w:rsid w:val="00D773D5"/>
    <w:rsid w:val="00D7794E"/>
    <w:rsid w:val="00D84E53"/>
    <w:rsid w:val="00D85345"/>
    <w:rsid w:val="00D86940"/>
    <w:rsid w:val="00D8713B"/>
    <w:rsid w:val="00D9269A"/>
    <w:rsid w:val="00D92E89"/>
    <w:rsid w:val="00D9390C"/>
    <w:rsid w:val="00D94286"/>
    <w:rsid w:val="00D94AAF"/>
    <w:rsid w:val="00D953B6"/>
    <w:rsid w:val="00D96219"/>
    <w:rsid w:val="00D974CA"/>
    <w:rsid w:val="00DA093D"/>
    <w:rsid w:val="00DA23D4"/>
    <w:rsid w:val="00DA4C94"/>
    <w:rsid w:val="00DA5F8D"/>
    <w:rsid w:val="00DA7E25"/>
    <w:rsid w:val="00DB064B"/>
    <w:rsid w:val="00DB08AE"/>
    <w:rsid w:val="00DB0994"/>
    <w:rsid w:val="00DB0B70"/>
    <w:rsid w:val="00DB0BFB"/>
    <w:rsid w:val="00DB0F47"/>
    <w:rsid w:val="00DB29F5"/>
    <w:rsid w:val="00DB2F0B"/>
    <w:rsid w:val="00DB5D51"/>
    <w:rsid w:val="00DB5F2D"/>
    <w:rsid w:val="00DB6582"/>
    <w:rsid w:val="00DB7113"/>
    <w:rsid w:val="00DC09AF"/>
    <w:rsid w:val="00DC57CE"/>
    <w:rsid w:val="00DC727A"/>
    <w:rsid w:val="00DC7E0F"/>
    <w:rsid w:val="00DD34A6"/>
    <w:rsid w:val="00DD4550"/>
    <w:rsid w:val="00DD45A0"/>
    <w:rsid w:val="00DD4A52"/>
    <w:rsid w:val="00DD625A"/>
    <w:rsid w:val="00DD7B53"/>
    <w:rsid w:val="00DE039A"/>
    <w:rsid w:val="00DE05E6"/>
    <w:rsid w:val="00DE0E97"/>
    <w:rsid w:val="00DE2757"/>
    <w:rsid w:val="00DE39D8"/>
    <w:rsid w:val="00DE454D"/>
    <w:rsid w:val="00DE45C7"/>
    <w:rsid w:val="00DE4CEE"/>
    <w:rsid w:val="00DE7779"/>
    <w:rsid w:val="00DF0379"/>
    <w:rsid w:val="00DF20E4"/>
    <w:rsid w:val="00DF275E"/>
    <w:rsid w:val="00DF2960"/>
    <w:rsid w:val="00DF4593"/>
    <w:rsid w:val="00DF4ADE"/>
    <w:rsid w:val="00E006AA"/>
    <w:rsid w:val="00E0182F"/>
    <w:rsid w:val="00E01FE5"/>
    <w:rsid w:val="00E02224"/>
    <w:rsid w:val="00E02778"/>
    <w:rsid w:val="00E036F6"/>
    <w:rsid w:val="00E04B23"/>
    <w:rsid w:val="00E0510E"/>
    <w:rsid w:val="00E052DB"/>
    <w:rsid w:val="00E05E09"/>
    <w:rsid w:val="00E077E5"/>
    <w:rsid w:val="00E10317"/>
    <w:rsid w:val="00E12016"/>
    <w:rsid w:val="00E13378"/>
    <w:rsid w:val="00E13917"/>
    <w:rsid w:val="00E13EF0"/>
    <w:rsid w:val="00E14D12"/>
    <w:rsid w:val="00E16800"/>
    <w:rsid w:val="00E16D64"/>
    <w:rsid w:val="00E214BF"/>
    <w:rsid w:val="00E21DA5"/>
    <w:rsid w:val="00E22222"/>
    <w:rsid w:val="00E243EB"/>
    <w:rsid w:val="00E2445C"/>
    <w:rsid w:val="00E24991"/>
    <w:rsid w:val="00E25BA5"/>
    <w:rsid w:val="00E2787A"/>
    <w:rsid w:val="00E30609"/>
    <w:rsid w:val="00E316CC"/>
    <w:rsid w:val="00E319B3"/>
    <w:rsid w:val="00E34391"/>
    <w:rsid w:val="00E34478"/>
    <w:rsid w:val="00E359F3"/>
    <w:rsid w:val="00E3688A"/>
    <w:rsid w:val="00E37B7F"/>
    <w:rsid w:val="00E4064E"/>
    <w:rsid w:val="00E406E6"/>
    <w:rsid w:val="00E40DBE"/>
    <w:rsid w:val="00E423C4"/>
    <w:rsid w:val="00E436C3"/>
    <w:rsid w:val="00E44FFC"/>
    <w:rsid w:val="00E46E09"/>
    <w:rsid w:val="00E47BC1"/>
    <w:rsid w:val="00E50C56"/>
    <w:rsid w:val="00E52F0A"/>
    <w:rsid w:val="00E52F86"/>
    <w:rsid w:val="00E53039"/>
    <w:rsid w:val="00E53687"/>
    <w:rsid w:val="00E53D6B"/>
    <w:rsid w:val="00E552D1"/>
    <w:rsid w:val="00E553A3"/>
    <w:rsid w:val="00E57F57"/>
    <w:rsid w:val="00E61764"/>
    <w:rsid w:val="00E6187B"/>
    <w:rsid w:val="00E61E44"/>
    <w:rsid w:val="00E62223"/>
    <w:rsid w:val="00E6234C"/>
    <w:rsid w:val="00E6260B"/>
    <w:rsid w:val="00E6313D"/>
    <w:rsid w:val="00E66E15"/>
    <w:rsid w:val="00E7027D"/>
    <w:rsid w:val="00E70D5D"/>
    <w:rsid w:val="00E722C9"/>
    <w:rsid w:val="00E734E4"/>
    <w:rsid w:val="00E755D1"/>
    <w:rsid w:val="00E758AE"/>
    <w:rsid w:val="00E77018"/>
    <w:rsid w:val="00E77C85"/>
    <w:rsid w:val="00E81568"/>
    <w:rsid w:val="00E83A23"/>
    <w:rsid w:val="00E84D07"/>
    <w:rsid w:val="00E85B39"/>
    <w:rsid w:val="00E8726B"/>
    <w:rsid w:val="00E915C1"/>
    <w:rsid w:val="00E91E13"/>
    <w:rsid w:val="00E925DD"/>
    <w:rsid w:val="00E92A4A"/>
    <w:rsid w:val="00E94F38"/>
    <w:rsid w:val="00E95146"/>
    <w:rsid w:val="00E95AE5"/>
    <w:rsid w:val="00E968BC"/>
    <w:rsid w:val="00E96A52"/>
    <w:rsid w:val="00EA0025"/>
    <w:rsid w:val="00EA017F"/>
    <w:rsid w:val="00EA0A2B"/>
    <w:rsid w:val="00EA0DB4"/>
    <w:rsid w:val="00EA2E24"/>
    <w:rsid w:val="00EA3004"/>
    <w:rsid w:val="00EA336F"/>
    <w:rsid w:val="00EA34CC"/>
    <w:rsid w:val="00EA36B1"/>
    <w:rsid w:val="00EA3DDA"/>
    <w:rsid w:val="00EA45D4"/>
    <w:rsid w:val="00EA4FCB"/>
    <w:rsid w:val="00EA56D9"/>
    <w:rsid w:val="00EA65C9"/>
    <w:rsid w:val="00EB0C9C"/>
    <w:rsid w:val="00EB0E41"/>
    <w:rsid w:val="00EB1868"/>
    <w:rsid w:val="00EB263C"/>
    <w:rsid w:val="00EB289B"/>
    <w:rsid w:val="00EB2B58"/>
    <w:rsid w:val="00EB3459"/>
    <w:rsid w:val="00EB3711"/>
    <w:rsid w:val="00EB3ECD"/>
    <w:rsid w:val="00EB3FA2"/>
    <w:rsid w:val="00EB6EC8"/>
    <w:rsid w:val="00EB700E"/>
    <w:rsid w:val="00EB78A2"/>
    <w:rsid w:val="00EC028F"/>
    <w:rsid w:val="00EC04BF"/>
    <w:rsid w:val="00EC0881"/>
    <w:rsid w:val="00EC0963"/>
    <w:rsid w:val="00EC3A22"/>
    <w:rsid w:val="00EC407A"/>
    <w:rsid w:val="00EC5228"/>
    <w:rsid w:val="00EC7791"/>
    <w:rsid w:val="00EC7B2E"/>
    <w:rsid w:val="00ED0427"/>
    <w:rsid w:val="00ED0446"/>
    <w:rsid w:val="00ED11E1"/>
    <w:rsid w:val="00ED228D"/>
    <w:rsid w:val="00ED2C8D"/>
    <w:rsid w:val="00ED2D60"/>
    <w:rsid w:val="00ED4CDD"/>
    <w:rsid w:val="00ED677A"/>
    <w:rsid w:val="00EE0E83"/>
    <w:rsid w:val="00EE1FAD"/>
    <w:rsid w:val="00EE401D"/>
    <w:rsid w:val="00EE426D"/>
    <w:rsid w:val="00EE45BD"/>
    <w:rsid w:val="00EE477B"/>
    <w:rsid w:val="00EE4BCE"/>
    <w:rsid w:val="00EE674E"/>
    <w:rsid w:val="00EE6E70"/>
    <w:rsid w:val="00EE70C2"/>
    <w:rsid w:val="00EE7688"/>
    <w:rsid w:val="00EE7D11"/>
    <w:rsid w:val="00EF03F9"/>
    <w:rsid w:val="00EF0802"/>
    <w:rsid w:val="00EF1B5C"/>
    <w:rsid w:val="00EF30CF"/>
    <w:rsid w:val="00EF3BA8"/>
    <w:rsid w:val="00EF3BEB"/>
    <w:rsid w:val="00EF46CF"/>
    <w:rsid w:val="00EF4EF8"/>
    <w:rsid w:val="00EF5E59"/>
    <w:rsid w:val="00EF6C43"/>
    <w:rsid w:val="00EF7292"/>
    <w:rsid w:val="00EF750F"/>
    <w:rsid w:val="00F003C0"/>
    <w:rsid w:val="00F005A6"/>
    <w:rsid w:val="00F009F9"/>
    <w:rsid w:val="00F010A5"/>
    <w:rsid w:val="00F01644"/>
    <w:rsid w:val="00F02193"/>
    <w:rsid w:val="00F02B1C"/>
    <w:rsid w:val="00F033F7"/>
    <w:rsid w:val="00F03E84"/>
    <w:rsid w:val="00F046FC"/>
    <w:rsid w:val="00F11D79"/>
    <w:rsid w:val="00F1284C"/>
    <w:rsid w:val="00F12F20"/>
    <w:rsid w:val="00F159DB"/>
    <w:rsid w:val="00F2003F"/>
    <w:rsid w:val="00F22431"/>
    <w:rsid w:val="00F230C1"/>
    <w:rsid w:val="00F25374"/>
    <w:rsid w:val="00F26066"/>
    <w:rsid w:val="00F272A5"/>
    <w:rsid w:val="00F2775D"/>
    <w:rsid w:val="00F27A25"/>
    <w:rsid w:val="00F30B07"/>
    <w:rsid w:val="00F32C11"/>
    <w:rsid w:val="00F330DD"/>
    <w:rsid w:val="00F34A75"/>
    <w:rsid w:val="00F365C3"/>
    <w:rsid w:val="00F37507"/>
    <w:rsid w:val="00F37E39"/>
    <w:rsid w:val="00F400C5"/>
    <w:rsid w:val="00F408F4"/>
    <w:rsid w:val="00F40F40"/>
    <w:rsid w:val="00F4139A"/>
    <w:rsid w:val="00F43CCD"/>
    <w:rsid w:val="00F45845"/>
    <w:rsid w:val="00F45967"/>
    <w:rsid w:val="00F45E4E"/>
    <w:rsid w:val="00F46AF8"/>
    <w:rsid w:val="00F46E5B"/>
    <w:rsid w:val="00F51B73"/>
    <w:rsid w:val="00F53F98"/>
    <w:rsid w:val="00F55CB8"/>
    <w:rsid w:val="00F55E6D"/>
    <w:rsid w:val="00F56300"/>
    <w:rsid w:val="00F56580"/>
    <w:rsid w:val="00F56B13"/>
    <w:rsid w:val="00F57492"/>
    <w:rsid w:val="00F6151E"/>
    <w:rsid w:val="00F644DC"/>
    <w:rsid w:val="00F67963"/>
    <w:rsid w:val="00F70829"/>
    <w:rsid w:val="00F724A8"/>
    <w:rsid w:val="00F72534"/>
    <w:rsid w:val="00F72662"/>
    <w:rsid w:val="00F72A36"/>
    <w:rsid w:val="00F7431A"/>
    <w:rsid w:val="00F74CD6"/>
    <w:rsid w:val="00F75BF0"/>
    <w:rsid w:val="00F83821"/>
    <w:rsid w:val="00F83B3C"/>
    <w:rsid w:val="00F861DE"/>
    <w:rsid w:val="00F86BA1"/>
    <w:rsid w:val="00F8747F"/>
    <w:rsid w:val="00F8780B"/>
    <w:rsid w:val="00F90BE3"/>
    <w:rsid w:val="00F9142A"/>
    <w:rsid w:val="00F9186C"/>
    <w:rsid w:val="00F919AA"/>
    <w:rsid w:val="00F91EB7"/>
    <w:rsid w:val="00F920EB"/>
    <w:rsid w:val="00F93308"/>
    <w:rsid w:val="00F93829"/>
    <w:rsid w:val="00F940B7"/>
    <w:rsid w:val="00F96290"/>
    <w:rsid w:val="00F96637"/>
    <w:rsid w:val="00F96897"/>
    <w:rsid w:val="00F970CE"/>
    <w:rsid w:val="00FA0229"/>
    <w:rsid w:val="00FA7D28"/>
    <w:rsid w:val="00FB1DAD"/>
    <w:rsid w:val="00FB4B83"/>
    <w:rsid w:val="00FB4D6A"/>
    <w:rsid w:val="00FB5A95"/>
    <w:rsid w:val="00FB64BE"/>
    <w:rsid w:val="00FB6955"/>
    <w:rsid w:val="00FB6AC1"/>
    <w:rsid w:val="00FC0EF3"/>
    <w:rsid w:val="00FC1183"/>
    <w:rsid w:val="00FC11B6"/>
    <w:rsid w:val="00FC2488"/>
    <w:rsid w:val="00FC2798"/>
    <w:rsid w:val="00FC2CB4"/>
    <w:rsid w:val="00FC3012"/>
    <w:rsid w:val="00FC30C0"/>
    <w:rsid w:val="00FC39F5"/>
    <w:rsid w:val="00FC3B5B"/>
    <w:rsid w:val="00FC3BB3"/>
    <w:rsid w:val="00FD1BE8"/>
    <w:rsid w:val="00FD1F44"/>
    <w:rsid w:val="00FD2E96"/>
    <w:rsid w:val="00FD32FC"/>
    <w:rsid w:val="00FD5275"/>
    <w:rsid w:val="00FD5FFE"/>
    <w:rsid w:val="00FD716A"/>
    <w:rsid w:val="00FE0031"/>
    <w:rsid w:val="00FE0862"/>
    <w:rsid w:val="00FE099C"/>
    <w:rsid w:val="00FE1787"/>
    <w:rsid w:val="00FE262B"/>
    <w:rsid w:val="00FE4888"/>
    <w:rsid w:val="00FE67D7"/>
    <w:rsid w:val="00FE7B9D"/>
    <w:rsid w:val="00FE7D81"/>
    <w:rsid w:val="00FF0216"/>
    <w:rsid w:val="00FF1422"/>
    <w:rsid w:val="00FF17DD"/>
    <w:rsid w:val="00FF1991"/>
    <w:rsid w:val="00FF4409"/>
    <w:rsid w:val="00FF4A86"/>
    <w:rsid w:val="00FF72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2"/>
    </o:shapelayout>
  </w:shapeDefaults>
  <w:decimalSymbol w:val=","/>
  <w:listSeparator w:val=";"/>
  <w14:docId w14:val="3842C8A8"/>
  <w15:docId w15:val="{302B6CAD-D4D6-4444-A93F-1D5A0787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Eurobank Sans" w:eastAsia="Eurobank Sans" w:hAnsi="Eurobank Sans" w:cs="Eurobank Sans"/>
    </w:rPr>
  </w:style>
  <w:style w:type="paragraph" w:styleId="Heading1">
    <w:name w:val="heading 1"/>
    <w:basedOn w:val="Normal"/>
    <w:uiPriority w:val="1"/>
    <w:qFormat/>
    <w:pPr>
      <w:spacing w:before="100"/>
      <w:ind w:left="26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Document"/>
    <w:basedOn w:val="Normal"/>
    <w:link w:val="ListParagraphChar"/>
    <w:uiPriority w:val="1"/>
    <w:qFormat/>
    <w:pPr>
      <w:ind w:left="260" w:right="297"/>
      <w:jc w:val="both"/>
    </w:pPr>
  </w:style>
  <w:style w:type="paragraph" w:customStyle="1" w:styleId="TableParagraph">
    <w:name w:val="Table Paragraph"/>
    <w:basedOn w:val="Normal"/>
    <w:uiPriority w:val="1"/>
    <w:qFormat/>
    <w:pPr>
      <w:spacing w:before="122"/>
      <w:ind w:left="824" w:right="824"/>
      <w:jc w:val="center"/>
    </w:pPr>
  </w:style>
  <w:style w:type="paragraph" w:styleId="Header">
    <w:name w:val="header"/>
    <w:basedOn w:val="Normal"/>
    <w:link w:val="HeaderChar"/>
    <w:uiPriority w:val="99"/>
    <w:unhideWhenUsed/>
    <w:rsid w:val="004D78CF"/>
    <w:pPr>
      <w:tabs>
        <w:tab w:val="center" w:pos="4153"/>
        <w:tab w:val="right" w:pos="8306"/>
      </w:tabs>
    </w:pPr>
  </w:style>
  <w:style w:type="character" w:customStyle="1" w:styleId="HeaderChar">
    <w:name w:val="Header Char"/>
    <w:basedOn w:val="DefaultParagraphFont"/>
    <w:link w:val="Header"/>
    <w:uiPriority w:val="99"/>
    <w:rsid w:val="004D78CF"/>
    <w:rPr>
      <w:rFonts w:ascii="Eurobank Sans" w:eastAsia="Eurobank Sans" w:hAnsi="Eurobank Sans" w:cs="Eurobank Sans"/>
    </w:rPr>
  </w:style>
  <w:style w:type="paragraph" w:styleId="Footer">
    <w:name w:val="footer"/>
    <w:basedOn w:val="Normal"/>
    <w:link w:val="FooterChar"/>
    <w:uiPriority w:val="99"/>
    <w:unhideWhenUsed/>
    <w:rsid w:val="004D78CF"/>
    <w:pPr>
      <w:tabs>
        <w:tab w:val="center" w:pos="4153"/>
        <w:tab w:val="right" w:pos="8306"/>
      </w:tabs>
    </w:pPr>
  </w:style>
  <w:style w:type="character" w:customStyle="1" w:styleId="FooterChar">
    <w:name w:val="Footer Char"/>
    <w:basedOn w:val="DefaultParagraphFont"/>
    <w:link w:val="Footer"/>
    <w:uiPriority w:val="99"/>
    <w:rsid w:val="004D78CF"/>
    <w:rPr>
      <w:rFonts w:ascii="Eurobank Sans" w:eastAsia="Eurobank Sans" w:hAnsi="Eurobank Sans" w:cs="Eurobank Sans"/>
    </w:rPr>
  </w:style>
  <w:style w:type="paragraph" w:styleId="FootnoteText">
    <w:name w:val="footnote text"/>
    <w:basedOn w:val="Normal"/>
    <w:link w:val="FootnoteTextChar"/>
    <w:uiPriority w:val="99"/>
    <w:semiHidden/>
    <w:unhideWhenUsed/>
    <w:rsid w:val="00810BF1"/>
    <w:rPr>
      <w:sz w:val="20"/>
      <w:szCs w:val="20"/>
    </w:rPr>
  </w:style>
  <w:style w:type="character" w:customStyle="1" w:styleId="FootnoteTextChar">
    <w:name w:val="Footnote Text Char"/>
    <w:basedOn w:val="DefaultParagraphFont"/>
    <w:link w:val="FootnoteText"/>
    <w:uiPriority w:val="99"/>
    <w:semiHidden/>
    <w:rsid w:val="00810BF1"/>
    <w:rPr>
      <w:rFonts w:ascii="Eurobank Sans" w:eastAsia="Eurobank Sans" w:hAnsi="Eurobank Sans" w:cs="Eurobank Sans"/>
      <w:sz w:val="20"/>
      <w:szCs w:val="20"/>
    </w:rPr>
  </w:style>
  <w:style w:type="character" w:styleId="FootnoteReference">
    <w:name w:val="footnote reference"/>
    <w:basedOn w:val="DefaultParagraphFont"/>
    <w:semiHidden/>
    <w:unhideWhenUsed/>
    <w:rsid w:val="00810BF1"/>
    <w:rPr>
      <w:vertAlign w:val="superscript"/>
    </w:rPr>
  </w:style>
  <w:style w:type="paragraph" w:styleId="BalloonText">
    <w:name w:val="Balloon Text"/>
    <w:basedOn w:val="Normal"/>
    <w:link w:val="BalloonTextChar"/>
    <w:uiPriority w:val="99"/>
    <w:semiHidden/>
    <w:unhideWhenUsed/>
    <w:rsid w:val="001D2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C7D"/>
    <w:rPr>
      <w:rFonts w:ascii="Segoe UI" w:eastAsia="Eurobank Sans" w:hAnsi="Segoe UI" w:cs="Segoe UI"/>
      <w:sz w:val="18"/>
      <w:szCs w:val="18"/>
    </w:rPr>
  </w:style>
  <w:style w:type="paragraph" w:styleId="EndnoteText">
    <w:name w:val="endnote text"/>
    <w:basedOn w:val="Normal"/>
    <w:link w:val="EndnoteTextChar"/>
    <w:uiPriority w:val="99"/>
    <w:semiHidden/>
    <w:unhideWhenUsed/>
    <w:rsid w:val="00F70829"/>
    <w:rPr>
      <w:sz w:val="20"/>
      <w:szCs w:val="20"/>
    </w:rPr>
  </w:style>
  <w:style w:type="character" w:customStyle="1" w:styleId="EndnoteTextChar">
    <w:name w:val="Endnote Text Char"/>
    <w:basedOn w:val="DefaultParagraphFont"/>
    <w:link w:val="EndnoteText"/>
    <w:uiPriority w:val="99"/>
    <w:semiHidden/>
    <w:rsid w:val="00F70829"/>
    <w:rPr>
      <w:rFonts w:ascii="Eurobank Sans" w:eastAsia="Eurobank Sans" w:hAnsi="Eurobank Sans" w:cs="Eurobank Sans"/>
      <w:sz w:val="20"/>
      <w:szCs w:val="20"/>
    </w:rPr>
  </w:style>
  <w:style w:type="character" w:styleId="EndnoteReference">
    <w:name w:val="endnote reference"/>
    <w:basedOn w:val="DefaultParagraphFont"/>
    <w:uiPriority w:val="99"/>
    <w:semiHidden/>
    <w:unhideWhenUsed/>
    <w:rsid w:val="00F70829"/>
    <w:rPr>
      <w:vertAlign w:val="superscript"/>
    </w:rPr>
  </w:style>
  <w:style w:type="paragraph" w:customStyle="1" w:styleId="Body">
    <w:name w:val="Body"/>
    <w:rsid w:val="0033088B"/>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eastAsia="el-GR"/>
      <w14:textOutline w14:w="0" w14:cap="flat" w14:cmpd="sng" w14:algn="ctr">
        <w14:noFill/>
        <w14:prstDash w14:val="solid"/>
        <w14:bevel/>
      </w14:textOutline>
    </w:rPr>
  </w:style>
  <w:style w:type="paragraph" w:customStyle="1" w:styleId="Default">
    <w:name w:val="Default"/>
    <w:rsid w:val="00B00E1A"/>
    <w:pPr>
      <w:widowControl/>
      <w:adjustRightInd w:val="0"/>
    </w:pPr>
    <w:rPr>
      <w:rFonts w:ascii="Times New Roman" w:hAnsi="Times New Roman" w:cs="Times New Roman"/>
      <w:color w:val="000000"/>
      <w:sz w:val="24"/>
      <w:szCs w:val="24"/>
      <w:lang w:val="el-GR"/>
    </w:rPr>
  </w:style>
  <w:style w:type="table" w:styleId="TableGrid">
    <w:name w:val="Table Grid"/>
    <w:basedOn w:val="TableNormal"/>
    <w:uiPriority w:val="39"/>
    <w:rsid w:val="00AC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46DF"/>
    <w:rPr>
      <w:u w:val="single"/>
    </w:rPr>
  </w:style>
  <w:style w:type="character" w:customStyle="1" w:styleId="ListParagraphChar">
    <w:name w:val="List Paragraph Char"/>
    <w:aliases w:val="Document Char"/>
    <w:basedOn w:val="DefaultParagraphFont"/>
    <w:link w:val="ListParagraph"/>
    <w:uiPriority w:val="1"/>
    <w:locked/>
    <w:rsid w:val="00D0213E"/>
    <w:rPr>
      <w:rFonts w:ascii="Eurobank Sans" w:eastAsia="Eurobank Sans" w:hAnsi="Eurobank Sans" w:cs="Eurobank Sans"/>
    </w:rPr>
  </w:style>
  <w:style w:type="character" w:styleId="CommentReference">
    <w:name w:val="annotation reference"/>
    <w:basedOn w:val="DefaultParagraphFont"/>
    <w:uiPriority w:val="99"/>
    <w:semiHidden/>
    <w:unhideWhenUsed/>
    <w:rsid w:val="00E553A3"/>
    <w:rPr>
      <w:sz w:val="16"/>
      <w:szCs w:val="16"/>
    </w:rPr>
  </w:style>
  <w:style w:type="paragraph" w:styleId="CommentText">
    <w:name w:val="annotation text"/>
    <w:basedOn w:val="Normal"/>
    <w:link w:val="CommentTextChar"/>
    <w:uiPriority w:val="99"/>
    <w:unhideWhenUsed/>
    <w:rsid w:val="00E553A3"/>
    <w:rPr>
      <w:sz w:val="20"/>
      <w:szCs w:val="20"/>
    </w:rPr>
  </w:style>
  <w:style w:type="character" w:customStyle="1" w:styleId="CommentTextChar">
    <w:name w:val="Comment Text Char"/>
    <w:basedOn w:val="DefaultParagraphFont"/>
    <w:link w:val="CommentText"/>
    <w:uiPriority w:val="99"/>
    <w:rsid w:val="00E553A3"/>
    <w:rPr>
      <w:rFonts w:ascii="Eurobank Sans" w:eastAsia="Eurobank Sans" w:hAnsi="Eurobank Sans" w:cs="Eurobank Sans"/>
      <w:sz w:val="20"/>
      <w:szCs w:val="20"/>
    </w:rPr>
  </w:style>
  <w:style w:type="paragraph" w:styleId="CommentSubject">
    <w:name w:val="annotation subject"/>
    <w:basedOn w:val="CommentText"/>
    <w:next w:val="CommentText"/>
    <w:link w:val="CommentSubjectChar"/>
    <w:uiPriority w:val="99"/>
    <w:semiHidden/>
    <w:unhideWhenUsed/>
    <w:rsid w:val="00E553A3"/>
    <w:rPr>
      <w:b/>
      <w:bCs/>
    </w:rPr>
  </w:style>
  <w:style w:type="character" w:customStyle="1" w:styleId="CommentSubjectChar">
    <w:name w:val="Comment Subject Char"/>
    <w:basedOn w:val="CommentTextChar"/>
    <w:link w:val="CommentSubject"/>
    <w:uiPriority w:val="99"/>
    <w:semiHidden/>
    <w:rsid w:val="00E553A3"/>
    <w:rPr>
      <w:rFonts w:ascii="Eurobank Sans" w:eastAsia="Eurobank Sans" w:hAnsi="Eurobank Sans" w:cs="Eurobank Sans"/>
      <w:b/>
      <w:bCs/>
      <w:sz w:val="20"/>
      <w:szCs w:val="20"/>
    </w:rPr>
  </w:style>
  <w:style w:type="paragraph" w:styleId="Revision">
    <w:name w:val="Revision"/>
    <w:hidden/>
    <w:uiPriority w:val="99"/>
    <w:semiHidden/>
    <w:rsid w:val="00801FB5"/>
    <w:pPr>
      <w:widowControl/>
      <w:autoSpaceDE/>
      <w:autoSpaceDN/>
    </w:pPr>
    <w:rPr>
      <w:rFonts w:ascii="Eurobank Sans" w:eastAsia="Eurobank Sans" w:hAnsi="Eurobank Sans" w:cs="Eurobank Sans"/>
    </w:rPr>
  </w:style>
  <w:style w:type="paragraph" w:customStyle="1" w:styleId="a">
    <w:name w:val="Κύριο τμήμα"/>
    <w:rsid w:val="00C82635"/>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9125">
      <w:bodyDiv w:val="1"/>
      <w:marLeft w:val="0"/>
      <w:marRight w:val="0"/>
      <w:marTop w:val="0"/>
      <w:marBottom w:val="0"/>
      <w:divBdr>
        <w:top w:val="none" w:sz="0" w:space="0" w:color="auto"/>
        <w:left w:val="none" w:sz="0" w:space="0" w:color="auto"/>
        <w:bottom w:val="none" w:sz="0" w:space="0" w:color="auto"/>
        <w:right w:val="none" w:sz="0" w:space="0" w:color="auto"/>
      </w:divBdr>
    </w:div>
    <w:div w:id="168758657">
      <w:bodyDiv w:val="1"/>
      <w:marLeft w:val="0"/>
      <w:marRight w:val="0"/>
      <w:marTop w:val="0"/>
      <w:marBottom w:val="0"/>
      <w:divBdr>
        <w:top w:val="none" w:sz="0" w:space="0" w:color="auto"/>
        <w:left w:val="none" w:sz="0" w:space="0" w:color="auto"/>
        <w:bottom w:val="none" w:sz="0" w:space="0" w:color="auto"/>
        <w:right w:val="none" w:sz="0" w:space="0" w:color="auto"/>
      </w:divBdr>
    </w:div>
    <w:div w:id="189993826">
      <w:bodyDiv w:val="1"/>
      <w:marLeft w:val="0"/>
      <w:marRight w:val="0"/>
      <w:marTop w:val="0"/>
      <w:marBottom w:val="0"/>
      <w:divBdr>
        <w:top w:val="none" w:sz="0" w:space="0" w:color="auto"/>
        <w:left w:val="none" w:sz="0" w:space="0" w:color="auto"/>
        <w:bottom w:val="none" w:sz="0" w:space="0" w:color="auto"/>
        <w:right w:val="none" w:sz="0" w:space="0" w:color="auto"/>
      </w:divBdr>
    </w:div>
    <w:div w:id="981351050">
      <w:bodyDiv w:val="1"/>
      <w:marLeft w:val="0"/>
      <w:marRight w:val="0"/>
      <w:marTop w:val="0"/>
      <w:marBottom w:val="0"/>
      <w:divBdr>
        <w:top w:val="none" w:sz="0" w:space="0" w:color="auto"/>
        <w:left w:val="none" w:sz="0" w:space="0" w:color="auto"/>
        <w:bottom w:val="none" w:sz="0" w:space="0" w:color="auto"/>
        <w:right w:val="none" w:sz="0" w:space="0" w:color="auto"/>
      </w:divBdr>
    </w:div>
    <w:div w:id="1097285036">
      <w:bodyDiv w:val="1"/>
      <w:marLeft w:val="0"/>
      <w:marRight w:val="0"/>
      <w:marTop w:val="0"/>
      <w:marBottom w:val="0"/>
      <w:divBdr>
        <w:top w:val="none" w:sz="0" w:space="0" w:color="auto"/>
        <w:left w:val="none" w:sz="0" w:space="0" w:color="auto"/>
        <w:bottom w:val="none" w:sz="0" w:space="0" w:color="auto"/>
        <w:right w:val="none" w:sz="0" w:space="0" w:color="auto"/>
      </w:divBdr>
    </w:div>
    <w:div w:id="1422213160">
      <w:bodyDiv w:val="1"/>
      <w:marLeft w:val="0"/>
      <w:marRight w:val="0"/>
      <w:marTop w:val="0"/>
      <w:marBottom w:val="0"/>
      <w:divBdr>
        <w:top w:val="none" w:sz="0" w:space="0" w:color="auto"/>
        <w:left w:val="none" w:sz="0" w:space="0" w:color="auto"/>
        <w:bottom w:val="none" w:sz="0" w:space="0" w:color="auto"/>
        <w:right w:val="none" w:sz="0" w:space="0" w:color="auto"/>
      </w:divBdr>
    </w:div>
    <w:div w:id="1514033597">
      <w:bodyDiv w:val="1"/>
      <w:marLeft w:val="0"/>
      <w:marRight w:val="0"/>
      <w:marTop w:val="0"/>
      <w:marBottom w:val="0"/>
      <w:divBdr>
        <w:top w:val="none" w:sz="0" w:space="0" w:color="auto"/>
        <w:left w:val="none" w:sz="0" w:space="0" w:color="auto"/>
        <w:bottom w:val="none" w:sz="0" w:space="0" w:color="auto"/>
        <w:right w:val="none" w:sz="0" w:space="0" w:color="auto"/>
      </w:divBdr>
    </w:div>
    <w:div w:id="1599559457">
      <w:bodyDiv w:val="1"/>
      <w:marLeft w:val="0"/>
      <w:marRight w:val="0"/>
      <w:marTop w:val="0"/>
      <w:marBottom w:val="0"/>
      <w:divBdr>
        <w:top w:val="none" w:sz="0" w:space="0" w:color="auto"/>
        <w:left w:val="none" w:sz="0" w:space="0" w:color="auto"/>
        <w:bottom w:val="none" w:sz="0" w:space="0" w:color="auto"/>
        <w:right w:val="none" w:sz="0" w:space="0" w:color="auto"/>
      </w:divBdr>
    </w:div>
    <w:div w:id="1909532275">
      <w:bodyDiv w:val="1"/>
      <w:marLeft w:val="0"/>
      <w:marRight w:val="0"/>
      <w:marTop w:val="0"/>
      <w:marBottom w:val="0"/>
      <w:divBdr>
        <w:top w:val="none" w:sz="0" w:space="0" w:color="auto"/>
        <w:left w:val="none" w:sz="0" w:space="0" w:color="auto"/>
        <w:bottom w:val="none" w:sz="0" w:space="0" w:color="auto"/>
        <w:right w:val="none" w:sz="0" w:space="0" w:color="auto"/>
      </w:divBdr>
    </w:div>
    <w:div w:id="1916743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500000000000003E-3"/>
          <c:y val="6.5934065934065936E-2"/>
          <c:w val="0.93125000000000002"/>
          <c:h val="0.77472527472527475"/>
        </c:manualLayout>
      </c:layout>
      <c:barChart>
        <c:barDir val="col"/>
        <c:grouping val="stacked"/>
        <c:varyColors val="0"/>
        <c:ser>
          <c:idx val="1"/>
          <c:order val="1"/>
          <c:tx>
            <c:strRef>
              <c:f>Sheet1!$A$3</c:f>
              <c:strCache>
                <c:ptCount val="1"/>
              </c:strCache>
            </c:strRef>
          </c:tx>
          <c:spPr>
            <a:solidFill>
              <a:srgbClr val="993366"/>
            </a:solidFill>
            <a:ln w="13974">
              <a:solidFill>
                <a:srgbClr val="000000"/>
              </a:solidFill>
              <a:prstDash val="solid"/>
            </a:ln>
          </c:spPr>
          <c:invertIfNegative val="0"/>
          <c:dPt>
            <c:idx val="4"/>
            <c:invertIfNegative val="0"/>
            <c:bubble3D val="0"/>
            <c:spPr>
              <a:solidFill>
                <a:srgbClr val="CCCCFF"/>
              </a:solidFill>
              <a:ln w="27949">
                <a:noFill/>
              </a:ln>
            </c:spPr>
            <c:extLst>
              <c:ext xmlns:c16="http://schemas.microsoft.com/office/drawing/2014/chart" uri="{C3380CC4-5D6E-409C-BE32-E72D297353CC}">
                <c16:uniqueId val="{00000006-1397-4353-BADC-47DD718487CC}"/>
              </c:ext>
            </c:extLst>
          </c:dPt>
          <c:cat>
            <c:numRef>
              <c:f>Sheet1!$B$1:$C$1</c:f>
              <c:numCache>
                <c:formatCode>General</c:formatCode>
                <c:ptCount val="2"/>
                <c:pt idx="0">
                  <c:v>2024</c:v>
                </c:pt>
                <c:pt idx="1">
                  <c:v>2025</c:v>
                </c:pt>
              </c:numCache>
            </c:numRef>
          </c:cat>
          <c:val>
            <c:numRef>
              <c:f>Sheet1!$B$3:$C$3</c:f>
              <c:numCache>
                <c:formatCode>General</c:formatCode>
                <c:ptCount val="2"/>
              </c:numCache>
            </c:numRef>
          </c:val>
          <c:extLst>
            <c:ext xmlns:c16="http://schemas.microsoft.com/office/drawing/2014/chart" uri="{C3380CC4-5D6E-409C-BE32-E72D297353CC}">
              <c16:uniqueId val="{00000007-1397-4353-BADC-47DD718487CC}"/>
            </c:ext>
          </c:extLst>
        </c:ser>
        <c:ser>
          <c:idx val="2"/>
          <c:order val="2"/>
          <c:tx>
            <c:strRef>
              <c:f>Sheet1!$A$4</c:f>
              <c:strCache>
                <c:ptCount val="1"/>
              </c:strCache>
            </c:strRef>
          </c:tx>
          <c:spPr>
            <a:solidFill>
              <a:srgbClr val="FFFFCC"/>
            </a:solidFill>
            <a:ln w="13974">
              <a:solidFill>
                <a:srgbClr val="000000"/>
              </a:solidFill>
              <a:prstDash val="solid"/>
            </a:ln>
          </c:spPr>
          <c:invertIfNegative val="0"/>
          <c:cat>
            <c:numRef>
              <c:f>Sheet1!$B$1:$C$1</c:f>
              <c:numCache>
                <c:formatCode>General</c:formatCode>
                <c:ptCount val="2"/>
                <c:pt idx="0">
                  <c:v>2024</c:v>
                </c:pt>
                <c:pt idx="1">
                  <c:v>2025</c:v>
                </c:pt>
              </c:numCache>
            </c:numRef>
          </c:cat>
          <c:val>
            <c:numRef>
              <c:f>Sheet1!$B$4:$C$4</c:f>
              <c:numCache>
                <c:formatCode>General</c:formatCode>
                <c:ptCount val="2"/>
              </c:numCache>
            </c:numRef>
          </c:val>
          <c:extLst>
            <c:ext xmlns:c16="http://schemas.microsoft.com/office/drawing/2014/chart" uri="{C3380CC4-5D6E-409C-BE32-E72D297353CC}">
              <c16:uniqueId val="{00000008-1397-4353-BADC-47DD718487CC}"/>
            </c:ext>
          </c:extLst>
        </c:ser>
        <c:ser>
          <c:idx val="3"/>
          <c:order val="3"/>
          <c:tx>
            <c:strRef>
              <c:f>Sheet1!$A$5</c:f>
              <c:strCache>
                <c:ptCount val="1"/>
              </c:strCache>
            </c:strRef>
          </c:tx>
          <c:spPr>
            <a:solidFill>
              <a:srgbClr val="CCFFFF"/>
            </a:solidFill>
            <a:ln w="13974">
              <a:solidFill>
                <a:srgbClr val="000000"/>
              </a:solidFill>
              <a:prstDash val="solid"/>
            </a:ln>
          </c:spPr>
          <c:invertIfNegative val="0"/>
          <c:cat>
            <c:numRef>
              <c:f>Sheet1!$B$1:$C$1</c:f>
              <c:numCache>
                <c:formatCode>General</c:formatCode>
                <c:ptCount val="2"/>
                <c:pt idx="0">
                  <c:v>2024</c:v>
                </c:pt>
                <c:pt idx="1">
                  <c:v>2025</c:v>
                </c:pt>
              </c:numCache>
            </c:numRef>
          </c:cat>
          <c:val>
            <c:numRef>
              <c:f>Sheet1!$B$5:$C$5</c:f>
              <c:numCache>
                <c:formatCode>General</c:formatCode>
                <c:ptCount val="2"/>
              </c:numCache>
            </c:numRef>
          </c:val>
          <c:extLst>
            <c:ext xmlns:c16="http://schemas.microsoft.com/office/drawing/2014/chart" uri="{C3380CC4-5D6E-409C-BE32-E72D297353CC}">
              <c16:uniqueId val="{00000009-1397-4353-BADC-47DD718487CC}"/>
            </c:ext>
          </c:extLst>
        </c:ser>
        <c:dLbls>
          <c:showLegendKey val="0"/>
          <c:showVal val="0"/>
          <c:showCatName val="0"/>
          <c:showSerName val="0"/>
          <c:showPercent val="0"/>
          <c:showBubbleSize val="0"/>
        </c:dLbls>
        <c:gapWidth val="110"/>
        <c:overlap val="100"/>
        <c:axId val="198224680"/>
        <c:axId val="1"/>
      </c:barChart>
      <c:barChart>
        <c:barDir val="col"/>
        <c:grouping val="stacked"/>
        <c:varyColors val="0"/>
        <c:ser>
          <c:idx val="0"/>
          <c:order val="0"/>
          <c:tx>
            <c:strRef>
              <c:f>Sheet1!$A$2</c:f>
              <c:strCache>
                <c:ptCount val="1"/>
                <c:pt idx="0">
                  <c:v>Προσαρμοσμένα Καθαρά Κέρδη</c:v>
                </c:pt>
              </c:strCache>
            </c:strRef>
          </c:tx>
          <c:spPr>
            <a:solidFill>
              <a:srgbClr val="021342"/>
            </a:solidFill>
            <a:ln w="13974">
              <a:solidFill>
                <a:srgbClr val="FFFFFF"/>
              </a:solidFill>
              <a:prstDash val="solid"/>
            </a:ln>
          </c:spPr>
          <c:invertIfNegative val="0"/>
          <c:dLbls>
            <c:dLbl>
              <c:idx val="0"/>
              <c:layout>
                <c:manualLayout>
                  <c:x val="5.8004178049172427E-3"/>
                  <c:y val="-0.38288635708245966"/>
                </c:manualLayout>
              </c:layout>
              <c:tx>
                <c:rich>
                  <a:bodyPr/>
                  <a:lstStyle/>
                  <a:p>
                    <a:pPr>
                      <a:defRPr sz="1100" b="1" i="0" u="none" strike="noStrike" baseline="0">
                        <a:solidFill>
                          <a:srgbClr val="021342"/>
                        </a:solidFill>
                        <a:latin typeface="Eurobank Sans" panose="02000503000000020004" pitchFamily="2" charset="0"/>
                        <a:ea typeface="Arial"/>
                        <a:cs typeface="Arial"/>
                      </a:defRPr>
                    </a:pPr>
                    <a:r>
                      <a:rPr lang="en-US"/>
                      <a:t>1.484</a:t>
                    </a:r>
                  </a:p>
                </c:rich>
              </c:tx>
              <c:numFmt formatCode="#,##0" sourceLinked="0"/>
              <c:spPr>
                <a:noFill/>
                <a:ln w="27949">
                  <a:noFill/>
                </a:ln>
              </c:spPr>
              <c:dLblPos val="ctr"/>
              <c:showLegendKey val="0"/>
              <c:showVal val="1"/>
              <c:showCatName val="0"/>
              <c:showSerName val="0"/>
              <c:showPercent val="0"/>
              <c:showBubbleSize val="0"/>
              <c:extLst>
                <c:ext xmlns:c15="http://schemas.microsoft.com/office/drawing/2012/chart" uri="{CE6537A1-D6FC-4f65-9D91-7224C49458BB}">
                  <c15:layout>
                    <c:manualLayout>
                      <c:w val="0.18571449997321762"/>
                      <c:h val="0.11793916821849783"/>
                    </c:manualLayout>
                  </c15:layout>
                  <c15:showDataLabelsRange val="0"/>
                </c:ext>
                <c:ext xmlns:c16="http://schemas.microsoft.com/office/drawing/2014/chart" uri="{C3380CC4-5D6E-409C-BE32-E72D297353CC}">
                  <c16:uniqueId val="{00000000-1397-4353-BADC-47DD718487CC}"/>
                </c:ext>
              </c:extLst>
            </c:dLbl>
            <c:dLbl>
              <c:idx val="1"/>
              <c:layout>
                <c:manualLayout>
                  <c:x val="5.4421768707481992E-3"/>
                  <c:y val="-0.37814386330200345"/>
                </c:manualLayout>
              </c:layout>
              <c:tx>
                <c:rich>
                  <a:bodyPr/>
                  <a:lstStyle/>
                  <a:p>
                    <a:r>
                      <a:rPr lang="en-US"/>
                      <a:t>1.412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397-4353-BADC-47DD718487CC}"/>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numFmt formatCode="#,##0" sourceLinked="0"/>
              <c:spPr>
                <a:noFill/>
                <a:ln w="27949">
                  <a:noFill/>
                </a:ln>
              </c:spPr>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397-4353-BADC-47DD718487CC}"/>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numFmt formatCode="#,##0" sourceLinked="0"/>
              <c:spPr>
                <a:noFill/>
                <a:ln w="27949">
                  <a:noFill/>
                </a:ln>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397-4353-BADC-47DD718487CC}"/>
                </c:ext>
              </c:extLst>
            </c:dLbl>
            <c:numFmt formatCode="#,##0" sourceLinked="0"/>
            <c:spPr>
              <a:noFill/>
              <a:ln w="2794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2024</c:v>
                </c:pt>
                <c:pt idx="1">
                  <c:v>2025</c:v>
                </c:pt>
              </c:numCache>
            </c:numRef>
          </c:cat>
          <c:val>
            <c:numRef>
              <c:f>Sheet1!$B$2:$C$2</c:f>
              <c:numCache>
                <c:formatCode>General</c:formatCode>
                <c:ptCount val="2"/>
                <c:pt idx="0">
                  <c:v>1484</c:v>
                </c:pt>
                <c:pt idx="1">
                  <c:v>1412</c:v>
                </c:pt>
              </c:numCache>
            </c:numRef>
          </c:val>
          <c:extLst>
            <c:ext xmlns:c16="http://schemas.microsoft.com/office/drawing/2014/chart" uri="{C3380CC4-5D6E-409C-BE32-E72D297353CC}">
              <c16:uniqueId val="{00000004-1397-4353-BADC-47DD718487CC}"/>
            </c:ext>
          </c:extLst>
        </c:ser>
        <c:dLbls>
          <c:showLegendKey val="0"/>
          <c:showVal val="0"/>
          <c:showCatName val="0"/>
          <c:showSerName val="0"/>
          <c:showPercent val="0"/>
          <c:showBubbleSize val="0"/>
        </c:dLbls>
        <c:gapWidth val="100"/>
        <c:overlap val="100"/>
        <c:axId val="798584792"/>
        <c:axId val="798583480"/>
      </c:barChart>
      <c:catAx>
        <c:axId val="198224680"/>
        <c:scaling>
          <c:orientation val="minMax"/>
        </c:scaling>
        <c:delete val="0"/>
        <c:axPos val="b"/>
        <c:numFmt formatCode="General" sourceLinked="1"/>
        <c:majorTickMark val="out"/>
        <c:minorTickMark val="none"/>
        <c:tickLblPos val="nextTo"/>
        <c:spPr>
          <a:ln w="13974">
            <a:solidFill>
              <a:srgbClr val="021342"/>
            </a:solidFill>
            <a:prstDash val="solid"/>
          </a:ln>
        </c:spPr>
        <c:txPr>
          <a:bodyPr rot="0" vert="horz"/>
          <a:lstStyle/>
          <a:p>
            <a:pPr>
              <a:defRPr sz="1100" b="1" i="0" u="none" strike="noStrike" baseline="0">
                <a:ln>
                  <a:noFill/>
                </a:ln>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ax val="2000"/>
          <c:min val="0"/>
        </c:scaling>
        <c:delete val="1"/>
        <c:axPos val="r"/>
        <c:numFmt formatCode="General" sourceLinked="1"/>
        <c:majorTickMark val="out"/>
        <c:minorTickMark val="none"/>
        <c:tickLblPos val="nextTo"/>
        <c:crossAx val="198224680"/>
        <c:crosses val="max"/>
        <c:crossBetween val="between"/>
        <c:majorUnit val="50"/>
        <c:minorUnit val="50"/>
      </c:valAx>
      <c:valAx>
        <c:axId val="798583480"/>
        <c:scaling>
          <c:orientation val="minMax"/>
          <c:max val="400"/>
          <c:min val="0"/>
        </c:scaling>
        <c:delete val="1"/>
        <c:axPos val="l"/>
        <c:numFmt formatCode="General" sourceLinked="1"/>
        <c:majorTickMark val="out"/>
        <c:minorTickMark val="none"/>
        <c:tickLblPos val="nextTo"/>
        <c:crossAx val="798584792"/>
        <c:crosses val="autoZero"/>
        <c:crossBetween val="between"/>
        <c:majorUnit val="400"/>
      </c:valAx>
      <c:catAx>
        <c:axId val="798584792"/>
        <c:scaling>
          <c:orientation val="minMax"/>
        </c:scaling>
        <c:delete val="1"/>
        <c:axPos val="t"/>
        <c:numFmt formatCode="General" sourceLinked="1"/>
        <c:majorTickMark val="out"/>
        <c:minorTickMark val="none"/>
        <c:tickLblPos val="nextTo"/>
        <c:crossAx val="798583480"/>
        <c:crosses val="max"/>
        <c:auto val="1"/>
        <c:lblAlgn val="ctr"/>
        <c:lblOffset val="100"/>
        <c:noMultiLvlLbl val="0"/>
      </c:catAx>
      <c:spPr>
        <a:noFill/>
        <a:ln w="27949">
          <a:noFill/>
        </a:ln>
      </c:spPr>
    </c:plotArea>
    <c:plotVisOnly val="1"/>
    <c:dispBlanksAs val="gap"/>
    <c:showDLblsOverMax val="0"/>
  </c:chart>
  <c:spPr>
    <a:noFill/>
    <a:ln>
      <a:noFill/>
    </a:ln>
  </c:spPr>
  <c:txPr>
    <a:bodyPr/>
    <a:lstStyle/>
    <a:p>
      <a:pPr>
        <a:defRPr sz="495" b="1" i="0" u="none" strike="noStrike" baseline="0">
          <a:solidFill>
            <a:srgbClr val="000000"/>
          </a:solidFill>
          <a:latin typeface="Arial"/>
          <a:ea typeface="Arial"/>
          <a:cs typeface="Arial"/>
        </a:defRPr>
      </a:pPr>
      <a:endParaRPr lang="el-G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000000000000001E-2"/>
          <c:y val="0.11587508034709947"/>
          <c:w val="0.88307193308153553"/>
          <c:h val="0.69731138518399483"/>
        </c:manualLayout>
      </c:layout>
      <c:barChart>
        <c:barDir val="col"/>
        <c:grouping val="stacked"/>
        <c:varyColors val="0"/>
        <c:ser>
          <c:idx val="1"/>
          <c:order val="1"/>
          <c:tx>
            <c:strRef>
              <c:f>Sheet1!$A$3</c:f>
              <c:strCache>
                <c:ptCount val="1"/>
              </c:strCache>
            </c:strRef>
          </c:tx>
          <c:spPr>
            <a:solidFill>
              <a:srgbClr val="993366"/>
            </a:solidFill>
            <a:ln w="13939">
              <a:solidFill>
                <a:srgbClr val="000000"/>
              </a:solidFill>
              <a:prstDash val="solid"/>
            </a:ln>
          </c:spPr>
          <c:invertIfNegative val="0"/>
          <c:dPt>
            <c:idx val="4"/>
            <c:invertIfNegative val="0"/>
            <c:bubble3D val="0"/>
            <c:spPr>
              <a:solidFill>
                <a:srgbClr val="CCCCFF"/>
              </a:solidFill>
              <a:ln w="27879">
                <a:noFill/>
              </a:ln>
            </c:spPr>
            <c:extLst>
              <c:ext xmlns:c16="http://schemas.microsoft.com/office/drawing/2014/chart" uri="{C3380CC4-5D6E-409C-BE32-E72D297353CC}">
                <c16:uniqueId val="{00000006-7DB1-4FC1-A6C4-61B895F22B9E}"/>
              </c:ext>
            </c:extLst>
          </c:dPt>
          <c:cat>
            <c:numRef>
              <c:f>Sheet1!$B$1:$C$1</c:f>
              <c:numCache>
                <c:formatCode>General</c:formatCode>
                <c:ptCount val="2"/>
                <c:pt idx="0">
                  <c:v>2024</c:v>
                </c:pt>
                <c:pt idx="1">
                  <c:v>2025</c:v>
                </c:pt>
              </c:numCache>
            </c:numRef>
          </c:cat>
          <c:val>
            <c:numRef>
              <c:f>Sheet1!$B$3:$C$3</c:f>
              <c:numCache>
                <c:formatCode>General</c:formatCode>
                <c:ptCount val="2"/>
              </c:numCache>
            </c:numRef>
          </c:val>
          <c:extLst>
            <c:ext xmlns:c16="http://schemas.microsoft.com/office/drawing/2014/chart" uri="{C3380CC4-5D6E-409C-BE32-E72D297353CC}">
              <c16:uniqueId val="{00000007-7DB1-4FC1-A6C4-61B895F22B9E}"/>
            </c:ext>
          </c:extLst>
        </c:ser>
        <c:ser>
          <c:idx val="2"/>
          <c:order val="2"/>
          <c:tx>
            <c:strRef>
              <c:f>Sheet1!$A$4</c:f>
              <c:strCache>
                <c:ptCount val="1"/>
              </c:strCache>
            </c:strRef>
          </c:tx>
          <c:spPr>
            <a:solidFill>
              <a:srgbClr val="FFFFCC"/>
            </a:solidFill>
            <a:ln w="13939">
              <a:solidFill>
                <a:srgbClr val="000000"/>
              </a:solidFill>
              <a:prstDash val="solid"/>
            </a:ln>
          </c:spPr>
          <c:invertIfNegative val="0"/>
          <c:cat>
            <c:numRef>
              <c:f>Sheet1!$B$1:$C$1</c:f>
              <c:numCache>
                <c:formatCode>General</c:formatCode>
                <c:ptCount val="2"/>
                <c:pt idx="0">
                  <c:v>2024</c:v>
                </c:pt>
                <c:pt idx="1">
                  <c:v>2025</c:v>
                </c:pt>
              </c:numCache>
            </c:numRef>
          </c:cat>
          <c:val>
            <c:numRef>
              <c:f>Sheet1!$B$4:$C$4</c:f>
              <c:numCache>
                <c:formatCode>General</c:formatCode>
                <c:ptCount val="2"/>
              </c:numCache>
            </c:numRef>
          </c:val>
          <c:extLst>
            <c:ext xmlns:c16="http://schemas.microsoft.com/office/drawing/2014/chart" uri="{C3380CC4-5D6E-409C-BE32-E72D297353CC}">
              <c16:uniqueId val="{00000008-7DB1-4FC1-A6C4-61B895F22B9E}"/>
            </c:ext>
          </c:extLst>
        </c:ser>
        <c:ser>
          <c:idx val="3"/>
          <c:order val="3"/>
          <c:tx>
            <c:strRef>
              <c:f>Sheet1!$A$5</c:f>
              <c:strCache>
                <c:ptCount val="1"/>
              </c:strCache>
            </c:strRef>
          </c:tx>
          <c:spPr>
            <a:solidFill>
              <a:srgbClr val="CCFFFF"/>
            </a:solidFill>
            <a:ln w="13939">
              <a:solidFill>
                <a:srgbClr val="000000"/>
              </a:solidFill>
              <a:prstDash val="solid"/>
            </a:ln>
          </c:spPr>
          <c:invertIfNegative val="0"/>
          <c:cat>
            <c:numRef>
              <c:f>Sheet1!$B$1:$C$1</c:f>
              <c:numCache>
                <c:formatCode>General</c:formatCode>
                <c:ptCount val="2"/>
                <c:pt idx="0">
                  <c:v>2024</c:v>
                </c:pt>
                <c:pt idx="1">
                  <c:v>2025</c:v>
                </c:pt>
              </c:numCache>
            </c:numRef>
          </c:cat>
          <c:val>
            <c:numRef>
              <c:f>Sheet1!$B$5:$C$5</c:f>
              <c:numCache>
                <c:formatCode>General</c:formatCode>
                <c:ptCount val="2"/>
              </c:numCache>
            </c:numRef>
          </c:val>
          <c:extLst>
            <c:ext xmlns:c16="http://schemas.microsoft.com/office/drawing/2014/chart" uri="{C3380CC4-5D6E-409C-BE32-E72D297353CC}">
              <c16:uniqueId val="{00000009-7DB1-4FC1-A6C4-61B895F22B9E}"/>
            </c:ext>
          </c:extLst>
        </c:ser>
        <c:dLbls>
          <c:showLegendKey val="0"/>
          <c:showVal val="0"/>
          <c:showCatName val="0"/>
          <c:showSerName val="0"/>
          <c:showPercent val="0"/>
          <c:showBubbleSize val="0"/>
        </c:dLbls>
        <c:gapWidth val="100"/>
        <c:overlap val="100"/>
        <c:axId val="172631000"/>
        <c:axId val="1"/>
      </c:barChart>
      <c:barChart>
        <c:barDir val="col"/>
        <c:grouping val="stacked"/>
        <c:varyColors val="0"/>
        <c:ser>
          <c:idx val="0"/>
          <c:order val="0"/>
          <c:tx>
            <c:strRef>
              <c:f>Sheet1!$A$2</c:f>
              <c:strCache>
                <c:ptCount val="1"/>
                <c:pt idx="0">
                  <c:v>Οργανικά Λειτουργικά Κέρδη</c:v>
                </c:pt>
              </c:strCache>
            </c:strRef>
          </c:tx>
          <c:spPr>
            <a:solidFill>
              <a:srgbClr val="021342"/>
            </a:solidFill>
            <a:ln w="13939">
              <a:solidFill>
                <a:srgbClr val="FFFFFF"/>
              </a:solidFill>
              <a:prstDash val="solid"/>
            </a:ln>
          </c:spPr>
          <c:invertIfNegative val="0"/>
          <c:dLbls>
            <c:dLbl>
              <c:idx val="0"/>
              <c:layout>
                <c:manualLayout>
                  <c:x val="-7.9285482268648714E-4"/>
                  <c:y val="-0.3477206532219187"/>
                </c:manualLayout>
              </c:layout>
              <c:tx>
                <c:rich>
                  <a:bodyPr/>
                  <a:lstStyle/>
                  <a:p>
                    <a:pPr>
                      <a:defRPr sz="1100" b="1" i="0" u="none" strike="noStrike" baseline="0">
                        <a:solidFill>
                          <a:srgbClr val="021342"/>
                        </a:solidFill>
                        <a:latin typeface="Eurobank Sans" panose="02000503000000020004" pitchFamily="2" charset="0"/>
                        <a:ea typeface="Arial"/>
                        <a:cs typeface="Arial"/>
                      </a:defRPr>
                    </a:pPr>
                    <a:r>
                      <a:rPr lang="en-US"/>
                      <a:t>1.782</a:t>
                    </a:r>
                  </a:p>
                </c:rich>
              </c:tx>
              <c:numFmt formatCode="#,##0" sourceLinked="0"/>
              <c:spPr>
                <a:noFill/>
                <a:ln w="27879">
                  <a:noFill/>
                </a:ln>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DB1-4FC1-A6C4-61B895F22B9E}"/>
                </c:ext>
              </c:extLst>
            </c:dLbl>
            <c:dLbl>
              <c:idx val="1"/>
              <c:layout>
                <c:manualLayout>
                  <c:x val="-1.1040723605870997E-16"/>
                  <c:y val="-0.37554083641330549"/>
                </c:manualLayout>
              </c:layout>
              <c:tx>
                <c:rich>
                  <a:bodyPr wrap="square" lIns="38100" tIns="19050" rIns="38100" bIns="19050" anchor="ctr">
                    <a:noAutofit/>
                  </a:bodyPr>
                  <a:lstStyle/>
                  <a:p>
                    <a:pPr>
                      <a:defRPr sz="1100" b="1" i="0" u="none" strike="noStrike" baseline="0">
                        <a:solidFill>
                          <a:srgbClr val="021342"/>
                        </a:solidFill>
                        <a:latin typeface="Eurobank Sans" panose="02000503000000020004" pitchFamily="2" charset="0"/>
                        <a:ea typeface="Arial"/>
                        <a:cs typeface="Arial"/>
                      </a:defRPr>
                    </a:pPr>
                    <a:r>
                      <a:rPr lang="en-US"/>
                      <a:t>1.753</a:t>
                    </a:r>
                  </a:p>
                </c:rich>
              </c:tx>
              <c:numFmt formatCode="#,##0" sourceLinked="0"/>
              <c:spPr>
                <a:noFill/>
                <a:ln w="27879">
                  <a:noFill/>
                </a:ln>
              </c:spPr>
              <c:dLblPos val="ctr"/>
              <c:showLegendKey val="0"/>
              <c:showVal val="1"/>
              <c:showCatName val="0"/>
              <c:showSerName val="0"/>
              <c:showPercent val="0"/>
              <c:showBubbleSize val="0"/>
              <c:extLst>
                <c:ext xmlns:c15="http://schemas.microsoft.com/office/drawing/2012/chart" uri="{CE6537A1-D6FC-4f65-9D91-7224C49458BB}">
                  <c15:layout>
                    <c:manualLayout>
                      <c:w val="0.20442661469484336"/>
                      <c:h val="0.10841836734693877"/>
                    </c:manualLayout>
                  </c15:layout>
                  <c15:showDataLabelsRange val="0"/>
                </c:ext>
                <c:ext xmlns:c16="http://schemas.microsoft.com/office/drawing/2014/chart" uri="{C3380CC4-5D6E-409C-BE32-E72D297353CC}">
                  <c16:uniqueId val="{00000001-7DB1-4FC1-A6C4-61B895F22B9E}"/>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numFmt formatCode="#,##0" sourceLinked="0"/>
              <c:spPr>
                <a:noFill/>
                <a:ln w="27879">
                  <a:noFill/>
                </a:ln>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DB1-4FC1-A6C4-61B895F22B9E}"/>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numFmt formatCode="#,##0" sourceLinked="0"/>
              <c:spPr>
                <a:noFill/>
                <a:ln w="27879">
                  <a:noFill/>
                </a:ln>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DB1-4FC1-A6C4-61B895F22B9E}"/>
                </c:ext>
              </c:extLst>
            </c:dLbl>
            <c:numFmt formatCode="#,##0" sourceLinked="0"/>
            <c:spPr>
              <a:noFill/>
              <a:ln w="2787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2024</c:v>
                </c:pt>
                <c:pt idx="1">
                  <c:v>2025</c:v>
                </c:pt>
              </c:numCache>
            </c:numRef>
          </c:cat>
          <c:val>
            <c:numRef>
              <c:f>Sheet1!$B$2:$C$2</c:f>
              <c:numCache>
                <c:formatCode>General</c:formatCode>
                <c:ptCount val="2"/>
                <c:pt idx="0">
                  <c:v>1782</c:v>
                </c:pt>
                <c:pt idx="1">
                  <c:v>1753</c:v>
                </c:pt>
              </c:numCache>
            </c:numRef>
          </c:val>
          <c:extLst>
            <c:ext xmlns:c16="http://schemas.microsoft.com/office/drawing/2014/chart" uri="{C3380CC4-5D6E-409C-BE32-E72D297353CC}">
              <c16:uniqueId val="{00000004-7DB1-4FC1-A6C4-61B895F22B9E}"/>
            </c:ext>
          </c:extLst>
        </c:ser>
        <c:dLbls>
          <c:showLegendKey val="0"/>
          <c:showVal val="0"/>
          <c:showCatName val="0"/>
          <c:showSerName val="0"/>
          <c:showPercent val="0"/>
          <c:showBubbleSize val="0"/>
        </c:dLbls>
        <c:gapWidth val="100"/>
        <c:overlap val="100"/>
        <c:axId val="537183848"/>
        <c:axId val="537186800"/>
      </c:barChart>
      <c:catAx>
        <c:axId val="172631000"/>
        <c:scaling>
          <c:orientation val="minMax"/>
        </c:scaling>
        <c:delete val="0"/>
        <c:axPos val="b"/>
        <c:numFmt formatCode="General" sourceLinked="1"/>
        <c:majorTickMark val="out"/>
        <c:minorTickMark val="none"/>
        <c:tickLblPos val="nextTo"/>
        <c:spPr>
          <a:ln w="13939">
            <a:solidFill>
              <a:srgbClr val="021342"/>
            </a:solidFill>
            <a:prstDash val="solid"/>
          </a:ln>
        </c:spPr>
        <c:txPr>
          <a:bodyPr rot="0" vert="horz"/>
          <a:lstStyle/>
          <a:p>
            <a:pPr>
              <a:defRPr sz="1100" b="1" i="0" u="none" strike="noStrike" baseline="0">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ax val="2000"/>
          <c:min val="0"/>
        </c:scaling>
        <c:delete val="1"/>
        <c:axPos val="l"/>
        <c:numFmt formatCode="General" sourceLinked="1"/>
        <c:majorTickMark val="out"/>
        <c:minorTickMark val="none"/>
        <c:tickLblPos val="nextTo"/>
        <c:crossAx val="172631000"/>
        <c:crosses val="autoZero"/>
        <c:crossBetween val="between"/>
        <c:majorUnit val="50"/>
        <c:minorUnit val="50"/>
      </c:valAx>
      <c:valAx>
        <c:axId val="537186800"/>
        <c:scaling>
          <c:orientation val="minMax"/>
          <c:max val="900"/>
        </c:scaling>
        <c:delete val="1"/>
        <c:axPos val="r"/>
        <c:numFmt formatCode="General" sourceLinked="1"/>
        <c:majorTickMark val="out"/>
        <c:minorTickMark val="none"/>
        <c:tickLblPos val="nextTo"/>
        <c:crossAx val="537183848"/>
        <c:crosses val="max"/>
        <c:crossBetween val="between"/>
      </c:valAx>
      <c:catAx>
        <c:axId val="537183848"/>
        <c:scaling>
          <c:orientation val="minMax"/>
        </c:scaling>
        <c:delete val="1"/>
        <c:axPos val="t"/>
        <c:numFmt formatCode="General" sourceLinked="1"/>
        <c:majorTickMark val="out"/>
        <c:minorTickMark val="none"/>
        <c:tickLblPos val="nextTo"/>
        <c:crossAx val="537186800"/>
        <c:crosses val="max"/>
        <c:auto val="1"/>
        <c:lblAlgn val="ctr"/>
        <c:lblOffset val="100"/>
        <c:noMultiLvlLbl val="0"/>
      </c:catAx>
      <c:spPr>
        <a:noFill/>
        <a:ln w="27879">
          <a:noFill/>
        </a:ln>
      </c:spPr>
    </c:plotArea>
    <c:plotVisOnly val="1"/>
    <c:dispBlanksAs val="gap"/>
    <c:showDLblsOverMax val="0"/>
  </c:chart>
  <c:spPr>
    <a:noFill/>
    <a:ln>
      <a:noFill/>
    </a:ln>
  </c:spPr>
  <c:txPr>
    <a:bodyPr/>
    <a:lstStyle/>
    <a:p>
      <a:pPr>
        <a:defRPr sz="494" b="1" i="0" u="none" strike="noStrike" baseline="0">
          <a:solidFill>
            <a:srgbClr val="000000"/>
          </a:solidFill>
          <a:latin typeface="Arial"/>
          <a:ea typeface="Arial"/>
          <a:cs typeface="Arial"/>
        </a:defRPr>
      </a:pPr>
      <a:endParaRPr lang="el-G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8071961544905082E-2"/>
          <c:y val="0.10946644729110354"/>
          <c:w val="0.9375"/>
          <c:h val="0.77472527472527475"/>
        </c:manualLayout>
      </c:layout>
      <c:barChart>
        <c:barDir val="col"/>
        <c:grouping val="stacked"/>
        <c:varyColors val="0"/>
        <c:ser>
          <c:idx val="0"/>
          <c:order val="0"/>
          <c:tx>
            <c:strRef>
              <c:f>Sheet1!$A$2</c:f>
              <c:strCache>
                <c:ptCount val="1"/>
                <c:pt idx="0">
                  <c:v>Δείκτης ΝΡΕ</c:v>
                </c:pt>
              </c:strCache>
            </c:strRef>
          </c:tx>
          <c:spPr>
            <a:solidFill>
              <a:srgbClr val="021342"/>
            </a:solidFill>
            <a:ln w="13959">
              <a:solidFill>
                <a:srgbClr val="FFFFFF"/>
              </a:solidFill>
              <a:prstDash val="solid"/>
            </a:ln>
          </c:spPr>
          <c:invertIfNegative val="0"/>
          <c:dLbls>
            <c:dLbl>
              <c:idx val="0"/>
              <c:layout>
                <c:manualLayout>
                  <c:x val="2.1078993603704361E-3"/>
                  <c:y val="-0.33488512163591494"/>
                </c:manualLayout>
              </c:layout>
              <c:tx>
                <c:rich>
                  <a:bodyPr/>
                  <a:lstStyle/>
                  <a:p>
                    <a:pPr>
                      <a:defRPr sz="1100" b="1" i="0" u="none" strike="noStrike" baseline="0">
                        <a:solidFill>
                          <a:srgbClr val="021342"/>
                        </a:solidFill>
                        <a:latin typeface="Eurobank Sans" panose="02000503000000020004" pitchFamily="2" charset="0"/>
                        <a:ea typeface="Arial"/>
                        <a:cs typeface="Arial"/>
                      </a:defRPr>
                    </a:pPr>
                    <a:r>
                      <a:rPr lang="en-US"/>
                      <a:t>2,9</a:t>
                    </a:r>
                  </a:p>
                </c:rich>
              </c:tx>
              <c:numFmt formatCode="0.0" sourceLinked="0"/>
              <c:spPr>
                <a:noFill/>
                <a:ln w="27919">
                  <a:noFill/>
                </a:ln>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5D3-4034-99EA-8CC55ED2FB29}"/>
                </c:ext>
              </c:extLst>
            </c:dLbl>
            <c:dLbl>
              <c:idx val="1"/>
              <c:layout>
                <c:manualLayout>
                  <c:x val="-5.4555373704309879E-3"/>
                  <c:y val="-0.3214023387001998"/>
                </c:manualLayout>
              </c:layout>
              <c:tx>
                <c:rich>
                  <a:bodyPr/>
                  <a:lstStyle/>
                  <a:p>
                    <a:r>
                      <a:rPr lang="en-US"/>
                      <a:t>2,6</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5D3-4034-99EA-8CC55ED2FB29}"/>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numFmt formatCode="0.0" sourceLinked="0"/>
              <c:spPr>
                <a:noFill/>
                <a:ln w="27919">
                  <a:noFill/>
                </a:ln>
              </c:spPr>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5D3-4034-99EA-8CC55ED2FB29}"/>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numFmt formatCode="0.0" sourceLinked="0"/>
              <c:spPr>
                <a:noFill/>
                <a:ln w="27919">
                  <a:noFill/>
                </a:ln>
              </c:spPr>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5D3-4034-99EA-8CC55ED2FB29}"/>
                </c:ext>
              </c:extLst>
            </c:dLbl>
            <c:numFmt formatCode="0.0" sourceLinked="0"/>
            <c:spPr>
              <a:noFill/>
              <a:ln w="2791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2024</c:v>
                </c:pt>
                <c:pt idx="1">
                  <c:v>2025</c:v>
                </c:pt>
              </c:numCache>
            </c:numRef>
          </c:cat>
          <c:val>
            <c:numRef>
              <c:f>Sheet1!$B$2:$C$2</c:f>
              <c:numCache>
                <c:formatCode>General</c:formatCode>
                <c:ptCount val="2"/>
                <c:pt idx="0">
                  <c:v>2.9</c:v>
                </c:pt>
                <c:pt idx="1">
                  <c:v>2.8</c:v>
                </c:pt>
              </c:numCache>
            </c:numRef>
          </c:val>
          <c:extLst>
            <c:ext xmlns:c16="http://schemas.microsoft.com/office/drawing/2014/chart" uri="{C3380CC4-5D6E-409C-BE32-E72D297353CC}">
              <c16:uniqueId val="{00000004-05D3-4034-99EA-8CC55ED2FB29}"/>
            </c:ext>
          </c:extLst>
        </c:ser>
        <c:ser>
          <c:idx val="1"/>
          <c:order val="1"/>
          <c:tx>
            <c:strRef>
              <c:f>Sheet1!$A$3</c:f>
              <c:strCache>
                <c:ptCount val="1"/>
              </c:strCache>
            </c:strRef>
          </c:tx>
          <c:spPr>
            <a:solidFill>
              <a:srgbClr val="993366"/>
            </a:solidFill>
            <a:ln w="13959">
              <a:solidFill>
                <a:srgbClr val="000000"/>
              </a:solidFill>
              <a:prstDash val="solid"/>
            </a:ln>
          </c:spPr>
          <c:invertIfNegative val="0"/>
          <c:dPt>
            <c:idx val="4"/>
            <c:invertIfNegative val="0"/>
            <c:bubble3D val="0"/>
            <c:spPr>
              <a:solidFill>
                <a:srgbClr val="CCCCFF"/>
              </a:solidFill>
              <a:ln w="27919">
                <a:noFill/>
              </a:ln>
            </c:spPr>
            <c:extLst>
              <c:ext xmlns:c16="http://schemas.microsoft.com/office/drawing/2014/chart" uri="{C3380CC4-5D6E-409C-BE32-E72D297353CC}">
                <c16:uniqueId val="{00000006-05D3-4034-99EA-8CC55ED2FB29}"/>
              </c:ext>
            </c:extLst>
          </c:dPt>
          <c:cat>
            <c:numRef>
              <c:f>Sheet1!$B$1:$C$1</c:f>
              <c:numCache>
                <c:formatCode>General</c:formatCode>
                <c:ptCount val="2"/>
                <c:pt idx="0">
                  <c:v>2024</c:v>
                </c:pt>
                <c:pt idx="1">
                  <c:v>2025</c:v>
                </c:pt>
              </c:numCache>
            </c:numRef>
          </c:cat>
          <c:val>
            <c:numRef>
              <c:f>Sheet1!$B$3:$C$3</c:f>
              <c:numCache>
                <c:formatCode>General</c:formatCode>
                <c:ptCount val="2"/>
              </c:numCache>
            </c:numRef>
          </c:val>
          <c:extLst>
            <c:ext xmlns:c16="http://schemas.microsoft.com/office/drawing/2014/chart" uri="{C3380CC4-5D6E-409C-BE32-E72D297353CC}">
              <c16:uniqueId val="{00000007-05D3-4034-99EA-8CC55ED2FB29}"/>
            </c:ext>
          </c:extLst>
        </c:ser>
        <c:ser>
          <c:idx val="2"/>
          <c:order val="2"/>
          <c:tx>
            <c:strRef>
              <c:f>Sheet1!$A$4</c:f>
              <c:strCache>
                <c:ptCount val="1"/>
              </c:strCache>
            </c:strRef>
          </c:tx>
          <c:spPr>
            <a:solidFill>
              <a:srgbClr val="FFFFCC"/>
            </a:solidFill>
            <a:ln w="13959">
              <a:solidFill>
                <a:srgbClr val="000000"/>
              </a:solidFill>
              <a:prstDash val="solid"/>
            </a:ln>
          </c:spPr>
          <c:invertIfNegative val="0"/>
          <c:cat>
            <c:numRef>
              <c:f>Sheet1!$B$1:$C$1</c:f>
              <c:numCache>
                <c:formatCode>General</c:formatCode>
                <c:ptCount val="2"/>
                <c:pt idx="0">
                  <c:v>2024</c:v>
                </c:pt>
                <c:pt idx="1">
                  <c:v>2025</c:v>
                </c:pt>
              </c:numCache>
            </c:numRef>
          </c:cat>
          <c:val>
            <c:numRef>
              <c:f>Sheet1!$B$4:$C$4</c:f>
              <c:numCache>
                <c:formatCode>General</c:formatCode>
                <c:ptCount val="2"/>
              </c:numCache>
            </c:numRef>
          </c:val>
          <c:extLst>
            <c:ext xmlns:c16="http://schemas.microsoft.com/office/drawing/2014/chart" uri="{C3380CC4-5D6E-409C-BE32-E72D297353CC}">
              <c16:uniqueId val="{00000008-05D3-4034-99EA-8CC55ED2FB29}"/>
            </c:ext>
          </c:extLst>
        </c:ser>
        <c:ser>
          <c:idx val="3"/>
          <c:order val="3"/>
          <c:tx>
            <c:strRef>
              <c:f>Sheet1!$A$5</c:f>
              <c:strCache>
                <c:ptCount val="1"/>
              </c:strCache>
            </c:strRef>
          </c:tx>
          <c:spPr>
            <a:solidFill>
              <a:srgbClr val="CCFFFF"/>
            </a:solidFill>
            <a:ln w="13959">
              <a:solidFill>
                <a:srgbClr val="000000"/>
              </a:solidFill>
              <a:prstDash val="solid"/>
            </a:ln>
          </c:spPr>
          <c:invertIfNegative val="0"/>
          <c:cat>
            <c:numRef>
              <c:f>Sheet1!$B$1:$C$1</c:f>
              <c:numCache>
                <c:formatCode>General</c:formatCode>
                <c:ptCount val="2"/>
                <c:pt idx="0">
                  <c:v>2024</c:v>
                </c:pt>
                <c:pt idx="1">
                  <c:v>2025</c:v>
                </c:pt>
              </c:numCache>
            </c:numRef>
          </c:cat>
          <c:val>
            <c:numRef>
              <c:f>Sheet1!$B$5:$C$5</c:f>
              <c:numCache>
                <c:formatCode>General</c:formatCode>
                <c:ptCount val="2"/>
              </c:numCache>
            </c:numRef>
          </c:val>
          <c:extLst>
            <c:ext xmlns:c16="http://schemas.microsoft.com/office/drawing/2014/chart" uri="{C3380CC4-5D6E-409C-BE32-E72D297353CC}">
              <c16:uniqueId val="{00000009-05D3-4034-99EA-8CC55ED2FB29}"/>
            </c:ext>
          </c:extLst>
        </c:ser>
        <c:dLbls>
          <c:showLegendKey val="0"/>
          <c:showVal val="0"/>
          <c:showCatName val="0"/>
          <c:showSerName val="0"/>
          <c:showPercent val="0"/>
          <c:showBubbleSize val="0"/>
        </c:dLbls>
        <c:gapWidth val="110"/>
        <c:overlap val="100"/>
        <c:axId val="198311128"/>
        <c:axId val="1"/>
      </c:barChart>
      <c:catAx>
        <c:axId val="198311128"/>
        <c:scaling>
          <c:orientation val="minMax"/>
        </c:scaling>
        <c:delete val="0"/>
        <c:axPos val="b"/>
        <c:numFmt formatCode="General" sourceLinked="1"/>
        <c:majorTickMark val="out"/>
        <c:minorTickMark val="none"/>
        <c:tickLblPos val="nextTo"/>
        <c:spPr>
          <a:ln w="13959">
            <a:solidFill>
              <a:srgbClr val="021342"/>
            </a:solidFill>
            <a:prstDash val="solid"/>
          </a:ln>
        </c:spPr>
        <c:txPr>
          <a:bodyPr rot="0" vert="horz"/>
          <a:lstStyle/>
          <a:p>
            <a:pPr>
              <a:defRPr sz="1100" b="1" i="0" u="none" strike="noStrike" baseline="0">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ax val="4"/>
          <c:min val="0"/>
        </c:scaling>
        <c:delete val="1"/>
        <c:axPos val="l"/>
        <c:numFmt formatCode="General" sourceLinked="1"/>
        <c:majorTickMark val="out"/>
        <c:minorTickMark val="none"/>
        <c:tickLblPos val="nextTo"/>
        <c:crossAx val="198311128"/>
        <c:crosses val="autoZero"/>
        <c:crossBetween val="between"/>
        <c:majorUnit val="10"/>
        <c:minorUnit val="10"/>
      </c:valAx>
      <c:spPr>
        <a:noFill/>
        <a:ln w="27919">
          <a:noFill/>
        </a:ln>
      </c:spPr>
    </c:plotArea>
    <c:plotVisOnly val="1"/>
    <c:dispBlanksAs val="gap"/>
    <c:showDLblsOverMax val="0"/>
  </c:chart>
  <c:spPr>
    <a:noFill/>
    <a:ln>
      <a:noFill/>
    </a:ln>
  </c:spPr>
  <c:txPr>
    <a:bodyPr/>
    <a:lstStyle/>
    <a:p>
      <a:pPr>
        <a:defRPr sz="495" b="1" i="0" u="none" strike="noStrike" baseline="0">
          <a:solidFill>
            <a:srgbClr val="000000"/>
          </a:solidFill>
          <a:latin typeface="Arial"/>
          <a:ea typeface="Arial"/>
          <a:cs typeface="Arial"/>
        </a:defRPr>
      </a:pPr>
      <a:endParaRPr lang="el-G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097290804751101E-2"/>
          <c:y val="5.9877335139285656E-2"/>
          <c:w val="0.9375"/>
          <c:h val="0.77472527472527475"/>
        </c:manualLayout>
      </c:layout>
      <c:barChart>
        <c:barDir val="col"/>
        <c:grouping val="stacked"/>
        <c:varyColors val="0"/>
        <c:ser>
          <c:idx val="0"/>
          <c:order val="0"/>
          <c:tx>
            <c:strRef>
              <c:f>Sheet1!$A$2</c:f>
              <c:strCache>
                <c:ptCount val="1"/>
                <c:pt idx="0">
                  <c:v>Δείκτης Κάλυψης ΝΠΕ</c:v>
                </c:pt>
              </c:strCache>
            </c:strRef>
          </c:tx>
          <c:spPr>
            <a:solidFill>
              <a:srgbClr val="021342"/>
            </a:solidFill>
            <a:ln w="13949">
              <a:solidFill>
                <a:srgbClr val="FFFFFF"/>
              </a:solidFill>
              <a:prstDash val="solid"/>
            </a:ln>
          </c:spPr>
          <c:invertIfNegative val="0"/>
          <c:dLbls>
            <c:dLbl>
              <c:idx val="0"/>
              <c:layout>
                <c:manualLayout>
                  <c:x val="8.6053650073401843E-3"/>
                  <c:y val="-0.37255016048493633"/>
                </c:manualLayout>
              </c:layout>
              <c:tx>
                <c:rich>
                  <a:bodyPr/>
                  <a:lstStyle/>
                  <a:p>
                    <a:pPr>
                      <a:defRPr sz="1100" b="1" i="0" u="none" strike="noStrike" baseline="0">
                        <a:solidFill>
                          <a:srgbClr val="021342"/>
                        </a:solidFill>
                        <a:latin typeface="Eurobank Sans" panose="02000503000000020004" pitchFamily="2" charset="0"/>
                        <a:ea typeface="Arial"/>
                        <a:cs typeface="Arial"/>
                      </a:defRPr>
                    </a:pPr>
                    <a:r>
                      <a:rPr lang="en-US"/>
                      <a:t>88,4</a:t>
                    </a:r>
                  </a:p>
                </c:rich>
              </c:tx>
              <c:numFmt formatCode="0.0" sourceLinked="0"/>
              <c:spPr>
                <a:noFill/>
                <a:ln w="27899">
                  <a:noFill/>
                </a:ln>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E53-40FA-9694-96D80789D2B8}"/>
                </c:ext>
              </c:extLst>
            </c:dLbl>
            <c:dLbl>
              <c:idx val="1"/>
              <c:layout>
                <c:manualLayout>
                  <c:x val="-1.1299435028248588E-2"/>
                  <c:y val="-0.38377313677704278"/>
                </c:manualLayout>
              </c:layout>
              <c:tx>
                <c:rich>
                  <a:bodyPr/>
                  <a:lstStyle/>
                  <a:p>
                    <a:r>
                      <a:rPr lang="en-US"/>
                      <a:t>95,2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E53-40FA-9694-96D80789D2B8}"/>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numFmt formatCode="0.0" sourceLinked="0"/>
              <c:spPr>
                <a:noFill/>
                <a:ln w="27899">
                  <a:noFill/>
                </a:ln>
              </c:spPr>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E53-40FA-9694-96D80789D2B8}"/>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numFmt formatCode="0.0" sourceLinked="0"/>
              <c:spPr>
                <a:noFill/>
                <a:ln w="27899">
                  <a:noFill/>
                </a:ln>
              </c:spPr>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E53-40FA-9694-96D80789D2B8}"/>
                </c:ext>
              </c:extLst>
            </c:dLbl>
            <c:numFmt formatCode="0.0" sourceLinked="0"/>
            <c:spPr>
              <a:noFill/>
              <a:ln w="2789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2024</c:v>
                </c:pt>
                <c:pt idx="1">
                  <c:v>2025</c:v>
                </c:pt>
              </c:numCache>
            </c:numRef>
          </c:cat>
          <c:val>
            <c:numRef>
              <c:f>Sheet1!$B$2:$C$2</c:f>
              <c:numCache>
                <c:formatCode>General</c:formatCode>
                <c:ptCount val="2"/>
                <c:pt idx="0">
                  <c:v>88.4</c:v>
                </c:pt>
                <c:pt idx="1">
                  <c:v>95.2</c:v>
                </c:pt>
              </c:numCache>
            </c:numRef>
          </c:val>
          <c:extLst>
            <c:ext xmlns:c16="http://schemas.microsoft.com/office/drawing/2014/chart" uri="{C3380CC4-5D6E-409C-BE32-E72D297353CC}">
              <c16:uniqueId val="{00000004-3E53-40FA-9694-96D80789D2B8}"/>
            </c:ext>
          </c:extLst>
        </c:ser>
        <c:ser>
          <c:idx val="1"/>
          <c:order val="1"/>
          <c:tx>
            <c:strRef>
              <c:f>Sheet1!$A$3</c:f>
              <c:strCache>
                <c:ptCount val="1"/>
              </c:strCache>
            </c:strRef>
          </c:tx>
          <c:spPr>
            <a:solidFill>
              <a:srgbClr val="993366"/>
            </a:solidFill>
            <a:ln w="13949">
              <a:solidFill>
                <a:srgbClr val="000000"/>
              </a:solidFill>
              <a:prstDash val="solid"/>
            </a:ln>
          </c:spPr>
          <c:invertIfNegative val="0"/>
          <c:dPt>
            <c:idx val="4"/>
            <c:invertIfNegative val="0"/>
            <c:bubble3D val="0"/>
            <c:spPr>
              <a:solidFill>
                <a:srgbClr val="CCCCFF"/>
              </a:solidFill>
              <a:ln w="27899">
                <a:noFill/>
              </a:ln>
            </c:spPr>
            <c:extLst>
              <c:ext xmlns:c16="http://schemas.microsoft.com/office/drawing/2014/chart" uri="{C3380CC4-5D6E-409C-BE32-E72D297353CC}">
                <c16:uniqueId val="{00000006-3E53-40FA-9694-96D80789D2B8}"/>
              </c:ext>
            </c:extLst>
          </c:dPt>
          <c:cat>
            <c:numRef>
              <c:f>Sheet1!$B$1:$C$1</c:f>
              <c:numCache>
                <c:formatCode>General</c:formatCode>
                <c:ptCount val="2"/>
                <c:pt idx="0">
                  <c:v>2024</c:v>
                </c:pt>
                <c:pt idx="1">
                  <c:v>2025</c:v>
                </c:pt>
              </c:numCache>
            </c:numRef>
          </c:cat>
          <c:val>
            <c:numRef>
              <c:f>Sheet1!$B$3:$C$3</c:f>
              <c:numCache>
                <c:formatCode>General</c:formatCode>
                <c:ptCount val="2"/>
              </c:numCache>
            </c:numRef>
          </c:val>
          <c:extLst>
            <c:ext xmlns:c16="http://schemas.microsoft.com/office/drawing/2014/chart" uri="{C3380CC4-5D6E-409C-BE32-E72D297353CC}">
              <c16:uniqueId val="{00000007-3E53-40FA-9694-96D80789D2B8}"/>
            </c:ext>
          </c:extLst>
        </c:ser>
        <c:ser>
          <c:idx val="2"/>
          <c:order val="2"/>
          <c:tx>
            <c:strRef>
              <c:f>Sheet1!$A$4</c:f>
              <c:strCache>
                <c:ptCount val="1"/>
              </c:strCache>
            </c:strRef>
          </c:tx>
          <c:spPr>
            <a:solidFill>
              <a:srgbClr val="FFFFCC"/>
            </a:solidFill>
            <a:ln w="13949">
              <a:solidFill>
                <a:srgbClr val="000000"/>
              </a:solidFill>
              <a:prstDash val="solid"/>
            </a:ln>
          </c:spPr>
          <c:invertIfNegative val="0"/>
          <c:cat>
            <c:numRef>
              <c:f>Sheet1!$B$1:$C$1</c:f>
              <c:numCache>
                <c:formatCode>General</c:formatCode>
                <c:ptCount val="2"/>
                <c:pt idx="0">
                  <c:v>2024</c:v>
                </c:pt>
                <c:pt idx="1">
                  <c:v>2025</c:v>
                </c:pt>
              </c:numCache>
            </c:numRef>
          </c:cat>
          <c:val>
            <c:numRef>
              <c:f>Sheet1!$B$4:$C$4</c:f>
              <c:numCache>
                <c:formatCode>General</c:formatCode>
                <c:ptCount val="2"/>
              </c:numCache>
            </c:numRef>
          </c:val>
          <c:extLst>
            <c:ext xmlns:c16="http://schemas.microsoft.com/office/drawing/2014/chart" uri="{C3380CC4-5D6E-409C-BE32-E72D297353CC}">
              <c16:uniqueId val="{00000008-3E53-40FA-9694-96D80789D2B8}"/>
            </c:ext>
          </c:extLst>
        </c:ser>
        <c:ser>
          <c:idx val="3"/>
          <c:order val="3"/>
          <c:tx>
            <c:strRef>
              <c:f>Sheet1!$A$5</c:f>
              <c:strCache>
                <c:ptCount val="1"/>
              </c:strCache>
            </c:strRef>
          </c:tx>
          <c:spPr>
            <a:solidFill>
              <a:srgbClr val="CCFFFF"/>
            </a:solidFill>
            <a:ln w="13949">
              <a:solidFill>
                <a:srgbClr val="000000"/>
              </a:solidFill>
              <a:prstDash val="solid"/>
            </a:ln>
          </c:spPr>
          <c:invertIfNegative val="0"/>
          <c:cat>
            <c:numRef>
              <c:f>Sheet1!$B$1:$C$1</c:f>
              <c:numCache>
                <c:formatCode>General</c:formatCode>
                <c:ptCount val="2"/>
                <c:pt idx="0">
                  <c:v>2024</c:v>
                </c:pt>
                <c:pt idx="1">
                  <c:v>2025</c:v>
                </c:pt>
              </c:numCache>
            </c:numRef>
          </c:cat>
          <c:val>
            <c:numRef>
              <c:f>Sheet1!$B$5:$C$5</c:f>
              <c:numCache>
                <c:formatCode>General</c:formatCode>
                <c:ptCount val="2"/>
              </c:numCache>
            </c:numRef>
          </c:val>
          <c:extLst>
            <c:ext xmlns:c16="http://schemas.microsoft.com/office/drawing/2014/chart" uri="{C3380CC4-5D6E-409C-BE32-E72D297353CC}">
              <c16:uniqueId val="{00000009-3E53-40FA-9694-96D80789D2B8}"/>
            </c:ext>
          </c:extLst>
        </c:ser>
        <c:dLbls>
          <c:showLegendKey val="0"/>
          <c:showVal val="0"/>
          <c:showCatName val="0"/>
          <c:showSerName val="0"/>
          <c:showPercent val="0"/>
          <c:showBubbleSize val="0"/>
        </c:dLbls>
        <c:gapWidth val="110"/>
        <c:overlap val="100"/>
        <c:axId val="198317992"/>
        <c:axId val="1"/>
      </c:barChart>
      <c:catAx>
        <c:axId val="198317992"/>
        <c:scaling>
          <c:orientation val="minMax"/>
        </c:scaling>
        <c:delete val="0"/>
        <c:axPos val="b"/>
        <c:numFmt formatCode="General" sourceLinked="1"/>
        <c:majorTickMark val="out"/>
        <c:minorTickMark val="none"/>
        <c:tickLblPos val="nextTo"/>
        <c:spPr>
          <a:ln w="13949">
            <a:solidFill>
              <a:srgbClr val="021342"/>
            </a:solidFill>
            <a:prstDash val="solid"/>
          </a:ln>
        </c:spPr>
        <c:txPr>
          <a:bodyPr rot="0" vert="horz"/>
          <a:lstStyle/>
          <a:p>
            <a:pPr>
              <a:defRPr sz="1100" b="1" i="0" u="none" strike="noStrike" baseline="0">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ax val="110"/>
          <c:min val="10"/>
        </c:scaling>
        <c:delete val="1"/>
        <c:axPos val="l"/>
        <c:numFmt formatCode="General" sourceLinked="1"/>
        <c:majorTickMark val="out"/>
        <c:minorTickMark val="none"/>
        <c:tickLblPos val="nextTo"/>
        <c:crossAx val="198317992"/>
        <c:crosses val="autoZero"/>
        <c:crossBetween val="between"/>
        <c:majorUnit val="10"/>
        <c:minorUnit val="10"/>
      </c:valAx>
      <c:spPr>
        <a:noFill/>
        <a:ln w="27899">
          <a:noFill/>
        </a:ln>
      </c:spPr>
    </c:plotArea>
    <c:plotVisOnly val="1"/>
    <c:dispBlanksAs val="gap"/>
    <c:showDLblsOverMax val="0"/>
  </c:chart>
  <c:spPr>
    <a:noFill/>
    <a:ln>
      <a:noFill/>
    </a:ln>
  </c:spPr>
  <c:txPr>
    <a:bodyPr/>
    <a:lstStyle/>
    <a:p>
      <a:pPr>
        <a:defRPr sz="494" b="1" i="0" u="none" strike="noStrike" baseline="0">
          <a:solidFill>
            <a:srgbClr val="000000"/>
          </a:solidFill>
          <a:latin typeface="Arial"/>
          <a:ea typeface="Arial"/>
          <a:cs typeface="Arial"/>
        </a:defRPr>
      </a:pPr>
      <a:endParaRPr lang="el-G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097290804751101E-2"/>
          <c:y val="5.9877335139285656E-2"/>
          <c:w val="0.9375"/>
          <c:h val="0.77472527472527475"/>
        </c:manualLayout>
      </c:layout>
      <c:barChart>
        <c:barDir val="col"/>
        <c:grouping val="stacked"/>
        <c:varyColors val="0"/>
        <c:ser>
          <c:idx val="0"/>
          <c:order val="0"/>
          <c:tx>
            <c:strRef>
              <c:f>Sheet1!$A$2</c:f>
              <c:strCache>
                <c:ptCount val="1"/>
                <c:pt idx="0">
                  <c:v>Απόδοση Ενσώματων Ιδίων Κεφαλαίων</c:v>
                </c:pt>
              </c:strCache>
            </c:strRef>
          </c:tx>
          <c:spPr>
            <a:solidFill>
              <a:srgbClr val="021342"/>
            </a:solidFill>
            <a:ln w="13949">
              <a:solidFill>
                <a:srgbClr val="FFFFFF"/>
              </a:solidFill>
              <a:prstDash val="solid"/>
            </a:ln>
          </c:spPr>
          <c:invertIfNegative val="0"/>
          <c:dLbls>
            <c:dLbl>
              <c:idx val="0"/>
              <c:layout>
                <c:manualLayout>
                  <c:x val="-2.6940700209084293E-3"/>
                  <c:y val="-0.37860709567572981"/>
                </c:manualLayout>
              </c:layout>
              <c:tx>
                <c:rich>
                  <a:bodyPr/>
                  <a:lstStyle/>
                  <a:p>
                    <a:pPr>
                      <a:defRPr sz="1100" b="1" i="0" u="none" strike="noStrike" baseline="0">
                        <a:solidFill>
                          <a:srgbClr val="021342"/>
                        </a:solidFill>
                        <a:latin typeface="Eurobank Sans" panose="02000503000000020004" pitchFamily="2" charset="0"/>
                        <a:ea typeface="Arial"/>
                        <a:cs typeface="Arial"/>
                      </a:defRPr>
                    </a:pPr>
                    <a:r>
                      <a:rPr lang="en-US"/>
                      <a:t>18,5</a:t>
                    </a:r>
                  </a:p>
                </c:rich>
              </c:tx>
              <c:numFmt formatCode="0.0" sourceLinked="0"/>
              <c:spPr>
                <a:noFill/>
                <a:ln w="27899">
                  <a:noFill/>
                </a:ln>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E39-4140-B490-435905C55204}"/>
                </c:ext>
              </c:extLst>
            </c:dLbl>
            <c:dLbl>
              <c:idx val="1"/>
              <c:layout>
                <c:manualLayout>
                  <c:x val="0"/>
                  <c:y val="-0.32926072005990165"/>
                </c:manualLayout>
              </c:layout>
              <c:tx>
                <c:rich>
                  <a:bodyPr/>
                  <a:lstStyle/>
                  <a:p>
                    <a:r>
                      <a:rPr lang="en-US"/>
                      <a:t>16,0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E39-4140-B490-435905C55204}"/>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numFmt formatCode="0.0" sourceLinked="0"/>
              <c:spPr>
                <a:noFill/>
                <a:ln w="27899">
                  <a:noFill/>
                </a:ln>
              </c:spPr>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E39-4140-B490-435905C55204}"/>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numFmt formatCode="0.0" sourceLinked="0"/>
              <c:spPr>
                <a:noFill/>
                <a:ln w="27899">
                  <a:noFill/>
                </a:ln>
              </c:spPr>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E39-4140-B490-435905C55204}"/>
                </c:ext>
              </c:extLst>
            </c:dLbl>
            <c:numFmt formatCode="0.0" sourceLinked="0"/>
            <c:spPr>
              <a:noFill/>
              <a:ln w="2789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2024</c:v>
                </c:pt>
                <c:pt idx="1">
                  <c:v>2025</c:v>
                </c:pt>
              </c:numCache>
            </c:numRef>
          </c:cat>
          <c:val>
            <c:numRef>
              <c:f>Sheet1!$B$2:$C$2</c:f>
              <c:numCache>
                <c:formatCode>General</c:formatCode>
                <c:ptCount val="2"/>
                <c:pt idx="0">
                  <c:v>18.5</c:v>
                </c:pt>
                <c:pt idx="1">
                  <c:v>16</c:v>
                </c:pt>
              </c:numCache>
            </c:numRef>
          </c:val>
          <c:extLst>
            <c:ext xmlns:c16="http://schemas.microsoft.com/office/drawing/2014/chart" uri="{C3380CC4-5D6E-409C-BE32-E72D297353CC}">
              <c16:uniqueId val="{00000004-2E39-4140-B490-435905C55204}"/>
            </c:ext>
          </c:extLst>
        </c:ser>
        <c:ser>
          <c:idx val="1"/>
          <c:order val="1"/>
          <c:tx>
            <c:strRef>
              <c:f>Sheet1!$A$3</c:f>
              <c:strCache>
                <c:ptCount val="1"/>
              </c:strCache>
            </c:strRef>
          </c:tx>
          <c:spPr>
            <a:solidFill>
              <a:srgbClr val="993366"/>
            </a:solidFill>
            <a:ln w="13949">
              <a:solidFill>
                <a:srgbClr val="000000"/>
              </a:solidFill>
              <a:prstDash val="solid"/>
            </a:ln>
          </c:spPr>
          <c:invertIfNegative val="0"/>
          <c:dPt>
            <c:idx val="4"/>
            <c:invertIfNegative val="0"/>
            <c:bubble3D val="0"/>
            <c:spPr>
              <a:solidFill>
                <a:srgbClr val="CCCCFF"/>
              </a:solidFill>
              <a:ln w="27899">
                <a:noFill/>
              </a:ln>
            </c:spPr>
            <c:extLst>
              <c:ext xmlns:c16="http://schemas.microsoft.com/office/drawing/2014/chart" uri="{C3380CC4-5D6E-409C-BE32-E72D297353CC}">
                <c16:uniqueId val="{00000006-2E39-4140-B490-435905C55204}"/>
              </c:ext>
            </c:extLst>
          </c:dPt>
          <c:cat>
            <c:numRef>
              <c:f>Sheet1!$B$1:$C$1</c:f>
              <c:numCache>
                <c:formatCode>General</c:formatCode>
                <c:ptCount val="2"/>
                <c:pt idx="0">
                  <c:v>2024</c:v>
                </c:pt>
                <c:pt idx="1">
                  <c:v>2025</c:v>
                </c:pt>
              </c:numCache>
            </c:numRef>
          </c:cat>
          <c:val>
            <c:numRef>
              <c:f>Sheet1!$B$3:$C$3</c:f>
              <c:numCache>
                <c:formatCode>General</c:formatCode>
                <c:ptCount val="2"/>
              </c:numCache>
            </c:numRef>
          </c:val>
          <c:extLst>
            <c:ext xmlns:c16="http://schemas.microsoft.com/office/drawing/2014/chart" uri="{C3380CC4-5D6E-409C-BE32-E72D297353CC}">
              <c16:uniqueId val="{00000007-2E39-4140-B490-435905C55204}"/>
            </c:ext>
          </c:extLst>
        </c:ser>
        <c:ser>
          <c:idx val="2"/>
          <c:order val="2"/>
          <c:tx>
            <c:strRef>
              <c:f>Sheet1!$A$4</c:f>
              <c:strCache>
                <c:ptCount val="1"/>
              </c:strCache>
            </c:strRef>
          </c:tx>
          <c:spPr>
            <a:solidFill>
              <a:srgbClr val="FFFFCC"/>
            </a:solidFill>
            <a:ln w="13949">
              <a:solidFill>
                <a:srgbClr val="000000"/>
              </a:solidFill>
              <a:prstDash val="solid"/>
            </a:ln>
          </c:spPr>
          <c:invertIfNegative val="0"/>
          <c:cat>
            <c:numRef>
              <c:f>Sheet1!$B$1:$C$1</c:f>
              <c:numCache>
                <c:formatCode>General</c:formatCode>
                <c:ptCount val="2"/>
                <c:pt idx="0">
                  <c:v>2024</c:v>
                </c:pt>
                <c:pt idx="1">
                  <c:v>2025</c:v>
                </c:pt>
              </c:numCache>
            </c:numRef>
          </c:cat>
          <c:val>
            <c:numRef>
              <c:f>Sheet1!$B$4:$C$4</c:f>
              <c:numCache>
                <c:formatCode>General</c:formatCode>
                <c:ptCount val="2"/>
              </c:numCache>
            </c:numRef>
          </c:val>
          <c:extLst>
            <c:ext xmlns:c16="http://schemas.microsoft.com/office/drawing/2014/chart" uri="{C3380CC4-5D6E-409C-BE32-E72D297353CC}">
              <c16:uniqueId val="{00000008-2E39-4140-B490-435905C55204}"/>
            </c:ext>
          </c:extLst>
        </c:ser>
        <c:ser>
          <c:idx val="3"/>
          <c:order val="3"/>
          <c:tx>
            <c:strRef>
              <c:f>Sheet1!$A$5</c:f>
              <c:strCache>
                <c:ptCount val="1"/>
              </c:strCache>
            </c:strRef>
          </c:tx>
          <c:spPr>
            <a:solidFill>
              <a:srgbClr val="CCFFFF"/>
            </a:solidFill>
            <a:ln w="13949">
              <a:solidFill>
                <a:srgbClr val="000000"/>
              </a:solidFill>
              <a:prstDash val="solid"/>
            </a:ln>
          </c:spPr>
          <c:invertIfNegative val="0"/>
          <c:cat>
            <c:numRef>
              <c:f>Sheet1!$B$1:$C$1</c:f>
              <c:numCache>
                <c:formatCode>General</c:formatCode>
                <c:ptCount val="2"/>
                <c:pt idx="0">
                  <c:v>2024</c:v>
                </c:pt>
                <c:pt idx="1">
                  <c:v>2025</c:v>
                </c:pt>
              </c:numCache>
            </c:numRef>
          </c:cat>
          <c:val>
            <c:numRef>
              <c:f>Sheet1!$B$5:$C$5</c:f>
              <c:numCache>
                <c:formatCode>General</c:formatCode>
                <c:ptCount val="2"/>
              </c:numCache>
            </c:numRef>
          </c:val>
          <c:extLst>
            <c:ext xmlns:c16="http://schemas.microsoft.com/office/drawing/2014/chart" uri="{C3380CC4-5D6E-409C-BE32-E72D297353CC}">
              <c16:uniqueId val="{00000009-2E39-4140-B490-435905C55204}"/>
            </c:ext>
          </c:extLst>
        </c:ser>
        <c:dLbls>
          <c:showLegendKey val="0"/>
          <c:showVal val="0"/>
          <c:showCatName val="0"/>
          <c:showSerName val="0"/>
          <c:showPercent val="0"/>
          <c:showBubbleSize val="0"/>
        </c:dLbls>
        <c:gapWidth val="110"/>
        <c:overlap val="100"/>
        <c:axId val="198317992"/>
        <c:axId val="1"/>
      </c:barChart>
      <c:catAx>
        <c:axId val="198317992"/>
        <c:scaling>
          <c:orientation val="minMax"/>
        </c:scaling>
        <c:delete val="0"/>
        <c:axPos val="b"/>
        <c:numFmt formatCode="General" sourceLinked="1"/>
        <c:majorTickMark val="out"/>
        <c:minorTickMark val="none"/>
        <c:tickLblPos val="nextTo"/>
        <c:spPr>
          <a:ln w="13949">
            <a:solidFill>
              <a:srgbClr val="021342"/>
            </a:solidFill>
            <a:prstDash val="solid"/>
          </a:ln>
        </c:spPr>
        <c:txPr>
          <a:bodyPr rot="0" vert="horz"/>
          <a:lstStyle/>
          <a:p>
            <a:pPr>
              <a:defRPr sz="1100" b="1" i="0" u="none" strike="noStrike" baseline="0">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ax val="22"/>
          <c:min val="0"/>
        </c:scaling>
        <c:delete val="1"/>
        <c:axPos val="l"/>
        <c:numFmt formatCode="General" sourceLinked="1"/>
        <c:majorTickMark val="out"/>
        <c:minorTickMark val="none"/>
        <c:tickLblPos val="nextTo"/>
        <c:crossAx val="198317992"/>
        <c:crosses val="autoZero"/>
        <c:crossBetween val="between"/>
        <c:majorUnit val="10"/>
        <c:minorUnit val="10"/>
      </c:valAx>
      <c:spPr>
        <a:noFill/>
        <a:ln w="27899">
          <a:noFill/>
        </a:ln>
      </c:spPr>
    </c:plotArea>
    <c:plotVisOnly val="1"/>
    <c:dispBlanksAs val="gap"/>
    <c:showDLblsOverMax val="0"/>
  </c:chart>
  <c:spPr>
    <a:noFill/>
    <a:ln>
      <a:noFill/>
    </a:ln>
  </c:spPr>
  <c:txPr>
    <a:bodyPr/>
    <a:lstStyle/>
    <a:p>
      <a:pPr>
        <a:defRPr sz="494" b="1" i="0" u="none" strike="noStrike" baseline="0">
          <a:solidFill>
            <a:srgbClr val="000000"/>
          </a:solidFill>
          <a:latin typeface="Arial"/>
          <a:ea typeface="Arial"/>
          <a:cs typeface="Arial"/>
        </a:defRPr>
      </a:pPr>
      <a:endParaRPr lang="el-G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882952922023985E-2"/>
          <c:y val="6.5934082117540788E-2"/>
          <c:w val="0.9375"/>
          <c:h val="0.77472527472527475"/>
        </c:manualLayout>
      </c:layout>
      <c:barChart>
        <c:barDir val="col"/>
        <c:grouping val="stacked"/>
        <c:varyColors val="0"/>
        <c:ser>
          <c:idx val="0"/>
          <c:order val="0"/>
          <c:tx>
            <c:strRef>
              <c:f>Sheet1!$A$2</c:f>
              <c:strCache>
                <c:ptCount val="1"/>
                <c:pt idx="0">
                  <c:v>Κεφαλαιακή Επάρκεια</c:v>
                </c:pt>
              </c:strCache>
            </c:strRef>
          </c:tx>
          <c:spPr>
            <a:solidFill>
              <a:srgbClr val="021342"/>
            </a:solidFill>
            <a:ln w="13910">
              <a:solidFill>
                <a:srgbClr val="FFFFFF"/>
              </a:solidFill>
              <a:prstDash val="solid"/>
            </a:ln>
          </c:spPr>
          <c:invertIfNegative val="0"/>
          <c:dLbls>
            <c:dLbl>
              <c:idx val="0"/>
              <c:layout>
                <c:manualLayout>
                  <c:x val="-2.5817026036302425E-3"/>
                  <c:y val="-0.30862018182889234"/>
                </c:manualLayout>
              </c:layout>
              <c:tx>
                <c:rich>
                  <a:bodyPr/>
                  <a:lstStyle/>
                  <a:p>
                    <a:pPr>
                      <a:defRPr sz="1100" b="1" i="0" u="none" strike="noStrike" baseline="0">
                        <a:solidFill>
                          <a:srgbClr val="021342"/>
                        </a:solidFill>
                        <a:latin typeface="Eurobank Sans" panose="02000503000000020004" pitchFamily="2" charset="0"/>
                        <a:ea typeface="Arial"/>
                        <a:cs typeface="Arial"/>
                      </a:defRPr>
                    </a:pPr>
                    <a:r>
                      <a:rPr lang="en-US"/>
                      <a:t>15,6</a:t>
                    </a:r>
                  </a:p>
                </c:rich>
              </c:tx>
              <c:numFmt formatCode="0.0" sourceLinked="0"/>
              <c:spPr>
                <a:noFill/>
                <a:ln w="27819">
                  <a:noFill/>
                </a:ln>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D5F-4C16-959A-1E1079E3137C}"/>
                </c:ext>
              </c:extLst>
            </c:dLbl>
            <c:dLbl>
              <c:idx val="1"/>
              <c:layout>
                <c:manualLayout>
                  <c:x val="0"/>
                  <c:y val="-0.38096049246961339"/>
                </c:manualLayout>
              </c:layout>
              <c:tx>
                <c:rich>
                  <a:bodyPr/>
                  <a:lstStyle/>
                  <a:p>
                    <a:r>
                      <a:rPr lang="en-US"/>
                      <a:t>20,0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D5F-4C16-959A-1E1079E3137C}"/>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numFmt formatCode="0.0" sourceLinked="0"/>
              <c:spPr>
                <a:noFill/>
                <a:ln w="27819">
                  <a:noFill/>
                </a:ln>
              </c:spPr>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D5F-4C16-959A-1E1079E3137C}"/>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numFmt formatCode="0.0" sourceLinked="0"/>
              <c:spPr>
                <a:noFill/>
                <a:ln w="27819">
                  <a:noFill/>
                </a:ln>
              </c:spPr>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D5F-4C16-959A-1E1079E3137C}"/>
                </c:ext>
              </c:extLst>
            </c:dLbl>
            <c:numFmt formatCode="0.0" sourceLinked="0"/>
            <c:spPr>
              <a:noFill/>
              <a:ln w="2781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CET1</c:v>
                </c:pt>
                <c:pt idx="1">
                  <c:v>CAD</c:v>
                </c:pt>
              </c:strCache>
            </c:strRef>
          </c:cat>
          <c:val>
            <c:numRef>
              <c:f>Sheet1!$B$2:$C$2</c:f>
              <c:numCache>
                <c:formatCode>General</c:formatCode>
                <c:ptCount val="2"/>
                <c:pt idx="0">
                  <c:v>15.6</c:v>
                </c:pt>
                <c:pt idx="1">
                  <c:v>20</c:v>
                </c:pt>
              </c:numCache>
            </c:numRef>
          </c:val>
          <c:extLst>
            <c:ext xmlns:c16="http://schemas.microsoft.com/office/drawing/2014/chart" uri="{C3380CC4-5D6E-409C-BE32-E72D297353CC}">
              <c16:uniqueId val="{00000004-4D5F-4C16-959A-1E1079E3137C}"/>
            </c:ext>
          </c:extLst>
        </c:ser>
        <c:ser>
          <c:idx val="1"/>
          <c:order val="1"/>
          <c:tx>
            <c:strRef>
              <c:f>Sheet1!$A$3</c:f>
              <c:strCache>
                <c:ptCount val="1"/>
              </c:strCache>
            </c:strRef>
          </c:tx>
          <c:spPr>
            <a:solidFill>
              <a:srgbClr val="993366"/>
            </a:solidFill>
            <a:ln w="13910">
              <a:solidFill>
                <a:srgbClr val="000000"/>
              </a:solidFill>
              <a:prstDash val="solid"/>
            </a:ln>
          </c:spPr>
          <c:invertIfNegative val="0"/>
          <c:dPt>
            <c:idx val="4"/>
            <c:invertIfNegative val="0"/>
            <c:bubble3D val="0"/>
            <c:spPr>
              <a:solidFill>
                <a:srgbClr val="CCCCFF"/>
              </a:solidFill>
              <a:ln w="27819">
                <a:noFill/>
              </a:ln>
            </c:spPr>
            <c:extLst>
              <c:ext xmlns:c16="http://schemas.microsoft.com/office/drawing/2014/chart" uri="{C3380CC4-5D6E-409C-BE32-E72D297353CC}">
                <c16:uniqueId val="{00000006-4D5F-4C16-959A-1E1079E3137C}"/>
              </c:ext>
            </c:extLst>
          </c:dPt>
          <c:cat>
            <c:strRef>
              <c:f>Sheet1!$B$1:$C$1</c:f>
              <c:strCache>
                <c:ptCount val="2"/>
                <c:pt idx="0">
                  <c:v>CET1</c:v>
                </c:pt>
                <c:pt idx="1">
                  <c:v>CAD</c:v>
                </c:pt>
              </c:strCache>
            </c:strRef>
          </c:cat>
          <c:val>
            <c:numRef>
              <c:f>Sheet1!$B$3:$C$3</c:f>
              <c:numCache>
                <c:formatCode>General</c:formatCode>
                <c:ptCount val="2"/>
              </c:numCache>
            </c:numRef>
          </c:val>
          <c:extLst>
            <c:ext xmlns:c16="http://schemas.microsoft.com/office/drawing/2014/chart" uri="{C3380CC4-5D6E-409C-BE32-E72D297353CC}">
              <c16:uniqueId val="{00000007-4D5F-4C16-959A-1E1079E3137C}"/>
            </c:ext>
          </c:extLst>
        </c:ser>
        <c:ser>
          <c:idx val="2"/>
          <c:order val="2"/>
          <c:tx>
            <c:strRef>
              <c:f>Sheet1!$A$4</c:f>
              <c:strCache>
                <c:ptCount val="1"/>
              </c:strCache>
            </c:strRef>
          </c:tx>
          <c:spPr>
            <a:solidFill>
              <a:srgbClr val="FFFFCC"/>
            </a:solidFill>
            <a:ln w="13910">
              <a:solidFill>
                <a:srgbClr val="000000"/>
              </a:solidFill>
              <a:prstDash val="solid"/>
            </a:ln>
          </c:spPr>
          <c:invertIfNegative val="0"/>
          <c:cat>
            <c:strRef>
              <c:f>Sheet1!$B$1:$C$1</c:f>
              <c:strCache>
                <c:ptCount val="2"/>
                <c:pt idx="0">
                  <c:v>CET1</c:v>
                </c:pt>
                <c:pt idx="1">
                  <c:v>CAD</c:v>
                </c:pt>
              </c:strCache>
            </c:strRef>
          </c:cat>
          <c:val>
            <c:numRef>
              <c:f>Sheet1!$B$4:$C$4</c:f>
              <c:numCache>
                <c:formatCode>General</c:formatCode>
                <c:ptCount val="2"/>
              </c:numCache>
            </c:numRef>
          </c:val>
          <c:extLst>
            <c:ext xmlns:c16="http://schemas.microsoft.com/office/drawing/2014/chart" uri="{C3380CC4-5D6E-409C-BE32-E72D297353CC}">
              <c16:uniqueId val="{00000008-4D5F-4C16-959A-1E1079E3137C}"/>
            </c:ext>
          </c:extLst>
        </c:ser>
        <c:ser>
          <c:idx val="3"/>
          <c:order val="3"/>
          <c:tx>
            <c:strRef>
              <c:f>Sheet1!$A$5</c:f>
              <c:strCache>
                <c:ptCount val="1"/>
              </c:strCache>
            </c:strRef>
          </c:tx>
          <c:spPr>
            <a:solidFill>
              <a:srgbClr val="CCFFFF"/>
            </a:solidFill>
            <a:ln w="13910">
              <a:solidFill>
                <a:srgbClr val="000000"/>
              </a:solidFill>
              <a:prstDash val="solid"/>
            </a:ln>
          </c:spPr>
          <c:invertIfNegative val="0"/>
          <c:cat>
            <c:strRef>
              <c:f>Sheet1!$B$1:$C$1</c:f>
              <c:strCache>
                <c:ptCount val="2"/>
                <c:pt idx="0">
                  <c:v>CET1</c:v>
                </c:pt>
                <c:pt idx="1">
                  <c:v>CAD</c:v>
                </c:pt>
              </c:strCache>
            </c:strRef>
          </c:cat>
          <c:val>
            <c:numRef>
              <c:f>Sheet1!$B$5:$C$5</c:f>
              <c:numCache>
                <c:formatCode>General</c:formatCode>
                <c:ptCount val="2"/>
              </c:numCache>
            </c:numRef>
          </c:val>
          <c:extLst>
            <c:ext xmlns:c16="http://schemas.microsoft.com/office/drawing/2014/chart" uri="{C3380CC4-5D6E-409C-BE32-E72D297353CC}">
              <c16:uniqueId val="{00000009-4D5F-4C16-959A-1E1079E3137C}"/>
            </c:ext>
          </c:extLst>
        </c:ser>
        <c:dLbls>
          <c:showLegendKey val="0"/>
          <c:showVal val="0"/>
          <c:showCatName val="0"/>
          <c:showSerName val="0"/>
          <c:showPercent val="0"/>
          <c:showBubbleSize val="0"/>
        </c:dLbls>
        <c:gapWidth val="110"/>
        <c:overlap val="100"/>
        <c:axId val="196619088"/>
        <c:axId val="1"/>
      </c:barChart>
      <c:catAx>
        <c:axId val="196619088"/>
        <c:scaling>
          <c:orientation val="minMax"/>
        </c:scaling>
        <c:delete val="0"/>
        <c:axPos val="b"/>
        <c:numFmt formatCode="General" sourceLinked="1"/>
        <c:majorTickMark val="out"/>
        <c:minorTickMark val="none"/>
        <c:tickLblPos val="nextTo"/>
        <c:spPr>
          <a:ln w="13910">
            <a:solidFill>
              <a:srgbClr val="021342"/>
            </a:solidFill>
            <a:prstDash val="solid"/>
          </a:ln>
        </c:spPr>
        <c:txPr>
          <a:bodyPr rot="0" vert="horz"/>
          <a:lstStyle/>
          <a:p>
            <a:pPr>
              <a:defRPr sz="1100" b="1" i="0" u="none" strike="noStrike" baseline="0">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ax val="22"/>
          <c:min val="0"/>
        </c:scaling>
        <c:delete val="1"/>
        <c:axPos val="l"/>
        <c:numFmt formatCode="General" sourceLinked="1"/>
        <c:majorTickMark val="out"/>
        <c:minorTickMark val="none"/>
        <c:tickLblPos val="nextTo"/>
        <c:crossAx val="196619088"/>
        <c:crosses val="autoZero"/>
        <c:crossBetween val="between"/>
        <c:majorUnit val="10"/>
        <c:minorUnit val="10"/>
      </c:valAx>
      <c:spPr>
        <a:noFill/>
        <a:ln w="27819">
          <a:noFill/>
        </a:ln>
      </c:spPr>
    </c:plotArea>
    <c:plotVisOnly val="1"/>
    <c:dispBlanksAs val="gap"/>
    <c:showDLblsOverMax val="0"/>
  </c:chart>
  <c:spPr>
    <a:noFill/>
    <a:ln>
      <a:noFill/>
    </a:ln>
  </c:spPr>
  <c:txPr>
    <a:bodyPr/>
    <a:lstStyle/>
    <a:p>
      <a:pPr>
        <a:defRPr sz="493" b="1" i="0" u="none" strike="noStrike" baseline="0">
          <a:solidFill>
            <a:srgbClr val="000000"/>
          </a:solidFill>
          <a:latin typeface="Arial"/>
          <a:ea typeface="Arial"/>
          <a:cs typeface="Arial"/>
        </a:defRPr>
      </a:pPr>
      <a:endParaRPr lang="el-G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39A27-A99E-4734-AE81-E6653C0A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2595</Words>
  <Characters>14019</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Chalaris Yiannis</dc:creator>
  <cp:lastModifiedBy>Constantinos Pittalis</cp:lastModifiedBy>
  <cp:revision>8</cp:revision>
  <cp:lastPrinted>2025-02-27T11:40:00Z</cp:lastPrinted>
  <dcterms:created xsi:type="dcterms:W3CDTF">2026-02-26T07:21:00Z</dcterms:created>
  <dcterms:modified xsi:type="dcterms:W3CDTF">2026-02-26T08:55:00Z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2021-11-12T00:00:00Z</vt:filetime>
  </property>
  <property fmtid="{D5CDD505-2E9C-101B-9397-08002B2CF9AE}" pid="3" name="Creator">
    <vt:lpwstr>Adobe InDesign 16.1 (Windows)</vt:lpwstr>
  </property>
  <property fmtid="{D5CDD505-2E9C-101B-9397-08002B2CF9AE}" pid="4" name="LastSaved">
    <vt:filetime>2021-11-12T00:00:00Z</vt:filetime>
  </property>
</Properties>
</file>