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media/image2.svg" ContentType="image/svg+xml"/>
  <Override PartName="/word/media/image5.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Segoe UI" w:hAnsi="Segoe UI" w:cs="Segoe UI"/>
          <w:color w:val="595959"/>
          <w:sz w:val="21"/>
          <w:szCs w:val="21"/>
        </w:rPr>
      </w:pPr>
      <w:bookmarkStart w:id="3" w:name="_GoBack"/>
      <w:bookmarkEnd w:id="3"/>
      <w:r>
        <w:rPr>
          <w:color w:val="595959"/>
        </w:rPr>
        <mc:AlternateContent>
          <mc:Choice Requires="wps">
            <w:drawing>
              <wp:anchor distT="0" distB="0" distL="114300" distR="114300" simplePos="0" relativeHeight="251689984" behindDoc="0" locked="0" layoutInCell="1" allowOverlap="1">
                <wp:simplePos x="0" y="0"/>
                <wp:positionH relativeFrom="margin">
                  <wp:align>left</wp:align>
                </wp:positionH>
                <wp:positionV relativeFrom="paragraph">
                  <wp:posOffset>-275590</wp:posOffset>
                </wp:positionV>
                <wp:extent cx="6769100" cy="10235565"/>
                <wp:effectExtent l="0" t="0" r="0" b="0"/>
                <wp:wrapNone/>
                <wp:docPr id="2" name="Text Placeholder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769138" cy="10235679"/>
                        </a:xfrm>
                        <a:prstGeom prst="rect">
                          <a:avLst/>
                        </a:prstGeom>
                      </wps:spPr>
                      <wps:txbx>
                        <w:txbxContent>
                          <w:p>
                            <w:pPr>
                              <w:spacing w:line="216" w:lineRule="auto"/>
                              <w:rPr>
                                <w:rFonts w:ascii="Aptos" w:hAnsi="Aptos"/>
                                <w:b/>
                                <w:bCs/>
                                <w:color w:val="003841"/>
                                <w:spacing w:val="-30"/>
                                <w:kern w:val="24"/>
                                <w:sz w:val="72"/>
                                <w:szCs w:val="72"/>
                              </w:rPr>
                            </w:pPr>
                          </w:p>
                          <w:p>
                            <w:pPr>
                              <w:spacing w:line="216" w:lineRule="auto"/>
                              <w:rPr>
                                <w:rFonts w:ascii="Aptos" w:hAnsi="Aptos"/>
                                <w:b/>
                                <w:bCs/>
                                <w:color w:val="FFFFFF" w:themeColor="background1"/>
                                <w:spacing w:val="-30"/>
                                <w:kern w:val="24"/>
                                <w:sz w:val="124"/>
                                <w:szCs w:val="124"/>
                                <w14:textFill>
                                  <w14:solidFill>
                                    <w14:schemeClr w14:val="bg1"/>
                                  </w14:solidFill>
                                </w14:textFill>
                              </w:rPr>
                            </w:pPr>
                            <w:r>
                              <w:rPr>
                                <w:rFonts w:ascii="Aptos" w:hAnsi="Aptos"/>
                                <w:b/>
                                <w:bCs/>
                                <w:color w:val="FFFFFF" w:themeColor="background1"/>
                                <w:spacing w:val="-30"/>
                                <w:kern w:val="24"/>
                                <w:sz w:val="124"/>
                                <w:szCs w:val="124"/>
                                <w14:textFill>
                                  <w14:solidFill>
                                    <w14:schemeClr w14:val="bg1"/>
                                  </w14:solidFill>
                                </w14:textFill>
                              </w:rPr>
                              <w:t xml:space="preserve">Αποτελέσματα </w:t>
                            </w:r>
                          </w:p>
                          <w:p>
                            <w:pPr>
                              <w:spacing w:line="216" w:lineRule="auto"/>
                              <w:rPr>
                                <w:rFonts w:ascii="Aptos" w:hAnsi="Aptos"/>
                                <w:b/>
                                <w:bCs/>
                                <w:color w:val="FFFFFF" w:themeColor="background1"/>
                                <w:spacing w:val="-30"/>
                                <w:kern w:val="24"/>
                                <w:sz w:val="124"/>
                                <w:szCs w:val="124"/>
                                <w14:textFill>
                                  <w14:solidFill>
                                    <w14:schemeClr w14:val="bg1"/>
                                  </w14:solidFill>
                                </w14:textFill>
                              </w:rPr>
                            </w:pPr>
                            <w:r>
                              <w:rPr>
                                <w:rFonts w:ascii="Aptos" w:hAnsi="Aptos"/>
                                <w:b/>
                                <w:bCs/>
                                <w:color w:val="FFFFFF" w:themeColor="background1"/>
                                <w:spacing w:val="-30"/>
                                <w:kern w:val="24"/>
                                <w:sz w:val="124"/>
                                <w:szCs w:val="124"/>
                                <w14:textFill>
                                  <w14:solidFill>
                                    <w14:schemeClr w14:val="bg1"/>
                                  </w14:solidFill>
                                </w14:textFill>
                              </w:rPr>
                              <w:t>Οικονομικού</w:t>
                            </w:r>
                          </w:p>
                          <w:p>
                            <w:pPr>
                              <w:spacing w:line="216" w:lineRule="auto"/>
                              <w:rPr>
                                <w:rFonts w:ascii="Aptos" w:hAnsi="Aptos" w:eastAsiaTheme="minorEastAsia"/>
                                <w:b/>
                                <w:bCs/>
                                <w:color w:val="FFFFFF" w:themeColor="background1"/>
                                <w:kern w:val="24"/>
                                <w:sz w:val="72"/>
                                <w:szCs w:val="72"/>
                                <w14:textFill>
                                  <w14:solidFill>
                                    <w14:schemeClr w14:val="bg1"/>
                                  </w14:solidFill>
                                </w14:textFill>
                              </w:rPr>
                            </w:pPr>
                            <w:r>
                              <w:rPr>
                                <w:rFonts w:ascii="Aptos" w:hAnsi="Aptos"/>
                                <w:b/>
                                <w:bCs/>
                                <w:color w:val="FFFFFF" w:themeColor="background1"/>
                                <w:spacing w:val="-30"/>
                                <w:kern w:val="24"/>
                                <w:sz w:val="124"/>
                                <w:szCs w:val="124"/>
                                <w14:textFill>
                                  <w14:solidFill>
                                    <w14:schemeClr w14:val="bg1"/>
                                  </w14:solidFill>
                                </w14:textFill>
                              </w:rPr>
                              <w:t>Έτους 2023</w:t>
                            </w:r>
                            <w:r>
                              <w:rPr>
                                <w:rFonts w:ascii="Aptos" w:hAnsi="Aptos"/>
                                <w:b/>
                                <w:bCs/>
                                <w:color w:val="FFFFFF" w:themeColor="background1"/>
                                <w:spacing w:val="-30"/>
                                <w:kern w:val="24"/>
                                <w:sz w:val="144"/>
                                <w:szCs w:val="144"/>
                                <w14:textFill>
                                  <w14:solidFill>
                                    <w14:schemeClr w14:val="bg1"/>
                                  </w14:solidFill>
                                </w14:textFill>
                              </w:rPr>
                              <w:t xml:space="preserve"> </w:t>
                            </w:r>
                            <w:r>
                              <w:rPr>
                                <w:rFonts w:ascii="Aptos" w:hAnsi="Aptos" w:eastAsiaTheme="minorEastAsia"/>
                                <w:b/>
                                <w:bCs/>
                                <w:color w:val="FFFFFF" w:themeColor="background1"/>
                                <w:kern w:val="24"/>
                                <w:sz w:val="96"/>
                                <w:szCs w:val="96"/>
                                <w14:textFill>
                                  <w14:solidFill>
                                    <w14:schemeClr w14:val="bg1"/>
                                  </w14:solidFill>
                                </w14:textFill>
                              </w:rPr>
                              <w:t xml:space="preserve">                                                 </w:t>
                            </w:r>
                            <w:r>
                              <w:rPr>
                                <w:rFonts w:ascii="Aptos" w:hAnsi="Aptos" w:eastAsiaTheme="minorEastAsia"/>
                                <w:b/>
                                <w:bCs/>
                                <w:color w:val="FFFFFF" w:themeColor="background1"/>
                                <w:kern w:val="24"/>
                                <w:sz w:val="76"/>
                                <w:szCs w:val="76"/>
                                <w14:textFill>
                                  <w14:solidFill>
                                    <w14:schemeClr w14:val="bg1"/>
                                  </w14:solidFill>
                                </w14:textFill>
                              </w:rPr>
                              <w:t>ΔΕΛΤΙΟ ΤΥΠΟΥ</w:t>
                            </w:r>
                          </w:p>
                          <w:p>
                            <w:pPr>
                              <w:spacing w:line="216" w:lineRule="auto"/>
                              <w:rPr>
                                <w:rFonts w:ascii="Aptos" w:hAnsi="Aptos" w:eastAsiaTheme="minorEastAsia"/>
                                <w:b/>
                                <w:bCs/>
                                <w:color w:val="00ADBF"/>
                                <w:kern w:val="24"/>
                                <w:sz w:val="56"/>
                                <w:szCs w:val="56"/>
                                <w:lang w:val="en-US"/>
                              </w:rPr>
                            </w:pPr>
                            <w:r>
                              <w:drawing>
                                <wp:inline distT="0" distB="0" distL="0" distR="0">
                                  <wp:extent cx="3175635" cy="3984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rot="10800000">
                                            <a:off x="0" y="0"/>
                                            <a:ext cx="3202538" cy="4018495"/>
                                          </a:xfrm>
                                          <a:prstGeom prst="rect">
                                            <a:avLst/>
                                          </a:prstGeom>
                                          <a:noFill/>
                                          <a:ln>
                                            <a:noFill/>
                                          </a:ln>
                                        </pic:spPr>
                                      </pic:pic>
                                    </a:graphicData>
                                  </a:graphic>
                                </wp:inline>
                              </w:drawing>
                            </w:r>
                          </w:p>
                          <w:p>
                            <w:pPr>
                              <w:pStyle w:val="16"/>
                              <w:spacing w:before="0" w:beforeAutospacing="0" w:after="0" w:afterAutospacing="0"/>
                              <w:jc w:val="right"/>
                              <w:rPr>
                                <w:rFonts w:ascii="Aptos" w:hAnsi="Aptos" w:eastAsiaTheme="minorEastAsia" w:cstheme="minorBidi"/>
                                <w:b/>
                                <w:bCs/>
                                <w:color w:val="00ADBF"/>
                                <w:kern w:val="24"/>
                                <w:sz w:val="68"/>
                                <w:szCs w:val="68"/>
                                <w:lang w:val="en-US"/>
                              </w:rPr>
                            </w:pPr>
                          </w:p>
                          <w:p>
                            <w:pPr>
                              <w:pStyle w:val="16"/>
                              <w:spacing w:before="0" w:beforeAutospacing="0" w:after="0" w:afterAutospacing="0"/>
                              <w:rPr>
                                <w:rFonts w:ascii="Aptos" w:hAnsi="Aptos" w:eastAsiaTheme="minorEastAsia" w:cstheme="minorBidi"/>
                                <w:b/>
                                <w:bCs/>
                                <w:color w:val="00ADBF"/>
                                <w:kern w:val="24"/>
                                <w:sz w:val="44"/>
                                <w:szCs w:val="44"/>
                                <w:lang w:val="en-US" w:eastAsia="en-US"/>
                              </w:rPr>
                            </w:pPr>
                          </w:p>
                          <w:p>
                            <w:pPr>
                              <w:pStyle w:val="16"/>
                              <w:spacing w:before="0" w:beforeAutospacing="0" w:after="0" w:afterAutospacing="0"/>
                              <w:rPr>
                                <w:rFonts w:ascii="Aptos" w:hAnsi="Aptos" w:eastAsiaTheme="minorEastAsia" w:cstheme="minorBidi"/>
                                <w:b/>
                                <w:bCs/>
                                <w:color w:val="00ADBF"/>
                                <w:kern w:val="24"/>
                                <w:sz w:val="44"/>
                                <w:szCs w:val="44"/>
                                <w:lang w:val="en-US" w:eastAsia="en-US"/>
                              </w:rPr>
                            </w:pPr>
                          </w:p>
                          <w:p>
                            <w:pPr>
                              <w:pStyle w:val="16"/>
                              <w:spacing w:before="0" w:beforeAutospacing="0" w:after="0" w:afterAutospacing="0"/>
                              <w:rPr>
                                <w:rFonts w:ascii="Aptos" w:hAnsi="Aptos" w:eastAsiaTheme="minorEastAsia" w:cstheme="minorBidi"/>
                                <w:b/>
                                <w:bCs/>
                                <w:color w:val="00ADBF"/>
                                <w:kern w:val="24"/>
                                <w:sz w:val="56"/>
                                <w:szCs w:val="56"/>
                                <w:lang w:val="en-US" w:eastAsia="en-US"/>
                              </w:rPr>
                            </w:pPr>
                          </w:p>
                          <w:p>
                            <w:pPr>
                              <w:pStyle w:val="16"/>
                              <w:spacing w:before="0" w:beforeAutospacing="0" w:after="0" w:afterAutospacing="0"/>
                              <w:rPr>
                                <w:rFonts w:ascii="Aptos" w:hAnsi="Aptos" w:eastAsiaTheme="minorEastAsia" w:cstheme="minorBidi"/>
                                <w:b/>
                                <w:bCs/>
                                <w:color w:val="FFFFFF" w:themeColor="background1"/>
                                <w:kern w:val="24"/>
                                <w:sz w:val="40"/>
                                <w:szCs w:val="40"/>
                                <w:lang w:val="en-US"/>
                                <w14:textFill>
                                  <w14:solidFill>
                                    <w14:schemeClr w14:val="bg1"/>
                                  </w14:solidFill>
                                </w14:textFill>
                              </w:rPr>
                            </w:pPr>
                            <w:r>
                              <w:drawing>
                                <wp:inline distT="0" distB="0" distL="0" distR="0">
                                  <wp:extent cx="2576830" cy="740410"/>
                                  <wp:effectExtent l="0" t="0" r="0" b="2540"/>
                                  <wp:docPr id="5" name="NB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BG Logo"/>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2616993" cy="752385"/>
                                          </a:xfrm>
                                          <a:prstGeom prst="rect">
                                            <a:avLst/>
                                          </a:prstGeom>
                                        </pic:spPr>
                                      </pic:pic>
                                    </a:graphicData>
                                  </a:graphic>
                                </wp:inline>
                              </w:drawing>
                            </w:r>
                            <w:r>
                              <w:rPr>
                                <w:rFonts w:ascii="Aptos" w:hAnsi="Aptos" w:eastAsiaTheme="minorEastAsia" w:cstheme="minorBidi"/>
                                <w:b/>
                                <w:bCs/>
                                <w:color w:val="00ADBF"/>
                                <w:kern w:val="24"/>
                                <w:sz w:val="44"/>
                                <w:szCs w:val="44"/>
                                <w:lang w:val="en-US" w:eastAsia="en-US"/>
                              </w:rPr>
                              <w:t xml:space="preserve">                                    </w:t>
                            </w:r>
                            <w:r>
                              <w:rPr>
                                <w:rFonts w:ascii="Aptos" w:hAnsi="Aptos" w:eastAsiaTheme="minorEastAsia" w:cstheme="minorBidi"/>
                                <w:b/>
                                <w:bCs/>
                                <w:color w:val="FFFFFF" w:themeColor="background1"/>
                                <w:kern w:val="24"/>
                                <w:sz w:val="44"/>
                                <w:szCs w:val="44"/>
                                <w:lang w:val="en-US" w:eastAsia="en-US"/>
                                <w14:textFill>
                                  <w14:solidFill>
                                    <w14:schemeClr w14:val="bg1"/>
                                  </w14:solidFill>
                                </w14:textFill>
                              </w:rPr>
                              <w:t xml:space="preserve">12 </w:t>
                            </w:r>
                            <w:r>
                              <w:rPr>
                                <w:rFonts w:ascii="Aptos" w:hAnsi="Aptos" w:eastAsiaTheme="minorEastAsia" w:cstheme="minorBidi"/>
                                <w:b/>
                                <w:bCs/>
                                <w:color w:val="FFFFFF" w:themeColor="background1"/>
                                <w:kern w:val="24"/>
                                <w:sz w:val="44"/>
                                <w:szCs w:val="44"/>
                                <w:lang w:eastAsia="en-US"/>
                                <w14:textFill>
                                  <w14:solidFill>
                                    <w14:schemeClr w14:val="bg1"/>
                                  </w14:solidFill>
                                </w14:textFill>
                              </w:rPr>
                              <w:t>Μαρτίου</w:t>
                            </w:r>
                            <w:r>
                              <w:rPr>
                                <w:rFonts w:ascii="Aptos" w:hAnsi="Aptos" w:eastAsiaTheme="minorEastAsia" w:cstheme="minorBidi"/>
                                <w:b/>
                                <w:bCs/>
                                <w:color w:val="FFFFFF" w:themeColor="background1"/>
                                <w:kern w:val="24"/>
                                <w:sz w:val="44"/>
                                <w:szCs w:val="44"/>
                                <w:lang w:val="en-US" w:eastAsia="en-US"/>
                                <w14:textFill>
                                  <w14:solidFill>
                                    <w14:schemeClr w14:val="bg1"/>
                                  </w14:solidFill>
                                </w14:textFill>
                              </w:rPr>
                              <w:t xml:space="preserve"> 2024</w:t>
                            </w:r>
                            <w:r>
                              <w:rPr>
                                <w:color w:val="FFFFFF" w:themeColor="background1"/>
                                <w:lang w:val="en-US"/>
                                <w14:textFill>
                                  <w14:solidFill>
                                    <w14:schemeClr w14:val="bg1"/>
                                  </w14:solidFill>
                                </w14:textFill>
                              </w:rPr>
                              <w:t xml:space="preserve"> </w:t>
                            </w:r>
                          </w:p>
                          <w:p>
                            <w:pPr>
                              <w:pStyle w:val="16"/>
                              <w:spacing w:before="0" w:beforeAutospacing="0" w:after="0" w:afterAutospacing="0"/>
                              <w:jc w:val="right"/>
                              <w:rPr>
                                <w:rFonts w:ascii="Aptos" w:hAnsi="Aptos" w:eastAsiaTheme="minorEastAsia" w:cstheme="minorBidi"/>
                                <w:b/>
                                <w:bCs/>
                                <w:color w:val="00ADBF"/>
                                <w:kern w:val="24"/>
                                <w:sz w:val="68"/>
                                <w:szCs w:val="68"/>
                                <w:lang w:val="en-US"/>
                              </w:rPr>
                            </w:pPr>
                          </w:p>
                        </w:txbxContent>
                      </wps:txbx>
                      <wps:bodyPr wrap="square" lIns="0" tIns="45720" rIns="0" bIns="45720" anchor="t" anchorCtr="0">
                        <a:noAutofit/>
                      </wps:bodyPr>
                    </wps:wsp>
                  </a:graphicData>
                </a:graphic>
              </wp:anchor>
            </w:drawing>
          </mc:Choice>
          <mc:Fallback>
            <w:pict>
              <v:rect id="Text Placeholder 1" o:spid="_x0000_s1026" o:spt="1" style="position:absolute;left:0pt;margin-top:-21.7pt;height:805.95pt;width:533pt;mso-position-horizontal:left;mso-position-horizontal-relative:margin;z-index:251689984;mso-width-relative:page;mso-height-relative:page;" filled="f" stroked="f" coordsize="21600,21600" o:gfxdata="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CWKqNkAAAAKAQAADwAAAAAAAAABACAAAAAiAAAA&#10;ZHJzL2Rvd25yZXYueG1sUEsBAhQAFAAAAAgAh07iQLNhoQHNAQAArgMAAA4AAAAAAAAAAQAgAAAA&#10;KAEAAGRycy9lMm9Eb2MueG1sUEsFBgAAAAAGAAYAWQEAAGcFAAAAAA==&#10;">
                <v:fill on="f" focussize="0,0"/>
                <v:stroke on="f"/>
                <v:imagedata o:title=""/>
                <o:lock v:ext="edit" grouping="t" aspectratio="f"/>
                <v:textbox inset="0mm,1.27mm,0mm,1.27mm">
                  <w:txbxContent>
                    <w:p>
                      <w:pPr>
                        <w:spacing w:line="216" w:lineRule="auto"/>
                        <w:rPr>
                          <w:rFonts w:ascii="Aptos" w:hAnsi="Aptos"/>
                          <w:b/>
                          <w:bCs/>
                          <w:color w:val="003841"/>
                          <w:spacing w:val="-30"/>
                          <w:kern w:val="24"/>
                          <w:sz w:val="72"/>
                          <w:szCs w:val="72"/>
                        </w:rPr>
                      </w:pPr>
                    </w:p>
                    <w:p>
                      <w:pPr>
                        <w:spacing w:line="216" w:lineRule="auto"/>
                        <w:rPr>
                          <w:rFonts w:ascii="Aptos" w:hAnsi="Aptos"/>
                          <w:b/>
                          <w:bCs/>
                          <w:color w:val="FFFFFF" w:themeColor="background1"/>
                          <w:spacing w:val="-30"/>
                          <w:kern w:val="24"/>
                          <w:sz w:val="124"/>
                          <w:szCs w:val="124"/>
                          <w14:textFill>
                            <w14:solidFill>
                              <w14:schemeClr w14:val="bg1"/>
                            </w14:solidFill>
                          </w14:textFill>
                        </w:rPr>
                      </w:pPr>
                      <w:r>
                        <w:rPr>
                          <w:rFonts w:ascii="Aptos" w:hAnsi="Aptos"/>
                          <w:b/>
                          <w:bCs/>
                          <w:color w:val="FFFFFF" w:themeColor="background1"/>
                          <w:spacing w:val="-30"/>
                          <w:kern w:val="24"/>
                          <w:sz w:val="124"/>
                          <w:szCs w:val="124"/>
                          <w14:textFill>
                            <w14:solidFill>
                              <w14:schemeClr w14:val="bg1"/>
                            </w14:solidFill>
                          </w14:textFill>
                        </w:rPr>
                        <w:t xml:space="preserve">Αποτελέσματα </w:t>
                      </w:r>
                    </w:p>
                    <w:p>
                      <w:pPr>
                        <w:spacing w:line="216" w:lineRule="auto"/>
                        <w:rPr>
                          <w:rFonts w:ascii="Aptos" w:hAnsi="Aptos"/>
                          <w:b/>
                          <w:bCs/>
                          <w:color w:val="FFFFFF" w:themeColor="background1"/>
                          <w:spacing w:val="-30"/>
                          <w:kern w:val="24"/>
                          <w:sz w:val="124"/>
                          <w:szCs w:val="124"/>
                          <w14:textFill>
                            <w14:solidFill>
                              <w14:schemeClr w14:val="bg1"/>
                            </w14:solidFill>
                          </w14:textFill>
                        </w:rPr>
                      </w:pPr>
                      <w:r>
                        <w:rPr>
                          <w:rFonts w:ascii="Aptos" w:hAnsi="Aptos"/>
                          <w:b/>
                          <w:bCs/>
                          <w:color w:val="FFFFFF" w:themeColor="background1"/>
                          <w:spacing w:val="-30"/>
                          <w:kern w:val="24"/>
                          <w:sz w:val="124"/>
                          <w:szCs w:val="124"/>
                          <w14:textFill>
                            <w14:solidFill>
                              <w14:schemeClr w14:val="bg1"/>
                            </w14:solidFill>
                          </w14:textFill>
                        </w:rPr>
                        <w:t>Οικονομικού</w:t>
                      </w:r>
                    </w:p>
                    <w:p>
                      <w:pPr>
                        <w:spacing w:line="216" w:lineRule="auto"/>
                        <w:rPr>
                          <w:rFonts w:ascii="Aptos" w:hAnsi="Aptos" w:eastAsiaTheme="minorEastAsia"/>
                          <w:b/>
                          <w:bCs/>
                          <w:color w:val="FFFFFF" w:themeColor="background1"/>
                          <w:kern w:val="24"/>
                          <w:sz w:val="72"/>
                          <w:szCs w:val="72"/>
                          <w14:textFill>
                            <w14:solidFill>
                              <w14:schemeClr w14:val="bg1"/>
                            </w14:solidFill>
                          </w14:textFill>
                        </w:rPr>
                      </w:pPr>
                      <w:r>
                        <w:rPr>
                          <w:rFonts w:ascii="Aptos" w:hAnsi="Aptos"/>
                          <w:b/>
                          <w:bCs/>
                          <w:color w:val="FFFFFF" w:themeColor="background1"/>
                          <w:spacing w:val="-30"/>
                          <w:kern w:val="24"/>
                          <w:sz w:val="124"/>
                          <w:szCs w:val="124"/>
                          <w14:textFill>
                            <w14:solidFill>
                              <w14:schemeClr w14:val="bg1"/>
                            </w14:solidFill>
                          </w14:textFill>
                        </w:rPr>
                        <w:t>Έτους 2023</w:t>
                      </w:r>
                      <w:r>
                        <w:rPr>
                          <w:rFonts w:ascii="Aptos" w:hAnsi="Aptos"/>
                          <w:b/>
                          <w:bCs/>
                          <w:color w:val="FFFFFF" w:themeColor="background1"/>
                          <w:spacing w:val="-30"/>
                          <w:kern w:val="24"/>
                          <w:sz w:val="144"/>
                          <w:szCs w:val="144"/>
                          <w14:textFill>
                            <w14:solidFill>
                              <w14:schemeClr w14:val="bg1"/>
                            </w14:solidFill>
                          </w14:textFill>
                        </w:rPr>
                        <w:t xml:space="preserve"> </w:t>
                      </w:r>
                      <w:r>
                        <w:rPr>
                          <w:rFonts w:ascii="Aptos" w:hAnsi="Aptos" w:eastAsiaTheme="minorEastAsia"/>
                          <w:b/>
                          <w:bCs/>
                          <w:color w:val="FFFFFF" w:themeColor="background1"/>
                          <w:kern w:val="24"/>
                          <w:sz w:val="96"/>
                          <w:szCs w:val="96"/>
                          <w14:textFill>
                            <w14:solidFill>
                              <w14:schemeClr w14:val="bg1"/>
                            </w14:solidFill>
                          </w14:textFill>
                        </w:rPr>
                        <w:t xml:space="preserve">                                                 </w:t>
                      </w:r>
                      <w:r>
                        <w:rPr>
                          <w:rFonts w:ascii="Aptos" w:hAnsi="Aptos" w:eastAsiaTheme="minorEastAsia"/>
                          <w:b/>
                          <w:bCs/>
                          <w:color w:val="FFFFFF" w:themeColor="background1"/>
                          <w:kern w:val="24"/>
                          <w:sz w:val="76"/>
                          <w:szCs w:val="76"/>
                          <w14:textFill>
                            <w14:solidFill>
                              <w14:schemeClr w14:val="bg1"/>
                            </w14:solidFill>
                          </w14:textFill>
                        </w:rPr>
                        <w:t>ΔΕΛΤΙΟ ΤΥΠΟΥ</w:t>
                      </w:r>
                    </w:p>
                    <w:p>
                      <w:pPr>
                        <w:spacing w:line="216" w:lineRule="auto"/>
                        <w:rPr>
                          <w:rFonts w:ascii="Aptos" w:hAnsi="Aptos" w:eastAsiaTheme="minorEastAsia"/>
                          <w:b/>
                          <w:bCs/>
                          <w:color w:val="00ADBF"/>
                          <w:kern w:val="24"/>
                          <w:sz w:val="56"/>
                          <w:szCs w:val="56"/>
                          <w:lang w:val="en-US"/>
                        </w:rPr>
                      </w:pPr>
                      <w:r>
                        <w:drawing>
                          <wp:inline distT="0" distB="0" distL="0" distR="0">
                            <wp:extent cx="3175635" cy="3984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rot="10800000">
                                      <a:off x="0" y="0"/>
                                      <a:ext cx="3202538" cy="4018495"/>
                                    </a:xfrm>
                                    <a:prstGeom prst="rect">
                                      <a:avLst/>
                                    </a:prstGeom>
                                    <a:noFill/>
                                    <a:ln>
                                      <a:noFill/>
                                    </a:ln>
                                  </pic:spPr>
                                </pic:pic>
                              </a:graphicData>
                            </a:graphic>
                          </wp:inline>
                        </w:drawing>
                      </w:r>
                    </w:p>
                    <w:p>
                      <w:pPr>
                        <w:pStyle w:val="16"/>
                        <w:spacing w:before="0" w:beforeAutospacing="0" w:after="0" w:afterAutospacing="0"/>
                        <w:jc w:val="right"/>
                        <w:rPr>
                          <w:rFonts w:ascii="Aptos" w:hAnsi="Aptos" w:eastAsiaTheme="minorEastAsia" w:cstheme="minorBidi"/>
                          <w:b/>
                          <w:bCs/>
                          <w:color w:val="00ADBF"/>
                          <w:kern w:val="24"/>
                          <w:sz w:val="68"/>
                          <w:szCs w:val="68"/>
                          <w:lang w:val="en-US"/>
                        </w:rPr>
                      </w:pPr>
                    </w:p>
                    <w:p>
                      <w:pPr>
                        <w:pStyle w:val="16"/>
                        <w:spacing w:before="0" w:beforeAutospacing="0" w:after="0" w:afterAutospacing="0"/>
                        <w:rPr>
                          <w:rFonts w:ascii="Aptos" w:hAnsi="Aptos" w:eastAsiaTheme="minorEastAsia" w:cstheme="minorBidi"/>
                          <w:b/>
                          <w:bCs/>
                          <w:color w:val="00ADBF"/>
                          <w:kern w:val="24"/>
                          <w:sz w:val="44"/>
                          <w:szCs w:val="44"/>
                          <w:lang w:val="en-US" w:eastAsia="en-US"/>
                        </w:rPr>
                      </w:pPr>
                    </w:p>
                    <w:p>
                      <w:pPr>
                        <w:pStyle w:val="16"/>
                        <w:spacing w:before="0" w:beforeAutospacing="0" w:after="0" w:afterAutospacing="0"/>
                        <w:rPr>
                          <w:rFonts w:ascii="Aptos" w:hAnsi="Aptos" w:eastAsiaTheme="minorEastAsia" w:cstheme="minorBidi"/>
                          <w:b/>
                          <w:bCs/>
                          <w:color w:val="00ADBF"/>
                          <w:kern w:val="24"/>
                          <w:sz w:val="44"/>
                          <w:szCs w:val="44"/>
                          <w:lang w:val="en-US" w:eastAsia="en-US"/>
                        </w:rPr>
                      </w:pPr>
                    </w:p>
                    <w:p>
                      <w:pPr>
                        <w:pStyle w:val="16"/>
                        <w:spacing w:before="0" w:beforeAutospacing="0" w:after="0" w:afterAutospacing="0"/>
                        <w:rPr>
                          <w:rFonts w:ascii="Aptos" w:hAnsi="Aptos" w:eastAsiaTheme="minorEastAsia" w:cstheme="minorBidi"/>
                          <w:b/>
                          <w:bCs/>
                          <w:color w:val="00ADBF"/>
                          <w:kern w:val="24"/>
                          <w:sz w:val="56"/>
                          <w:szCs w:val="56"/>
                          <w:lang w:val="en-US" w:eastAsia="en-US"/>
                        </w:rPr>
                      </w:pPr>
                    </w:p>
                    <w:p>
                      <w:pPr>
                        <w:pStyle w:val="16"/>
                        <w:spacing w:before="0" w:beforeAutospacing="0" w:after="0" w:afterAutospacing="0"/>
                        <w:rPr>
                          <w:rFonts w:ascii="Aptos" w:hAnsi="Aptos" w:eastAsiaTheme="minorEastAsia" w:cstheme="minorBidi"/>
                          <w:b/>
                          <w:bCs/>
                          <w:color w:val="FFFFFF" w:themeColor="background1"/>
                          <w:kern w:val="24"/>
                          <w:sz w:val="40"/>
                          <w:szCs w:val="40"/>
                          <w:lang w:val="en-US"/>
                          <w14:textFill>
                            <w14:solidFill>
                              <w14:schemeClr w14:val="bg1"/>
                            </w14:solidFill>
                          </w14:textFill>
                        </w:rPr>
                      </w:pPr>
                      <w:r>
                        <w:drawing>
                          <wp:inline distT="0" distB="0" distL="0" distR="0">
                            <wp:extent cx="2576830" cy="740410"/>
                            <wp:effectExtent l="0" t="0" r="0" b="2540"/>
                            <wp:docPr id="5" name="NB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BG Logo"/>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2616993" cy="752385"/>
                                    </a:xfrm>
                                    <a:prstGeom prst="rect">
                                      <a:avLst/>
                                    </a:prstGeom>
                                  </pic:spPr>
                                </pic:pic>
                              </a:graphicData>
                            </a:graphic>
                          </wp:inline>
                        </w:drawing>
                      </w:r>
                      <w:r>
                        <w:rPr>
                          <w:rFonts w:ascii="Aptos" w:hAnsi="Aptos" w:eastAsiaTheme="minorEastAsia" w:cstheme="minorBidi"/>
                          <w:b/>
                          <w:bCs/>
                          <w:color w:val="00ADBF"/>
                          <w:kern w:val="24"/>
                          <w:sz w:val="44"/>
                          <w:szCs w:val="44"/>
                          <w:lang w:val="en-US" w:eastAsia="en-US"/>
                        </w:rPr>
                        <w:t xml:space="preserve">                                    </w:t>
                      </w:r>
                      <w:r>
                        <w:rPr>
                          <w:rFonts w:ascii="Aptos" w:hAnsi="Aptos" w:eastAsiaTheme="minorEastAsia" w:cstheme="minorBidi"/>
                          <w:b/>
                          <w:bCs/>
                          <w:color w:val="FFFFFF" w:themeColor="background1"/>
                          <w:kern w:val="24"/>
                          <w:sz w:val="44"/>
                          <w:szCs w:val="44"/>
                          <w:lang w:val="en-US" w:eastAsia="en-US"/>
                          <w14:textFill>
                            <w14:solidFill>
                              <w14:schemeClr w14:val="bg1"/>
                            </w14:solidFill>
                          </w14:textFill>
                        </w:rPr>
                        <w:t xml:space="preserve">12 </w:t>
                      </w:r>
                      <w:r>
                        <w:rPr>
                          <w:rFonts w:ascii="Aptos" w:hAnsi="Aptos" w:eastAsiaTheme="minorEastAsia" w:cstheme="minorBidi"/>
                          <w:b/>
                          <w:bCs/>
                          <w:color w:val="FFFFFF" w:themeColor="background1"/>
                          <w:kern w:val="24"/>
                          <w:sz w:val="44"/>
                          <w:szCs w:val="44"/>
                          <w:lang w:eastAsia="en-US"/>
                          <w14:textFill>
                            <w14:solidFill>
                              <w14:schemeClr w14:val="bg1"/>
                            </w14:solidFill>
                          </w14:textFill>
                        </w:rPr>
                        <w:t>Μαρτίου</w:t>
                      </w:r>
                      <w:r>
                        <w:rPr>
                          <w:rFonts w:ascii="Aptos" w:hAnsi="Aptos" w:eastAsiaTheme="minorEastAsia" w:cstheme="minorBidi"/>
                          <w:b/>
                          <w:bCs/>
                          <w:color w:val="FFFFFF" w:themeColor="background1"/>
                          <w:kern w:val="24"/>
                          <w:sz w:val="44"/>
                          <w:szCs w:val="44"/>
                          <w:lang w:val="en-US" w:eastAsia="en-US"/>
                          <w14:textFill>
                            <w14:solidFill>
                              <w14:schemeClr w14:val="bg1"/>
                            </w14:solidFill>
                          </w14:textFill>
                        </w:rPr>
                        <w:t xml:space="preserve"> 2024</w:t>
                      </w:r>
                      <w:r>
                        <w:rPr>
                          <w:color w:val="FFFFFF" w:themeColor="background1"/>
                          <w:lang w:val="en-US"/>
                          <w14:textFill>
                            <w14:solidFill>
                              <w14:schemeClr w14:val="bg1"/>
                            </w14:solidFill>
                          </w14:textFill>
                        </w:rPr>
                        <w:t xml:space="preserve"> </w:t>
                      </w:r>
                    </w:p>
                    <w:p>
                      <w:pPr>
                        <w:pStyle w:val="16"/>
                        <w:spacing w:before="0" w:beforeAutospacing="0" w:after="0" w:afterAutospacing="0"/>
                        <w:jc w:val="right"/>
                        <w:rPr>
                          <w:rFonts w:ascii="Aptos" w:hAnsi="Aptos" w:eastAsiaTheme="minorEastAsia" w:cstheme="minorBidi"/>
                          <w:b/>
                          <w:bCs/>
                          <w:color w:val="00ADBF"/>
                          <w:kern w:val="24"/>
                          <w:sz w:val="68"/>
                          <w:szCs w:val="68"/>
                          <w:lang w:val="en-US"/>
                        </w:rPr>
                      </w:pPr>
                    </w:p>
                  </w:txbxContent>
                </v:textbox>
              </v:rect>
            </w:pict>
          </mc:Fallback>
        </mc:AlternateContent>
      </w:r>
      <w:r>
        <w:rPr>
          <w:rFonts w:ascii="Aptos ExtraBold" w:hAnsi="Aptos ExtraBold" w:eastAsia="+mn-ea" w:cs="+mn-cs"/>
          <w:b/>
          <w:bCs/>
          <w:color w:val="003841"/>
          <w:kern w:val="24"/>
          <w:sz w:val="46"/>
          <w:szCs w:val="46"/>
          <w:lang w:val="en-GB"/>
        </w:rPr>
        <w:drawing>
          <wp:anchor distT="0" distB="0" distL="114300" distR="114300" simplePos="0" relativeHeight="251688960" behindDoc="1" locked="0" layoutInCell="1" allowOverlap="1">
            <wp:simplePos x="0" y="0"/>
            <wp:positionH relativeFrom="page">
              <wp:align>left</wp:align>
            </wp:positionH>
            <wp:positionV relativeFrom="paragraph">
              <wp:posOffset>-609600</wp:posOffset>
            </wp:positionV>
            <wp:extent cx="7635240" cy="10658475"/>
            <wp:effectExtent l="0" t="0" r="3810" b="9525"/>
            <wp:wrapNone/>
            <wp:docPr id="20" name="Picture 20" descr="Low angle view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w angle view of a building&#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635834" cy="10659304"/>
                    </a:xfrm>
                    <a:prstGeom prst="rect">
                      <a:avLst/>
                    </a:prstGeom>
                    <a:noFill/>
                    <a:ln>
                      <a:noFill/>
                    </a:ln>
                  </pic:spPr>
                </pic:pic>
              </a:graphicData>
            </a:graphic>
          </wp:anchor>
        </w:drawing>
      </w:r>
    </w:p>
    <w:p>
      <w:pPr>
        <w:tabs>
          <w:tab w:val="left" w:pos="580"/>
        </w:tabs>
        <w:rPr>
          <w:rFonts w:ascii="Segoe UI" w:hAnsi="Segoe UI" w:cs="Segoe UI"/>
          <w:color w:val="595959"/>
          <w:sz w:val="2"/>
          <w:szCs w:val="2"/>
          <w:lang w:val="en-US"/>
        </w:rPr>
      </w:pPr>
      <w:r>
        <w:rPr>
          <w:rFonts w:ascii="Segoe UI" w:hAnsi="Segoe UI" w:cs="Segoe UI"/>
          <w:color w:val="595959"/>
          <w:sz w:val="10"/>
          <w:szCs w:val="10"/>
          <w:lang w:val="en-US"/>
        </w:rPr>
        <w:tab/>
      </w:r>
    </w:p>
    <w:p>
      <w:pPr>
        <w:rPr>
          <w:rFonts w:ascii="Aptos ExtraBold" w:hAnsi="Aptos ExtraBold" w:eastAsia="+mn-ea" w:cs="+mn-cs"/>
          <w:b/>
          <w:bCs/>
          <w:color w:val="595959"/>
          <w:kern w:val="24"/>
          <w:sz w:val="46"/>
          <w:szCs w:val="46"/>
          <w:lang w:val="en-GB" w:eastAsia="en-GB"/>
        </w:rPr>
      </w:pPr>
      <w:r>
        <w:rPr>
          <w:rFonts w:ascii="Aptos ExtraBold" w:hAnsi="Aptos ExtraBold" w:eastAsia="+mn-ea" w:cs="+mn-cs"/>
          <w:b/>
          <w:bCs/>
          <w:color w:val="595959"/>
          <w:kern w:val="24"/>
          <w:sz w:val="46"/>
          <w:szCs w:val="46"/>
          <w:lang w:val="en-GB"/>
        </w:rPr>
        <w:br w:type="page"/>
      </w:r>
    </w:p>
    <w:p>
      <w:pPr>
        <w:pStyle w:val="16"/>
        <w:spacing w:before="180" w:beforeAutospacing="0" w:after="0" w:afterAutospacing="0" w:line="264" w:lineRule="auto"/>
        <w:jc w:val="center"/>
        <w:rPr>
          <w:rFonts w:ascii="Aptos ExtraBold" w:hAnsi="Aptos ExtraBold" w:eastAsia="+mn-ea" w:cs="+mn-cs"/>
          <w:b/>
          <w:bCs/>
          <w:color w:val="595959"/>
          <w:kern w:val="24"/>
          <w:sz w:val="32"/>
          <w:szCs w:val="38"/>
        </w:rPr>
      </w:pPr>
      <w:r>
        <w:rPr>
          <w:rFonts w:ascii="Aptos ExtraBold" w:hAnsi="Aptos ExtraBold" w:eastAsia="+mn-ea" w:cs="+mn-cs"/>
          <w:b/>
          <w:bCs/>
          <w:color w:val="003841"/>
          <w:kern w:val="24"/>
          <w:sz w:val="32"/>
          <w:szCs w:val="38"/>
        </w:rPr>
        <w:t xml:space="preserve">Ισχυρές επιδόσεις σε όλους τους τομείς </w:t>
      </w:r>
    </w:p>
    <w:tbl>
      <w:tblPr>
        <w:tblStyle w:val="19"/>
        <w:tblW w:w="10224" w:type="dxa"/>
        <w:tblInd w:w="0" w:type="dxa"/>
        <w:tblBorders>
          <w:top w:val="dotted" w:color="003841" w:sz="4" w:space="0"/>
          <w:left w:val="dotted" w:color="003841" w:sz="4" w:space="0"/>
          <w:bottom w:val="dotted" w:color="003841" w:sz="4" w:space="0"/>
          <w:right w:val="dotted" w:color="003841" w:sz="4" w:space="0"/>
          <w:insideH w:val="dotted" w:color="003841" w:sz="4" w:space="0"/>
          <w:insideV w:val="dotted" w:color="003841" w:sz="4" w:space="0"/>
        </w:tblBorders>
        <w:shd w:val="clear" w:color="auto" w:fill="F5F9F6"/>
        <w:tblLayout w:type="autofit"/>
        <w:tblCellMar>
          <w:top w:w="0" w:type="dxa"/>
          <w:left w:w="108" w:type="dxa"/>
          <w:bottom w:w="0" w:type="dxa"/>
          <w:right w:w="108" w:type="dxa"/>
        </w:tblCellMar>
      </w:tblPr>
      <w:tblGrid>
        <w:gridCol w:w="5112"/>
        <w:gridCol w:w="5112"/>
      </w:tblGrid>
      <w:tr>
        <w:tblPrEx>
          <w:tblBorders>
            <w:top w:val="dotted" w:color="003841" w:sz="4" w:space="0"/>
            <w:left w:val="dotted" w:color="003841" w:sz="4" w:space="0"/>
            <w:bottom w:val="dotted" w:color="003841" w:sz="4" w:space="0"/>
            <w:right w:val="dotted" w:color="003841" w:sz="4" w:space="0"/>
            <w:insideH w:val="dotted" w:color="003841" w:sz="4" w:space="0"/>
            <w:insideV w:val="dotted" w:color="003841" w:sz="4" w:space="0"/>
          </w:tblBorders>
          <w:shd w:val="clear" w:color="auto" w:fill="F5F9F6"/>
          <w:tblCellMar>
            <w:top w:w="0" w:type="dxa"/>
            <w:left w:w="108" w:type="dxa"/>
            <w:bottom w:w="0" w:type="dxa"/>
            <w:right w:w="108" w:type="dxa"/>
          </w:tblCellMar>
        </w:tblPrEx>
        <w:trPr>
          <w:trHeight w:val="432" w:hRule="atLeast"/>
        </w:trPr>
        <w:tc>
          <w:tcPr>
            <w:tcW w:w="10224" w:type="dxa"/>
            <w:gridSpan w:val="2"/>
            <w:tcBorders>
              <w:bottom w:val="dotted" w:color="003841" w:sz="4" w:space="0"/>
            </w:tcBorders>
            <w:shd w:val="clear" w:color="auto" w:fill="003841"/>
            <w:vAlign w:val="center"/>
          </w:tcPr>
          <w:p>
            <w:pPr>
              <w:pStyle w:val="16"/>
              <w:spacing w:before="180" w:beforeAutospacing="0" w:after="0" w:afterAutospacing="0" w:line="264" w:lineRule="auto"/>
              <w:jc w:val="center"/>
              <w:rPr>
                <w:rFonts w:ascii="Aptos ExtraBold" w:hAnsi="Aptos ExtraBold" w:eastAsia="+mn-ea" w:cs="+mn-cs"/>
                <w:b/>
                <w:bCs/>
                <w:color w:val="003841"/>
                <w:kern w:val="24"/>
                <w:sz w:val="40"/>
                <w:szCs w:val="38"/>
              </w:rPr>
            </w:pPr>
            <w:r>
              <w:rPr>
                <w:rFonts w:ascii="Aptos ExtraBold" w:hAnsi="Aptos ExtraBold" w:eastAsia="+mn-ea" w:cs="+mn-cs"/>
                <w:b/>
                <w:bCs/>
                <w:color w:val="FFFFFF" w:themeColor="background1"/>
                <w:kern w:val="24"/>
                <w:sz w:val="32"/>
                <w:szCs w:val="34"/>
                <w14:textFill>
                  <w14:solidFill>
                    <w14:schemeClr w14:val="bg1"/>
                  </w14:solidFill>
                </w14:textFill>
              </w:rPr>
              <w:t>Εντυπωσιακή κερδοφορία και αποδόσεις</w:t>
            </w:r>
          </w:p>
        </w:tc>
      </w:tr>
      <w:tr>
        <w:tblPrEx>
          <w:tblBorders>
            <w:top w:val="dotted" w:color="003841" w:sz="4" w:space="0"/>
            <w:left w:val="dotted" w:color="003841" w:sz="4" w:space="0"/>
            <w:bottom w:val="dotted" w:color="003841" w:sz="4" w:space="0"/>
            <w:right w:val="dotted" w:color="003841" w:sz="4" w:space="0"/>
            <w:insideH w:val="dotted" w:color="003841" w:sz="4" w:space="0"/>
            <w:insideV w:val="dotted" w:color="003841" w:sz="4" w:space="0"/>
          </w:tblBorders>
          <w:shd w:val="clear" w:color="auto" w:fill="F5F9F6"/>
          <w:tblCellMar>
            <w:top w:w="0" w:type="dxa"/>
            <w:left w:w="108" w:type="dxa"/>
            <w:bottom w:w="0" w:type="dxa"/>
            <w:right w:w="108" w:type="dxa"/>
          </w:tblCellMar>
        </w:tblPrEx>
        <w:trPr>
          <w:trHeight w:val="1296" w:hRule="atLeast"/>
        </w:trPr>
        <w:tc>
          <w:tcPr>
            <w:tcW w:w="5112" w:type="dxa"/>
            <w:tcBorders>
              <w:left w:val="nil"/>
              <w:bottom w:val="nil"/>
            </w:tcBorders>
            <w:shd w:val="clear" w:color="auto" w:fill="F5F9F6"/>
            <w:vAlign w:val="bottom"/>
          </w:tcPr>
          <w:p>
            <w:pPr>
              <w:pStyle w:val="16"/>
              <w:spacing w:before="180" w:beforeAutospacing="0" w:after="0" w:afterAutospacing="0" w:line="264" w:lineRule="auto"/>
              <w:jc w:val="center"/>
              <w:rPr>
                <w:rFonts w:ascii="Segoe UI" w:hAnsi="Segoe UI" w:cs="Segoe UI"/>
                <w:color w:val="595959"/>
                <w:sz w:val="32"/>
                <w:szCs w:val="40"/>
              </w:rPr>
            </w:pPr>
            <w:r>
              <w:rPr>
                <w:rFonts w:ascii="Aptos ExtraBold" w:hAnsi="Aptos ExtraBold" w:eastAsia="+mn-ea" w:cs="+mn-cs"/>
                <w:b/>
                <w:bCs/>
                <w:color w:val="003841"/>
                <w:kern w:val="24"/>
                <w:sz w:val="28"/>
                <w:szCs w:val="28"/>
              </w:rPr>
              <w:t>Οργανικά κέρδη μετά φόρων¹</w:t>
            </w:r>
            <w:r>
              <w:rPr>
                <w:rFonts w:ascii="Aptos ExtraBold" w:hAnsi="Aptos ExtraBold" w:eastAsia="+mn-ea" w:cs="+mn-cs"/>
                <w:b/>
                <w:bCs/>
                <w:color w:val="595959"/>
                <w:kern w:val="24"/>
                <w:sz w:val="32"/>
                <w:szCs w:val="40"/>
              </w:rPr>
              <w:br w:type="textWrapping"/>
            </w:r>
            <w:r>
              <w:rPr>
                <w:rFonts w:ascii="Aptos ExtraBold" w:hAnsi="Aptos ExtraBold" w:eastAsia="+mn-ea" w:cs="+mn-cs"/>
                <w:b/>
                <w:bCs/>
                <w:color w:val="007B85"/>
                <w:kern w:val="24"/>
                <w:sz w:val="28"/>
                <w:szCs w:val="38"/>
              </w:rPr>
              <w:t>€1,2 δισ.</w:t>
            </w:r>
            <w:r>
              <w:rPr>
                <w:rFonts w:ascii="Aptos ExtraBold" w:hAnsi="Aptos ExtraBold" w:eastAsia="+mn-ea" w:cs="+mn-cs"/>
                <w:color w:val="007B85"/>
                <w:kern w:val="24"/>
                <w:sz w:val="28"/>
                <w:szCs w:val="38"/>
              </w:rPr>
              <w:t xml:space="preserve"> </w:t>
            </w:r>
            <w:r>
              <w:rPr>
                <w:rFonts w:ascii="Aptos" w:hAnsi="Aptos" w:eastAsia="+mn-ea" w:cs="+mn-cs"/>
                <w:b/>
                <w:bCs/>
                <w:color w:val="007B85"/>
                <w:kern w:val="24"/>
              </w:rPr>
              <w:t>το 2023,</w:t>
            </w:r>
            <w:r>
              <w:rPr>
                <w:rFonts w:ascii="Aptos ExtraBold" w:hAnsi="Aptos ExtraBold" w:eastAsia="+mn-ea" w:cs="+mn-cs"/>
                <w:color w:val="007B85"/>
                <w:kern w:val="24"/>
              </w:rPr>
              <w:t xml:space="preserve"> </w:t>
            </w:r>
            <w:r>
              <w:rPr>
                <w:rFonts w:ascii="Aptos" w:hAnsi="Aptos" w:eastAsia="+mn-ea" w:cs="+mn-cs"/>
                <w:b/>
                <w:bCs/>
                <w:color w:val="007B85"/>
                <w:kern w:val="24"/>
              </w:rPr>
              <w:t>+2,5 φορές ετησίως</w:t>
            </w:r>
          </w:p>
        </w:tc>
        <w:tc>
          <w:tcPr>
            <w:tcW w:w="5112" w:type="dxa"/>
            <w:tcBorders>
              <w:bottom w:val="nil"/>
              <w:right w:val="nil"/>
            </w:tcBorders>
            <w:shd w:val="clear" w:color="auto" w:fill="F5F9F6"/>
            <w:vAlign w:val="bottom"/>
          </w:tcPr>
          <w:p>
            <w:pPr>
              <w:pStyle w:val="16"/>
              <w:spacing w:before="180" w:beforeAutospacing="0" w:after="0" w:afterAutospacing="0" w:line="264" w:lineRule="auto"/>
              <w:jc w:val="center"/>
              <w:rPr>
                <w:rFonts w:ascii="Segoe UI" w:hAnsi="Segoe UI" w:cs="Segoe UI"/>
                <w:color w:val="595959"/>
                <w:sz w:val="32"/>
                <w:szCs w:val="34"/>
              </w:rPr>
            </w:pPr>
            <w:r>
              <w:rPr>
                <w:rFonts w:ascii="Aptos ExtraBold" w:hAnsi="Aptos ExtraBold" w:eastAsia="+mn-ea" w:cs="+mn-cs"/>
                <w:b/>
                <w:bCs/>
                <w:color w:val="003841"/>
                <w:kern w:val="24"/>
                <w:sz w:val="28"/>
                <w:szCs w:val="32"/>
                <w14:props3d w14:extrusionH="0" w14:contourW="0" w14:prstMaterial="matte"/>
              </w:rPr>
              <w:t xml:space="preserve">Οργανικά έσοδα </w:t>
            </w:r>
            <w:r>
              <w:rPr>
                <w:rFonts w:ascii="Aptos ExtraBold" w:hAnsi="Aptos ExtraBold" w:eastAsia="+mn-ea" w:cs="+mn-cs"/>
                <w:b/>
                <w:bCs/>
                <w:color w:val="595959"/>
                <w:kern w:val="24"/>
                <w:sz w:val="32"/>
                <w:szCs w:val="34"/>
              </w:rPr>
              <w:br w:type="textWrapping"/>
            </w:r>
            <w:r>
              <w:rPr>
                <w:rFonts w:ascii="Aptos ExtraBold" w:hAnsi="Aptos ExtraBold" w:eastAsia="+mn-ea" w:cs="+mn-cs"/>
                <w:b/>
                <w:bCs/>
                <w:color w:val="007B85"/>
                <w:kern w:val="24"/>
                <w:sz w:val="28"/>
                <w:szCs w:val="32"/>
              </w:rPr>
              <w:t>€2,6 δισ</w:t>
            </w:r>
            <w:r>
              <w:rPr>
                <w:rFonts w:ascii="Aptos" w:hAnsi="Aptos" w:eastAsia="+mn-ea" w:cs="+mn-cs"/>
                <w:b/>
                <w:bCs/>
                <w:color w:val="007B85"/>
                <w:kern w:val="24"/>
              </w:rPr>
              <w:t>.</w:t>
            </w:r>
            <w:r>
              <w:rPr>
                <w:rFonts w:ascii="Aptos" w:hAnsi="Aptos" w:eastAsia="+mn-ea" w:cs="+mn-cs"/>
                <w:b/>
                <w:bCs/>
                <w:color w:val="007B85"/>
                <w:kern w:val="24"/>
                <w:sz w:val="26"/>
                <w:szCs w:val="26"/>
              </w:rPr>
              <w:t xml:space="preserve"> το 2023</w:t>
            </w:r>
            <w:r>
              <w:rPr>
                <w:rFonts w:ascii="Aptos" w:hAnsi="Aptos" w:eastAsia="+mn-ea" w:cs="+mn-cs"/>
                <w:b/>
                <w:bCs/>
                <w:color w:val="007B85"/>
                <w:kern w:val="24"/>
              </w:rPr>
              <w:t>,</w:t>
            </w:r>
            <w:r>
              <w:rPr>
                <w:rFonts w:ascii="Aptos ExtraBold" w:hAnsi="Aptos ExtraBold" w:eastAsia="+mn-ea" w:cs="+mn-cs"/>
                <w:b/>
                <w:bCs/>
                <w:color w:val="007B85"/>
                <w:kern w:val="24"/>
                <w:sz w:val="28"/>
                <w:szCs w:val="32"/>
              </w:rPr>
              <w:t xml:space="preserve"> </w:t>
            </w:r>
            <w:r>
              <w:rPr>
                <w:rFonts w:ascii="Aptos" w:hAnsi="Aptos" w:eastAsia="+mn-ea" w:cs="+mn-cs"/>
                <w:b/>
                <w:bCs/>
                <w:color w:val="007B85"/>
                <w:kern w:val="24"/>
              </w:rPr>
              <w:t>+54% ετησίως</w:t>
            </w:r>
          </w:p>
        </w:tc>
      </w:tr>
      <w:tr>
        <w:tblPrEx>
          <w:tblBorders>
            <w:top w:val="dotted" w:color="003841" w:sz="4" w:space="0"/>
            <w:left w:val="dotted" w:color="003841" w:sz="4" w:space="0"/>
            <w:bottom w:val="dotted" w:color="003841" w:sz="4" w:space="0"/>
            <w:right w:val="dotted" w:color="003841" w:sz="4" w:space="0"/>
            <w:insideH w:val="dotted" w:color="003841" w:sz="4" w:space="0"/>
            <w:insideV w:val="dotted" w:color="003841" w:sz="4" w:space="0"/>
          </w:tblBorders>
          <w:shd w:val="clear" w:color="auto" w:fill="F5F9F6"/>
          <w:tblCellMar>
            <w:top w:w="0" w:type="dxa"/>
            <w:left w:w="108" w:type="dxa"/>
            <w:bottom w:w="0" w:type="dxa"/>
            <w:right w:w="108" w:type="dxa"/>
          </w:tblCellMar>
        </w:tblPrEx>
        <w:trPr>
          <w:trHeight w:val="1296" w:hRule="atLeast"/>
        </w:trPr>
        <w:tc>
          <w:tcPr>
            <w:tcW w:w="5112" w:type="dxa"/>
            <w:tcBorders>
              <w:top w:val="nil"/>
              <w:left w:val="nil"/>
            </w:tcBorders>
            <w:shd w:val="clear" w:color="auto" w:fill="F5F9F6"/>
          </w:tcPr>
          <w:p>
            <w:pPr>
              <w:pStyle w:val="16"/>
              <w:spacing w:before="180" w:beforeAutospacing="0" w:after="0" w:afterAutospacing="0" w:line="264" w:lineRule="auto"/>
              <w:jc w:val="center"/>
              <w:rPr>
                <w:rFonts w:ascii="Aptos ExtraBold" w:hAnsi="Aptos ExtraBold" w:eastAsia="+mn-ea" w:cs="+mn-cs"/>
                <w:b/>
                <w:bCs/>
                <w:color w:val="595959"/>
                <w:kern w:val="24"/>
                <w:sz w:val="32"/>
                <w:szCs w:val="40"/>
              </w:rPr>
            </w:pPr>
            <w:r>
              <w:rPr>
                <w:rFonts w:ascii="Aptos ExtraBold" w:hAnsi="Aptos ExtraBold" w:eastAsia="+mn-ea" w:cs="+mn-cs"/>
                <w:b/>
                <w:bCs/>
                <w:color w:val="003841"/>
                <w:kern w:val="24"/>
                <w:sz w:val="28"/>
                <w:szCs w:val="38"/>
              </w:rPr>
              <w:t>Απόδοση ιδίων κεφαλαίων</w:t>
            </w:r>
            <w:r>
              <w:rPr>
                <w:rFonts w:ascii="Aptos ExtraBold" w:hAnsi="Aptos ExtraBold" w:eastAsia="+mn-ea" w:cs="+mn-cs"/>
                <w:b/>
                <w:bCs/>
                <w:color w:val="003841"/>
                <w:kern w:val="24"/>
                <w:sz w:val="28"/>
                <w:szCs w:val="38"/>
                <w:vertAlign w:val="superscript"/>
              </w:rPr>
              <w:t>2</w:t>
            </w:r>
            <w:r>
              <w:rPr>
                <w:rFonts w:ascii="Aptos ExtraBold" w:hAnsi="Aptos ExtraBold" w:eastAsia="+mn-ea" w:cs="+mn-cs"/>
                <w:b/>
                <w:bCs/>
                <w:color w:val="003841"/>
                <w:kern w:val="24"/>
                <w:sz w:val="28"/>
                <w:szCs w:val="38"/>
              </w:rPr>
              <w:t xml:space="preserve"> </w:t>
            </w:r>
            <w:r>
              <w:rPr>
                <w:rFonts w:ascii="Aptos ExtraBold" w:hAnsi="Aptos ExtraBold" w:eastAsia="+mn-ea" w:cs="+mn-cs"/>
                <w:b/>
                <w:bCs/>
                <w:color w:val="595959"/>
                <w:kern w:val="24"/>
                <w:sz w:val="32"/>
                <w:szCs w:val="40"/>
              </w:rPr>
              <w:br w:type="textWrapping"/>
            </w:r>
            <w:r>
              <w:rPr>
                <w:rFonts w:ascii="Aptos ExtraBold" w:hAnsi="Aptos ExtraBold" w:eastAsia="+mn-ea" w:cs="+mn-cs"/>
                <w:b/>
                <w:bCs/>
                <w:color w:val="007B85"/>
                <w:kern w:val="24"/>
                <w:sz w:val="28"/>
                <w:szCs w:val="38"/>
              </w:rPr>
              <w:t>18,3%</w:t>
            </w:r>
            <w:r>
              <w:rPr>
                <w:rFonts w:ascii="Aptos ExtraBold" w:hAnsi="Aptos ExtraBold" w:eastAsia="+mn-ea" w:cs="+mn-cs"/>
                <w:b/>
                <w:bCs/>
                <w:color w:val="007B85"/>
                <w:kern w:val="24"/>
                <w:sz w:val="32"/>
                <w:szCs w:val="40"/>
              </w:rPr>
              <w:t xml:space="preserve"> </w:t>
            </w:r>
            <w:r>
              <w:rPr>
                <w:rFonts w:ascii="Aptos" w:hAnsi="Aptos" w:eastAsia="+mn-ea" w:cs="+mn-cs"/>
                <w:b/>
                <w:bCs/>
                <w:color w:val="007B85"/>
                <w:kern w:val="24"/>
                <w:sz w:val="26"/>
                <w:szCs w:val="26"/>
              </w:rPr>
              <w:t xml:space="preserve">το 2023, </w:t>
            </w:r>
            <w:r>
              <w:rPr>
                <w:rFonts w:ascii="Aptos" w:hAnsi="Aptos" w:eastAsia="+mn-ea" w:cs="+mn-cs"/>
                <w:b/>
                <w:bCs/>
                <w:color w:val="007B85"/>
                <w:kern w:val="24"/>
                <w:szCs w:val="36"/>
              </w:rPr>
              <w:t>+10π.μ. ετησίως</w:t>
            </w:r>
          </w:p>
        </w:tc>
        <w:tc>
          <w:tcPr>
            <w:tcW w:w="5112" w:type="dxa"/>
            <w:tcBorders>
              <w:top w:val="nil"/>
              <w:right w:val="nil"/>
            </w:tcBorders>
            <w:shd w:val="clear" w:color="auto" w:fill="F5F9F6"/>
          </w:tcPr>
          <w:p>
            <w:pPr>
              <w:pStyle w:val="16"/>
              <w:spacing w:before="180" w:beforeAutospacing="0" w:after="0" w:afterAutospacing="0" w:line="264" w:lineRule="auto"/>
              <w:jc w:val="center"/>
              <w:rPr>
                <w:rFonts w:ascii="Aptos ExtraBold" w:hAnsi="Aptos ExtraBold" w:eastAsia="+mn-ea" w:cs="+mn-cs"/>
                <w:b/>
                <w:bCs/>
                <w:color w:val="595959"/>
                <w:kern w:val="24"/>
                <w:sz w:val="32"/>
                <w:szCs w:val="34"/>
              </w:rPr>
            </w:pPr>
            <w:r>
              <w:rPr>
                <w:rFonts w:ascii="Aptos ExtraBold" w:hAnsi="Aptos ExtraBold" w:eastAsia="+mn-ea" w:cs="+mn-cs"/>
                <w:b/>
                <w:bCs/>
                <w:color w:val="003841"/>
                <w:kern w:val="24"/>
                <w:sz w:val="28"/>
                <w:szCs w:val="30"/>
                <w14:props3d w14:extrusionH="0" w14:contourW="0" w14:prstMaterial="matte"/>
              </w:rPr>
              <w:t xml:space="preserve">Κόστος προς οργανικά έσοδα     </w:t>
            </w:r>
            <w:r>
              <w:rPr>
                <w:rFonts w:ascii="Aptos ExtraBold" w:hAnsi="Aptos ExtraBold" w:eastAsia="+mn-ea" w:cs="+mn-cs"/>
                <w:b/>
                <w:bCs/>
                <w:color w:val="003841"/>
                <w:kern w:val="24"/>
                <w:szCs w:val="30"/>
                <w14:props3d w14:extrusionH="0" w14:contourW="0" w14:prstMaterial="matte"/>
              </w:rPr>
              <w:t xml:space="preserve">  </w:t>
            </w:r>
            <w:r>
              <w:rPr>
                <w:rFonts w:ascii="Aptos ExtraBold" w:hAnsi="Aptos ExtraBold" w:eastAsia="+mn-ea" w:cs="+mn-cs"/>
                <w:b/>
                <w:bCs/>
                <w:color w:val="007B85"/>
                <w:kern w:val="24"/>
                <w:sz w:val="28"/>
                <w:szCs w:val="32"/>
              </w:rPr>
              <w:t>31,6%</w:t>
            </w:r>
            <w:r>
              <w:rPr>
                <w:rFonts w:ascii="Aptos" w:hAnsi="Aptos" w:eastAsia="+mn-ea" w:cs="+mn-cs"/>
                <w:b/>
                <w:bCs/>
                <w:color w:val="007B85"/>
                <w:kern w:val="24"/>
                <w:sz w:val="26"/>
                <w:szCs w:val="26"/>
              </w:rPr>
              <w:t xml:space="preserve"> το 2023</w:t>
            </w:r>
            <w:r>
              <w:rPr>
                <w:rFonts w:ascii="Aptos" w:hAnsi="Aptos" w:eastAsia="+mn-ea" w:cs="+mn-cs"/>
                <w:b/>
                <w:bCs/>
                <w:color w:val="007B85"/>
                <w:kern w:val="24"/>
              </w:rPr>
              <w:t xml:space="preserve">, </w:t>
            </w:r>
            <w:r>
              <w:rPr>
                <w:rFonts w:ascii="Aptos" w:hAnsi="Aptos" w:eastAsia="+mn-ea" w:cs="+mn-cs"/>
                <w:b/>
                <w:bCs/>
                <w:color w:val="007B85"/>
                <w:kern w:val="24"/>
                <w:sz w:val="28"/>
                <w:szCs w:val="32"/>
              </w:rPr>
              <w:t>-</w:t>
            </w:r>
            <w:r>
              <w:rPr>
                <w:rFonts w:ascii="Aptos" w:hAnsi="Aptos" w:eastAsia="+mn-ea" w:cs="+mn-cs"/>
                <w:b/>
                <w:bCs/>
                <w:color w:val="007B85"/>
                <w:kern w:val="24"/>
              </w:rPr>
              <w:t>15π.μ. ετησίως</w:t>
            </w:r>
          </w:p>
        </w:tc>
      </w:tr>
    </w:tbl>
    <w:p>
      <w:pPr>
        <w:pStyle w:val="16"/>
        <w:spacing w:before="0" w:beforeAutospacing="0" w:after="0" w:afterAutospacing="0"/>
        <w:rPr>
          <w:rFonts w:ascii="Aptos Light" w:hAnsi="Aptos Light" w:eastAsiaTheme="minorEastAsia" w:cstheme="minorBidi"/>
          <w:color w:val="595959"/>
          <w:kern w:val="24"/>
          <w:sz w:val="20"/>
          <w:szCs w:val="20"/>
        </w:rPr>
      </w:pPr>
    </w:p>
    <w:tbl>
      <w:tblPr>
        <w:tblStyle w:val="19"/>
        <w:tblW w:w="10224" w:type="dxa"/>
        <w:tblInd w:w="0" w:type="dxa"/>
        <w:tblBorders>
          <w:top w:val="dotted" w:color="003841" w:sz="4" w:space="0"/>
          <w:left w:val="none" w:color="auto" w:sz="0" w:space="0"/>
          <w:bottom w:val="dotted" w:color="003841" w:sz="4" w:space="0"/>
          <w:right w:val="none" w:color="auto" w:sz="0" w:space="0"/>
          <w:insideH w:val="dotted" w:color="003841" w:sz="4" w:space="0"/>
          <w:insideV w:val="dotted" w:color="003841" w:sz="4" w:space="0"/>
        </w:tblBorders>
        <w:shd w:val="clear" w:color="auto" w:fill="F5F9F6"/>
        <w:tblLayout w:type="autofit"/>
        <w:tblCellMar>
          <w:top w:w="0" w:type="dxa"/>
          <w:left w:w="108" w:type="dxa"/>
          <w:bottom w:w="0" w:type="dxa"/>
          <w:right w:w="108" w:type="dxa"/>
        </w:tblCellMar>
      </w:tblPr>
      <w:tblGrid>
        <w:gridCol w:w="5112"/>
        <w:gridCol w:w="5112"/>
      </w:tblGrid>
      <w:tr>
        <w:tblPrEx>
          <w:tblBorders>
            <w:top w:val="dotted" w:color="003841" w:sz="4" w:space="0"/>
            <w:left w:val="none" w:color="auto" w:sz="0" w:space="0"/>
            <w:bottom w:val="dotted" w:color="003841" w:sz="4" w:space="0"/>
            <w:right w:val="none" w:color="auto" w:sz="0" w:space="0"/>
            <w:insideH w:val="dotted" w:color="003841" w:sz="4" w:space="0"/>
            <w:insideV w:val="dotted" w:color="003841" w:sz="4" w:space="0"/>
          </w:tblBorders>
          <w:shd w:val="clear" w:color="auto" w:fill="F5F9F6"/>
          <w:tblCellMar>
            <w:top w:w="0" w:type="dxa"/>
            <w:left w:w="108" w:type="dxa"/>
            <w:bottom w:w="0" w:type="dxa"/>
            <w:right w:w="108" w:type="dxa"/>
          </w:tblCellMar>
        </w:tblPrEx>
        <w:trPr>
          <w:trHeight w:val="432" w:hRule="atLeast"/>
        </w:trPr>
        <w:tc>
          <w:tcPr>
            <w:tcW w:w="10224" w:type="dxa"/>
            <w:gridSpan w:val="2"/>
            <w:shd w:val="clear" w:color="auto" w:fill="003841"/>
            <w:vAlign w:val="center"/>
          </w:tcPr>
          <w:p>
            <w:pPr>
              <w:pStyle w:val="16"/>
              <w:spacing w:before="180" w:beforeAutospacing="0" w:after="0" w:afterAutospacing="0" w:line="264" w:lineRule="auto"/>
              <w:jc w:val="center"/>
              <w:rPr>
                <w:rFonts w:ascii="Aptos ExtraBold" w:hAnsi="Aptos ExtraBold" w:eastAsia="+mn-ea" w:cs="+mn-cs"/>
                <w:b/>
                <w:bCs/>
                <w:color w:val="FFFFFF" w:themeColor="background1"/>
                <w:kern w:val="24"/>
                <w:sz w:val="40"/>
                <w:szCs w:val="44"/>
                <w14:textFill>
                  <w14:solidFill>
                    <w14:schemeClr w14:val="bg1"/>
                  </w14:solidFill>
                </w14:textFill>
              </w:rPr>
            </w:pPr>
            <w:r>
              <w:rPr>
                <w:rFonts w:ascii="Aptos ExtraBold" w:hAnsi="Aptos ExtraBold" w:eastAsia="+mn-ea" w:cs="+mn-cs"/>
                <w:b/>
                <w:bCs/>
                <w:color w:val="FFFFFF" w:themeColor="background1"/>
                <w:kern w:val="24"/>
                <w:sz w:val="32"/>
                <w:szCs w:val="40"/>
                <w14:textFill>
                  <w14:solidFill>
                    <w14:schemeClr w14:val="bg1"/>
                  </w14:solidFill>
                </w14:textFill>
              </w:rPr>
              <w:t>Υγιής επέκταση εξυπηρετούμενων δανείων</w:t>
            </w:r>
          </w:p>
        </w:tc>
      </w:tr>
      <w:tr>
        <w:tblPrEx>
          <w:tblBorders>
            <w:top w:val="dotted" w:color="003841" w:sz="4" w:space="0"/>
            <w:left w:val="none" w:color="auto" w:sz="0" w:space="0"/>
            <w:bottom w:val="dotted" w:color="003841" w:sz="4" w:space="0"/>
            <w:right w:val="none" w:color="auto" w:sz="0" w:space="0"/>
            <w:insideH w:val="dotted" w:color="003841" w:sz="4" w:space="0"/>
            <w:insideV w:val="dotted" w:color="003841" w:sz="4" w:space="0"/>
          </w:tblBorders>
          <w:tblCellMar>
            <w:top w:w="0" w:type="dxa"/>
            <w:left w:w="108" w:type="dxa"/>
            <w:bottom w:w="0" w:type="dxa"/>
            <w:right w:w="108" w:type="dxa"/>
          </w:tblCellMar>
        </w:tblPrEx>
        <w:trPr>
          <w:trHeight w:val="2592" w:hRule="atLeast"/>
        </w:trPr>
        <w:tc>
          <w:tcPr>
            <w:tcW w:w="5112" w:type="dxa"/>
            <w:shd w:val="clear" w:color="auto" w:fill="F5F9F6"/>
            <w:vAlign w:val="center"/>
          </w:tcPr>
          <w:p>
            <w:pPr>
              <w:pStyle w:val="16"/>
              <w:spacing w:before="180" w:beforeAutospacing="0" w:after="0" w:afterAutospacing="0" w:line="264" w:lineRule="auto"/>
              <w:jc w:val="center"/>
              <w:rPr>
                <w:rFonts w:ascii="Aptos" w:hAnsi="Aptos" w:eastAsia="+mn-ea" w:cs="+mn-cs"/>
                <w:b/>
                <w:bCs/>
                <w:color w:val="007B85"/>
                <w:kern w:val="24"/>
                <w:sz w:val="40"/>
                <w:szCs w:val="44"/>
              </w:rPr>
            </w:pPr>
            <w:r>
              <w:rPr>
                <w:rFonts w:ascii="Aptos ExtraBold" w:hAnsi="Aptos ExtraBold" w:eastAsia="+mn-ea" w:cs="+mn-cs"/>
                <w:b/>
                <w:bCs/>
                <w:color w:val="003841"/>
                <w:kern w:val="24"/>
                <w:sz w:val="28"/>
                <w:szCs w:val="38"/>
              </w:rPr>
              <w:t>Εκταμιεύσεις</w:t>
            </w:r>
            <w:r>
              <w:rPr>
                <w:rFonts w:ascii="Aptos ExtraBold" w:hAnsi="Aptos ExtraBold" w:eastAsia="+mn-ea" w:cs="+mn-cs"/>
                <w:b/>
                <w:bCs/>
                <w:color w:val="003841"/>
                <w:kern w:val="24"/>
                <w:sz w:val="28"/>
                <w:szCs w:val="38"/>
                <w:vertAlign w:val="superscript"/>
              </w:rPr>
              <w:t>3</w:t>
            </w:r>
            <w:r>
              <w:rPr>
                <w:rFonts w:ascii="Aptos ExtraBold" w:hAnsi="Aptos ExtraBold" w:eastAsia="+mn-ea" w:cs="+mn-cs"/>
                <w:b/>
                <w:bCs/>
                <w:color w:val="595959"/>
                <w:kern w:val="24"/>
                <w:sz w:val="32"/>
                <w:szCs w:val="40"/>
              </w:rPr>
              <w:br w:type="textWrapping"/>
            </w:r>
            <w:r>
              <w:rPr>
                <w:rFonts w:ascii="Aptos ExtraBold" w:hAnsi="Aptos ExtraBold" w:eastAsia="+mn-ea" w:cs="+mn-cs"/>
                <w:b/>
                <w:bCs/>
                <w:color w:val="007B85"/>
                <w:kern w:val="24"/>
                <w:sz w:val="28"/>
                <w:szCs w:val="38"/>
              </w:rPr>
              <w:t>€7,0 δισ.</w:t>
            </w:r>
            <w:r>
              <w:rPr>
                <w:rFonts w:ascii="Aptos" w:hAnsi="Aptos" w:eastAsia="+mn-ea" w:cs="+mn-cs"/>
                <w:b/>
                <w:bCs/>
                <w:color w:val="007B85"/>
                <w:kern w:val="24"/>
                <w:sz w:val="28"/>
                <w:szCs w:val="38"/>
              </w:rPr>
              <w:t xml:space="preserve"> </w:t>
            </w:r>
            <w:r>
              <w:rPr>
                <w:rFonts w:ascii="Aptos" w:hAnsi="Aptos" w:eastAsia="+mn-ea" w:cs="+mn-cs"/>
                <w:b/>
                <w:bCs/>
                <w:color w:val="007B85"/>
                <w:kern w:val="24"/>
              </w:rPr>
              <w:t xml:space="preserve">το 2023                                                       </w:t>
            </w:r>
            <w:r>
              <w:rPr>
                <w:rFonts w:ascii="Aptos ExtraBold" w:hAnsi="Aptos ExtraBold" w:eastAsia="+mn-ea" w:cs="+mn-cs"/>
                <w:b/>
                <w:bCs/>
                <w:color w:val="007B85"/>
                <w:kern w:val="24"/>
                <w:sz w:val="28"/>
                <w:szCs w:val="38"/>
              </w:rPr>
              <w:t>€2,6 δισ.</w:t>
            </w:r>
            <w:r>
              <w:rPr>
                <w:rFonts w:ascii="Aptos" w:hAnsi="Aptos" w:eastAsia="+mn-ea" w:cs="+mn-cs"/>
                <w:color w:val="007B85"/>
                <w:kern w:val="24"/>
                <w:sz w:val="28"/>
                <w:szCs w:val="38"/>
              </w:rPr>
              <w:t xml:space="preserve"> </w:t>
            </w:r>
            <w:r>
              <w:rPr>
                <w:rFonts w:ascii="Aptos" w:hAnsi="Aptos" w:eastAsia="+mn-ea" w:cs="+mn-cs"/>
                <w:b/>
                <w:bCs/>
                <w:color w:val="007B85"/>
                <w:kern w:val="24"/>
              </w:rPr>
              <w:t>το Δ’ τρίμηνο 2023</w:t>
            </w:r>
          </w:p>
        </w:tc>
        <w:tc>
          <w:tcPr>
            <w:tcW w:w="5112" w:type="dxa"/>
            <w:shd w:val="clear" w:color="auto" w:fill="F5F9F6"/>
            <w:vAlign w:val="center"/>
          </w:tcPr>
          <w:p>
            <w:pPr>
              <w:pStyle w:val="16"/>
              <w:spacing w:before="180" w:beforeAutospacing="0" w:after="0" w:afterAutospacing="0" w:line="264" w:lineRule="auto"/>
              <w:jc w:val="center"/>
              <w:rPr>
                <w:rFonts w:ascii="Segoe UI" w:hAnsi="Segoe UI" w:cs="Segoe UI"/>
                <w:color w:val="595959"/>
                <w:sz w:val="40"/>
                <w:szCs w:val="44"/>
              </w:rPr>
            </w:pPr>
            <w:r>
              <w:rPr>
                <w:rFonts w:ascii="Aptos ExtraBold" w:hAnsi="Aptos ExtraBold" w:eastAsia="+mn-ea" w:cs="+mn-cs"/>
                <w:b/>
                <w:bCs/>
                <w:color w:val="003841"/>
                <w:kern w:val="24"/>
                <w:sz w:val="28"/>
                <w:szCs w:val="38"/>
              </w:rPr>
              <w:t xml:space="preserve">Εξυπηρετούμενα δάνεια </w:t>
            </w:r>
            <w:r>
              <w:rPr>
                <w:rFonts w:ascii="Aptos ExtraBold" w:hAnsi="Aptos ExtraBold" w:eastAsia="+mn-ea" w:cs="+mn-cs"/>
                <w:b/>
                <w:bCs/>
                <w:color w:val="595959"/>
                <w:kern w:val="24"/>
                <w:sz w:val="32"/>
                <w:szCs w:val="40"/>
              </w:rPr>
              <w:br w:type="textWrapping"/>
            </w:r>
            <w:r>
              <w:rPr>
                <w:rFonts w:ascii="Aptos ExtraBold" w:hAnsi="Aptos ExtraBold" w:eastAsia="+mn-ea" w:cs="+mn-cs"/>
                <w:b/>
                <w:bCs/>
                <w:color w:val="007B85"/>
                <w:kern w:val="24"/>
                <w:sz w:val="28"/>
                <w:szCs w:val="38"/>
              </w:rPr>
              <w:t>+€1,3</w:t>
            </w:r>
            <w:r>
              <w:rPr>
                <w:sz w:val="18"/>
                <w:szCs w:val="18"/>
              </w:rPr>
              <w:t xml:space="preserve"> </w:t>
            </w:r>
            <w:r>
              <w:rPr>
                <w:rFonts w:ascii="Aptos ExtraBold" w:hAnsi="Aptos ExtraBold" w:eastAsia="+mn-ea" w:cs="+mn-cs"/>
                <w:b/>
                <w:bCs/>
                <w:color w:val="007B85"/>
                <w:kern w:val="24"/>
                <w:sz w:val="28"/>
                <w:szCs w:val="38"/>
              </w:rPr>
              <w:t>δισ.</w:t>
            </w:r>
            <w:r>
              <w:rPr>
                <w:rFonts w:ascii="Aptos" w:hAnsi="Aptos" w:eastAsia="+mn-ea" w:cs="+mn-cs"/>
                <w:b/>
                <w:bCs/>
                <w:color w:val="007B85"/>
                <w:kern w:val="24"/>
                <w:sz w:val="28"/>
                <w:szCs w:val="38"/>
              </w:rPr>
              <w:t xml:space="preserve"> </w:t>
            </w:r>
            <w:r>
              <w:rPr>
                <w:rFonts w:ascii="Aptos" w:hAnsi="Aptos" w:eastAsia="+mn-ea" w:cs="+mn-cs"/>
                <w:b/>
                <w:bCs/>
                <w:color w:val="007B85"/>
                <w:kern w:val="24"/>
              </w:rPr>
              <w:t>ετησίως</w:t>
            </w:r>
            <w:r>
              <w:rPr>
                <w:rFonts w:ascii="Aptos" w:hAnsi="Aptos" w:eastAsia="+mn-ea" w:cs="+mn-cs"/>
                <w:b/>
                <w:bCs/>
                <w:color w:val="007B85"/>
                <w:kern w:val="24"/>
                <w:szCs w:val="28"/>
              </w:rPr>
              <w:t xml:space="preserve"> </w:t>
            </w:r>
            <w:r>
              <w:rPr>
                <w:rFonts w:ascii="Aptos" w:hAnsi="Aptos" w:eastAsia="+mn-ea" w:cs="+mn-cs"/>
                <w:b/>
                <w:bCs/>
                <w:color w:val="007B85"/>
                <w:kern w:val="24"/>
              </w:rPr>
              <w:t>&amp;</w:t>
            </w:r>
            <w:r>
              <w:rPr>
                <w:rFonts w:ascii="Aptos" w:hAnsi="Aptos" w:eastAsia="+mn-ea" w:cs="+mn-cs"/>
                <w:b/>
                <w:bCs/>
                <w:color w:val="007B85"/>
                <w:kern w:val="24"/>
                <w:szCs w:val="28"/>
              </w:rPr>
              <w:t xml:space="preserve"> </w:t>
            </w:r>
            <w:r>
              <w:rPr>
                <w:rFonts w:ascii="Aptos ExtraBold" w:hAnsi="Aptos ExtraBold" w:eastAsia="+mn-ea" w:cs="+mn-cs"/>
                <w:b/>
                <w:bCs/>
                <w:color w:val="007B85"/>
                <w:kern w:val="24"/>
                <w:sz w:val="28"/>
                <w:szCs w:val="38"/>
              </w:rPr>
              <w:t>+€0,9 δισ.</w:t>
            </w:r>
            <w:r>
              <w:rPr>
                <w:rFonts w:ascii="Aptos" w:hAnsi="Aptos" w:eastAsia="+mn-ea" w:cs="+mn-cs"/>
                <w:b/>
                <w:bCs/>
                <w:color w:val="007B85"/>
                <w:kern w:val="24"/>
                <w:szCs w:val="28"/>
              </w:rPr>
              <w:t xml:space="preserve"> </w:t>
            </w:r>
            <w:r>
              <w:rPr>
                <w:rFonts w:ascii="Aptos" w:hAnsi="Aptos" w:eastAsia="+mn-ea" w:cs="+mn-cs"/>
                <w:b/>
                <w:bCs/>
                <w:color w:val="007B85"/>
                <w:kern w:val="24"/>
              </w:rPr>
              <w:t>σε τριμηνιαία βάση σε</w:t>
            </w:r>
            <w:r>
              <w:rPr>
                <w:rFonts w:ascii="Aptos" w:hAnsi="Aptos" w:eastAsia="+mn-ea" w:cs="+mn-cs"/>
                <w:b/>
                <w:bCs/>
                <w:color w:val="007B85"/>
                <w:kern w:val="24"/>
                <w:szCs w:val="36"/>
              </w:rPr>
              <w:t xml:space="preserve"> </w:t>
            </w:r>
            <w:r>
              <w:rPr>
                <w:rFonts w:ascii="Aptos ExtraBold" w:hAnsi="Aptos ExtraBold" w:eastAsia="+mn-ea" w:cs="+mn-cs"/>
                <w:b/>
                <w:bCs/>
                <w:color w:val="007B85"/>
                <w:kern w:val="24"/>
                <w:sz w:val="28"/>
                <w:szCs w:val="38"/>
              </w:rPr>
              <w:t>€30,5</w:t>
            </w:r>
            <w:r>
              <w:rPr>
                <w:sz w:val="18"/>
                <w:szCs w:val="18"/>
              </w:rPr>
              <w:t xml:space="preserve"> </w:t>
            </w:r>
            <w:r>
              <w:rPr>
                <w:rFonts w:ascii="Aptos ExtraBold" w:hAnsi="Aptos ExtraBold" w:eastAsia="+mn-ea" w:cs="+mn-cs"/>
                <w:b/>
                <w:bCs/>
                <w:color w:val="007B85"/>
                <w:kern w:val="24"/>
                <w:sz w:val="28"/>
                <w:szCs w:val="38"/>
              </w:rPr>
              <w:t>δισ.</w:t>
            </w:r>
          </w:p>
        </w:tc>
      </w:tr>
    </w:tbl>
    <w:p>
      <w:pPr>
        <w:pStyle w:val="16"/>
        <w:spacing w:before="0" w:beforeAutospacing="0" w:after="0" w:afterAutospacing="0"/>
        <w:rPr>
          <w:rFonts w:ascii="Aptos Light" w:hAnsi="Aptos Light" w:eastAsiaTheme="minorEastAsia" w:cstheme="minorBidi"/>
          <w:color w:val="595959"/>
          <w:kern w:val="24"/>
          <w:sz w:val="20"/>
          <w:szCs w:val="20"/>
        </w:rPr>
      </w:pPr>
    </w:p>
    <w:tbl>
      <w:tblPr>
        <w:tblStyle w:val="19"/>
        <w:tblW w:w="10224" w:type="dxa"/>
        <w:tblInd w:w="0" w:type="dxa"/>
        <w:tblBorders>
          <w:top w:val="dotted" w:color="003841" w:sz="4" w:space="0"/>
          <w:left w:val="none" w:color="auto" w:sz="0" w:space="0"/>
          <w:bottom w:val="dotted" w:color="003841" w:sz="4" w:space="0"/>
          <w:right w:val="none" w:color="auto" w:sz="0" w:space="0"/>
          <w:insideH w:val="dotted" w:color="003841" w:sz="4" w:space="0"/>
          <w:insideV w:val="dotted" w:color="003841" w:sz="4" w:space="0"/>
        </w:tblBorders>
        <w:shd w:val="clear" w:color="auto" w:fill="F5F9F6"/>
        <w:tblLayout w:type="autofit"/>
        <w:tblCellMar>
          <w:top w:w="0" w:type="dxa"/>
          <w:left w:w="108" w:type="dxa"/>
          <w:bottom w:w="0" w:type="dxa"/>
          <w:right w:w="108" w:type="dxa"/>
        </w:tblCellMar>
      </w:tblPr>
      <w:tblGrid>
        <w:gridCol w:w="3408"/>
        <w:gridCol w:w="3408"/>
        <w:gridCol w:w="3408"/>
      </w:tblGrid>
      <w:tr>
        <w:tblPrEx>
          <w:tblBorders>
            <w:top w:val="dotted" w:color="003841" w:sz="4" w:space="0"/>
            <w:left w:val="none" w:color="auto" w:sz="0" w:space="0"/>
            <w:bottom w:val="dotted" w:color="003841" w:sz="4" w:space="0"/>
            <w:right w:val="none" w:color="auto" w:sz="0" w:space="0"/>
            <w:insideH w:val="dotted" w:color="003841" w:sz="4" w:space="0"/>
            <w:insideV w:val="dotted" w:color="003841" w:sz="4" w:space="0"/>
          </w:tblBorders>
          <w:shd w:val="clear" w:color="auto" w:fill="F5F9F6"/>
          <w:tblCellMar>
            <w:top w:w="0" w:type="dxa"/>
            <w:left w:w="108" w:type="dxa"/>
            <w:bottom w:w="0" w:type="dxa"/>
            <w:right w:w="108" w:type="dxa"/>
          </w:tblCellMar>
        </w:tblPrEx>
        <w:trPr>
          <w:trHeight w:val="432" w:hRule="atLeast"/>
        </w:trPr>
        <w:tc>
          <w:tcPr>
            <w:tcW w:w="10224" w:type="dxa"/>
            <w:gridSpan w:val="3"/>
            <w:shd w:val="clear" w:color="auto" w:fill="003841"/>
            <w:vAlign w:val="center"/>
          </w:tcPr>
          <w:p>
            <w:pPr>
              <w:pStyle w:val="16"/>
              <w:spacing w:before="180" w:beforeAutospacing="0" w:after="0" w:afterAutospacing="0" w:line="264" w:lineRule="auto"/>
              <w:jc w:val="center"/>
              <w:rPr>
                <w:rFonts w:ascii="Aptos ExtraBold" w:hAnsi="Aptos ExtraBold" w:eastAsia="+mn-ea" w:cs="+mn-cs"/>
                <w:b/>
                <w:bCs/>
                <w:color w:val="003841"/>
                <w:kern w:val="24"/>
                <w:sz w:val="48"/>
                <w:szCs w:val="48"/>
                <w14:props3d w14:extrusionH="0" w14:contourW="0" w14:prstMaterial="matte"/>
              </w:rPr>
            </w:pPr>
            <w:r>
              <w:rPr>
                <w:rFonts w:ascii="Aptos ExtraBold" w:hAnsi="Aptos ExtraBold" w:eastAsia="+mn-ea" w:cs="+mn-cs"/>
                <w:b/>
                <w:bCs/>
                <w:color w:val="FFFFFF" w:themeColor="background1"/>
                <w:kern w:val="24"/>
                <w:sz w:val="32"/>
                <w:szCs w:val="40"/>
                <w14:textFill>
                  <w14:solidFill>
                    <w14:schemeClr w14:val="bg1"/>
                  </w14:solidFill>
                </w14:textFill>
                <w14:props3d w14:extrusionH="0" w14:contourW="0" w14:prstMaterial="matte"/>
              </w:rPr>
              <w:t>Βελτίωση της ποιότητας του δανειακού μας χαρτοφυλακίου</w:t>
            </w:r>
          </w:p>
        </w:tc>
      </w:tr>
      <w:tr>
        <w:tblPrEx>
          <w:tblBorders>
            <w:top w:val="dotted" w:color="003841" w:sz="4" w:space="0"/>
            <w:left w:val="none" w:color="auto" w:sz="0" w:space="0"/>
            <w:bottom w:val="dotted" w:color="003841" w:sz="4" w:space="0"/>
            <w:right w:val="none" w:color="auto" w:sz="0" w:space="0"/>
            <w:insideH w:val="dotted" w:color="003841" w:sz="4" w:space="0"/>
            <w:insideV w:val="dotted" w:color="003841" w:sz="4" w:space="0"/>
          </w:tblBorders>
          <w:shd w:val="clear" w:color="auto" w:fill="F5F9F6"/>
          <w:tblCellMar>
            <w:top w:w="0" w:type="dxa"/>
            <w:left w:w="108" w:type="dxa"/>
            <w:bottom w:w="0" w:type="dxa"/>
            <w:right w:w="108" w:type="dxa"/>
          </w:tblCellMar>
        </w:tblPrEx>
        <w:trPr>
          <w:trHeight w:val="2592" w:hRule="atLeast"/>
        </w:trPr>
        <w:tc>
          <w:tcPr>
            <w:tcW w:w="3408" w:type="dxa"/>
            <w:shd w:val="clear" w:color="auto" w:fill="F5F9F6"/>
            <w:vAlign w:val="center"/>
          </w:tcPr>
          <w:p>
            <w:pPr>
              <w:pStyle w:val="16"/>
              <w:spacing w:before="180" w:beforeAutospacing="0" w:after="0" w:afterAutospacing="0" w:line="264" w:lineRule="auto"/>
              <w:jc w:val="center"/>
              <w:rPr>
                <w:rFonts w:ascii="Aptos ExtraBold" w:hAnsi="Aptos ExtraBold" w:eastAsia="+mn-ea" w:cs="+mn-cs"/>
                <w:b/>
                <w:bCs/>
                <w:color w:val="003841"/>
                <w:kern w:val="24"/>
                <w:sz w:val="40"/>
                <w:szCs w:val="44"/>
              </w:rPr>
            </w:pPr>
            <w:r>
              <w:rPr>
                <w:rFonts w:ascii="Aptos ExtraBold" w:hAnsi="Aptos ExtraBold" w:eastAsia="+mn-ea" w:cs="+mn-cs"/>
                <w:b/>
                <w:bCs/>
                <w:color w:val="003841"/>
                <w:kern w:val="24"/>
                <w:sz w:val="28"/>
                <w:szCs w:val="38"/>
                <w14:props3d w14:extrusionH="0" w14:contourW="0" w14:prstMaterial="matte"/>
              </w:rPr>
              <w:t xml:space="preserve">ΜΕΑ μετά από προβλέψεις </w:t>
            </w:r>
            <w:r>
              <w:rPr>
                <w:rFonts w:ascii="Aptos ExtraBold" w:hAnsi="Aptos ExtraBold" w:eastAsia="+mn-ea" w:cs="+mn-cs"/>
                <w:b/>
                <w:bCs/>
                <w:color w:val="007B85"/>
                <w:kern w:val="24"/>
                <w:sz w:val="28"/>
                <w:szCs w:val="38"/>
              </w:rPr>
              <w:t>€0,2 δισ</w:t>
            </w:r>
            <w:r>
              <w:rPr>
                <w:rFonts w:ascii="Aptos ExtraBold" w:hAnsi="Aptos ExtraBold" w:eastAsia="+mn-ea" w:cs="+mn-cs"/>
                <w:b/>
                <w:bCs/>
                <w:color w:val="007B85"/>
                <w:kern w:val="24"/>
                <w:sz w:val="32"/>
                <w:szCs w:val="40"/>
              </w:rPr>
              <w:t xml:space="preserve">. </w:t>
            </w:r>
            <w:r>
              <w:rPr>
                <w:rFonts w:ascii="Aptos ExtraBold" w:hAnsi="Aptos ExtraBold" w:eastAsia="+mn-ea" w:cs="+mn-cs"/>
                <w:b/>
                <w:bCs/>
                <w:color w:val="007B85"/>
                <w:kern w:val="24"/>
                <w:sz w:val="28"/>
                <w:szCs w:val="28"/>
              </w:rPr>
              <w:t>ΜΕΑ</w:t>
            </w:r>
            <w:r>
              <w:rPr>
                <w:rFonts w:ascii="Aptos ExtraBold" w:hAnsi="Aptos ExtraBold" w:eastAsia="+mn-ea" w:cs="+mn-cs"/>
                <w:b/>
                <w:bCs/>
                <w:color w:val="007B85"/>
                <w:kern w:val="24"/>
              </w:rPr>
              <w:t xml:space="preserve"> </w:t>
            </w:r>
            <w:r>
              <w:rPr>
                <w:rFonts w:ascii="Aptos" w:hAnsi="Aptos" w:eastAsia="+mn-ea" w:cs="+mn-cs"/>
                <w:b/>
                <w:bCs/>
                <w:color w:val="007B85"/>
                <w:kern w:val="24"/>
              </w:rPr>
              <w:t>στα</w:t>
            </w:r>
            <w:r>
              <w:rPr>
                <w:rFonts w:ascii="Aptos ExtraBold" w:hAnsi="Aptos ExtraBold" w:eastAsia="+mn-ea" w:cs="+mn-cs"/>
                <w:b/>
                <w:bCs/>
                <w:color w:val="007B85"/>
                <w:kern w:val="24"/>
              </w:rPr>
              <w:t xml:space="preserve"> </w:t>
            </w:r>
            <w:r>
              <w:rPr>
                <w:rFonts w:ascii="Aptos ExtraBold" w:hAnsi="Aptos ExtraBold" w:eastAsia="+mn-ea" w:cs="+mn-cs"/>
                <w:b/>
                <w:bCs/>
                <w:color w:val="007B85"/>
                <w:kern w:val="24"/>
                <w:sz w:val="28"/>
                <w:szCs w:val="28"/>
              </w:rPr>
              <w:t>€1,3 δισ.</w:t>
            </w:r>
            <w:r>
              <w:rPr>
                <w:rFonts w:ascii="Aptos ExtraBold" w:hAnsi="Aptos ExtraBold" w:eastAsia="+mn-ea" w:cs="+mn-cs"/>
                <w:b/>
                <w:bCs/>
                <w:color w:val="007B85"/>
                <w:kern w:val="24"/>
              </w:rPr>
              <w:t xml:space="preserve"> ,                 </w:t>
            </w:r>
            <w:r>
              <w:rPr>
                <w:rFonts w:ascii="Aptos" w:hAnsi="Aptos" w:eastAsia="+mn-ea" w:cs="+mn-cs"/>
                <w:b/>
                <w:bCs/>
                <w:color w:val="007B85"/>
                <w:kern w:val="24"/>
              </w:rPr>
              <w:t>-€0,5 δισ. ετησίως</w:t>
            </w:r>
          </w:p>
        </w:tc>
        <w:tc>
          <w:tcPr>
            <w:tcW w:w="3408" w:type="dxa"/>
            <w:shd w:val="clear" w:color="auto" w:fill="F5F9F6"/>
            <w:vAlign w:val="center"/>
          </w:tcPr>
          <w:p>
            <w:pPr>
              <w:pStyle w:val="16"/>
              <w:spacing w:before="180" w:beforeAutospacing="0" w:after="0" w:afterAutospacing="0" w:line="264" w:lineRule="auto"/>
              <w:jc w:val="center"/>
              <w:rPr>
                <w:rFonts w:ascii="Aptos ExtraBold" w:hAnsi="Aptos ExtraBold" w:eastAsia="+mn-ea" w:cs="+mn-cs"/>
                <w:b/>
                <w:bCs/>
                <w:color w:val="003841"/>
                <w:kern w:val="24"/>
                <w:sz w:val="40"/>
                <w:szCs w:val="44"/>
              </w:rPr>
            </w:pPr>
            <w:r>
              <w:rPr>
                <w:rFonts w:ascii="Aptos ExtraBold" w:hAnsi="Aptos ExtraBold" w:eastAsia="+mn-ea" w:cs="+mn-cs"/>
                <w:b/>
                <w:bCs/>
                <w:color w:val="003841"/>
                <w:kern w:val="24"/>
                <w:sz w:val="28"/>
                <w:szCs w:val="38"/>
                <w14:props3d w14:extrusionH="0" w14:contourW="0" w14:prstMaterial="matte"/>
              </w:rPr>
              <w:t xml:space="preserve">Δείκτης                                ΜΕΑ                                            </w:t>
            </w:r>
            <w:r>
              <w:rPr>
                <w:rFonts w:ascii="Aptos ExtraBold" w:hAnsi="Aptos ExtraBold" w:eastAsia="+mn-ea" w:cs="+mn-cs"/>
                <w:b/>
                <w:bCs/>
                <w:color w:val="007B85"/>
                <w:kern w:val="24"/>
                <w:sz w:val="28"/>
                <w:szCs w:val="38"/>
              </w:rPr>
              <w:t>3,7%</w:t>
            </w:r>
            <w:r>
              <w:rPr>
                <w:rFonts w:ascii="Aptos ExtraBold" w:hAnsi="Aptos ExtraBold" w:eastAsia="+mn-ea" w:cs="+mn-cs"/>
                <w:b/>
                <w:bCs/>
                <w:color w:val="007B85"/>
                <w:kern w:val="24"/>
                <w:sz w:val="32"/>
                <w:szCs w:val="40"/>
              </w:rPr>
              <w:t xml:space="preserve"> </w:t>
            </w:r>
            <w:r>
              <w:rPr>
                <w:rFonts w:ascii="Aptos" w:hAnsi="Aptos" w:eastAsia="+mn-ea" w:cs="+mn-cs"/>
                <w:b/>
                <w:bCs/>
                <w:color w:val="007B85"/>
                <w:kern w:val="24"/>
                <w:szCs w:val="28"/>
              </w:rPr>
              <w:t>το 2023</w:t>
            </w:r>
            <w:r>
              <w:rPr>
                <w:rFonts w:ascii="Aptos ExtraBold" w:hAnsi="Aptos ExtraBold" w:eastAsia="+mn-ea" w:cs="+mn-cs"/>
                <w:b/>
                <w:bCs/>
                <w:color w:val="007B85"/>
                <w:kern w:val="24"/>
                <w:sz w:val="32"/>
                <w:szCs w:val="40"/>
              </w:rPr>
              <w:t xml:space="preserve">                            </w:t>
            </w:r>
            <w:r>
              <w:rPr>
                <w:rFonts w:ascii="Aptos" w:hAnsi="Aptos" w:eastAsia="+mn-ea" w:cs="+mn-cs"/>
                <w:b/>
                <w:bCs/>
                <w:color w:val="007B85"/>
                <w:kern w:val="24"/>
                <w:szCs w:val="28"/>
              </w:rPr>
              <w:t>-150μ.β. ετησίως</w:t>
            </w:r>
            <w:r>
              <w:rPr>
                <w:rFonts w:ascii="Aptos" w:hAnsi="Aptos" w:eastAsia="+mn-ea" w:cs="+mn-cs"/>
                <w:b/>
                <w:bCs/>
                <w:color w:val="007B85"/>
                <w:kern w:val="24"/>
                <w:sz w:val="28"/>
                <w:szCs w:val="38"/>
              </w:rPr>
              <w:t xml:space="preserve">                   </w:t>
            </w:r>
          </w:p>
        </w:tc>
        <w:tc>
          <w:tcPr>
            <w:tcW w:w="3408" w:type="dxa"/>
            <w:shd w:val="clear" w:color="auto" w:fill="F5F9F6"/>
            <w:vAlign w:val="center"/>
          </w:tcPr>
          <w:p>
            <w:pPr>
              <w:pStyle w:val="16"/>
              <w:spacing w:before="180" w:beforeAutospacing="0" w:after="0" w:afterAutospacing="0" w:line="264" w:lineRule="auto"/>
              <w:jc w:val="center"/>
              <w:rPr>
                <w:rFonts w:ascii="Aptos ExtraBold" w:hAnsi="Aptos ExtraBold" w:eastAsia="+mn-ea" w:cs="+mn-cs"/>
                <w:b/>
                <w:bCs/>
                <w:color w:val="003841"/>
                <w:kern w:val="24"/>
                <w:sz w:val="40"/>
                <w:szCs w:val="44"/>
              </w:rPr>
            </w:pPr>
            <w:r>
              <w:rPr>
                <w:rFonts w:ascii="Aptos ExtraBold" w:hAnsi="Aptos ExtraBold" w:eastAsia="+mn-ea" w:cs="+mn-cs"/>
                <w:b/>
                <w:bCs/>
                <w:color w:val="003841"/>
                <w:kern w:val="24"/>
                <w:sz w:val="28"/>
                <w:szCs w:val="38"/>
                <w14:props3d w14:extrusionH="0" w14:contourW="0" w14:prstMaterial="matte"/>
              </w:rPr>
              <w:t xml:space="preserve">Δείκτης                           Κάλυψης ΜΕΑ                       </w:t>
            </w:r>
            <w:r>
              <w:rPr>
                <w:rFonts w:ascii="Aptos ExtraBold" w:hAnsi="Aptos ExtraBold" w:eastAsia="+mn-ea" w:cs="+mn-cs"/>
                <w:b/>
                <w:bCs/>
                <w:color w:val="007B85"/>
                <w:kern w:val="24"/>
                <w:sz w:val="28"/>
                <w:szCs w:val="38"/>
              </w:rPr>
              <w:t>87,5%</w:t>
            </w:r>
            <w:r>
              <w:rPr>
                <w:rFonts w:ascii="Aptos" w:hAnsi="Aptos" w:eastAsia="+mn-ea" w:cs="+mn-cs"/>
                <w:b/>
                <w:bCs/>
                <w:color w:val="007B85"/>
                <w:kern w:val="24"/>
                <w:sz w:val="28"/>
                <w:szCs w:val="38"/>
              </w:rPr>
              <w:t xml:space="preserve"> </w:t>
            </w:r>
            <w:r>
              <w:rPr>
                <w:rFonts w:ascii="Aptos" w:hAnsi="Aptos" w:eastAsia="+mn-ea" w:cs="+mn-cs"/>
                <w:b/>
                <w:bCs/>
                <w:color w:val="007B85"/>
                <w:kern w:val="24"/>
                <w:szCs w:val="36"/>
              </w:rPr>
              <w:t>το 2023                                 ο υψηλότερος στην αγορά</w:t>
            </w:r>
          </w:p>
        </w:tc>
      </w:tr>
    </w:tbl>
    <w:p>
      <w:pPr>
        <w:pStyle w:val="16"/>
        <w:spacing w:before="0" w:beforeAutospacing="0" w:after="0" w:afterAutospacing="0"/>
        <w:rPr>
          <w:rFonts w:ascii="Aptos Light" w:hAnsi="Aptos Light" w:eastAsiaTheme="minorEastAsia" w:cstheme="minorBidi"/>
          <w:color w:val="595959"/>
          <w:kern w:val="24"/>
          <w:sz w:val="20"/>
          <w:szCs w:val="20"/>
        </w:rPr>
      </w:pPr>
      <w:r>
        <w:rPr>
          <w:color w:val="595959"/>
        </w:rPr>
        <mc:AlternateContent>
          <mc:Choice Requires="wpg">
            <w:drawing>
              <wp:anchor distT="0" distB="0" distL="114300" distR="114300" simplePos="0" relativeHeight="251700224" behindDoc="0" locked="0" layoutInCell="1" allowOverlap="1">
                <wp:simplePos x="0" y="0"/>
                <wp:positionH relativeFrom="column">
                  <wp:posOffset>-28575</wp:posOffset>
                </wp:positionH>
                <wp:positionV relativeFrom="paragraph">
                  <wp:posOffset>696595</wp:posOffset>
                </wp:positionV>
                <wp:extent cx="759460" cy="879475"/>
                <wp:effectExtent l="0" t="0" r="3175" b="15875"/>
                <wp:wrapNone/>
                <wp:docPr id="8" name="Group 1"/>
                <wp:cNvGraphicFramePr/>
                <a:graphic xmlns:a="http://schemas.openxmlformats.org/drawingml/2006/main">
                  <a:graphicData uri="http://schemas.microsoft.com/office/word/2010/wordprocessingGroup">
                    <wpg:wgp>
                      <wpg:cNvGrpSpPr/>
                      <wpg:grpSpPr>
                        <a:xfrm>
                          <a:off x="0" y="0"/>
                          <a:ext cx="759200" cy="879729"/>
                          <a:chOff x="108025" y="52501"/>
                          <a:chExt cx="859635" cy="442155"/>
                        </a:xfrm>
                      </wpg:grpSpPr>
                      <wps:wsp>
                        <wps:cNvPr id="15" name="Rounded Rectangle 2"/>
                        <wps:cNvSpPr/>
                        <wps:spPr>
                          <a:xfrm>
                            <a:off x="108025" y="52501"/>
                            <a:ext cx="720700" cy="442155"/>
                          </a:xfrm>
                          <a:prstGeom prst="roundRect">
                            <a:avLst>
                              <a:gd name="adj" fmla="val 7801"/>
                            </a:avLst>
                          </a:prstGeom>
                          <a:solidFill>
                            <a:srgbClr val="F5F9F6"/>
                          </a:solidFill>
                          <a:ln w="6350" cap="flat" cmpd="sng" algn="ctr">
                            <a:solidFill>
                              <a:srgbClr val="00CFE7"/>
                            </a:solidFill>
                            <a:prstDash val="solid"/>
                            <a:miter lim="800000"/>
                          </a:ln>
                          <a:effectLst/>
                        </wps:spPr>
                        <wps:txbx>
                          <w:txbxContent>
                            <w:p>
                              <w:pPr>
                                <w:jc w:val="center"/>
                                <w:rPr>
                                  <w:rFonts w:ascii="Aptos" w:hAnsi="Aptos"/>
                                  <w:b/>
                                  <w:bCs/>
                                  <w:color w:val="003841"/>
                                  <w:kern w:val="24"/>
                                  <w:sz w:val="10"/>
                                  <w:szCs w:val="10"/>
                                  <w:lang w:val="en-US"/>
                                </w:rPr>
                              </w:pPr>
                              <w:r>
                                <w:rPr>
                                  <w:rFonts w:ascii="Aptos" w:hAnsi="Aptos"/>
                                  <w:b/>
                                  <w:bCs/>
                                  <w:color w:val="003841"/>
                                  <w:kern w:val="24"/>
                                  <w:sz w:val="10"/>
                                  <w:szCs w:val="10"/>
                                </w:rPr>
                                <w:t xml:space="preserve">Οι κεφαλαιακοί δείκτες περιλαμβάνουν πρόβλεψη 90μ.β. για διανομή μερίσματος 30% επί των κερδών </w:t>
                              </w:r>
                            </w:p>
                          </w:txbxContent>
                        </wps:txbx>
                        <wps:bodyPr wrap="square" lIns="72000" tIns="72000" rIns="72000" bIns="72000" rtlCol="0" anchor="b" anchorCtr="0">
                          <a:noAutofit/>
                        </wps:bodyPr>
                      </wps:wsp>
                      <wps:wsp>
                        <wps:cNvPr id="23" name="Triangle 9"/>
                        <wps:cNvSpPr/>
                        <wps:spPr>
                          <a:xfrm rot="5400000" flipH="1">
                            <a:off x="879141" y="192502"/>
                            <a:ext cx="67843" cy="109194"/>
                          </a:xfrm>
                          <a:prstGeom prst="triangle">
                            <a:avLst/>
                          </a:prstGeom>
                          <a:solidFill>
                            <a:srgbClr val="00CFE7"/>
                          </a:solidFill>
                          <a:ln w="12700" cap="flat" cmpd="sng" algn="ctr">
                            <a:noFill/>
                            <a:prstDash val="solid"/>
                            <a:miter lim="800000"/>
                          </a:ln>
                          <a:effectLst/>
                        </wps:spPr>
                        <wps:bodyPr lIns="72000" tIns="72000" rIns="72000" bIns="72000" rtlCol="0" anchor="ctr"/>
                      </wps:wsp>
                    </wpg:wgp>
                  </a:graphicData>
                </a:graphic>
              </wp:anchor>
            </w:drawing>
          </mc:Choice>
          <mc:Fallback>
            <w:pict>
              <v:group id="Group 1" o:spid="_x0000_s1026" o:spt="203" style="position:absolute;left:0pt;margin-left:-2.25pt;margin-top:54.85pt;height:69.25pt;width:59.8pt;z-index:251700224;mso-width-relative:page;mso-height-relative:page;" coordorigin="108025,52501" coordsize="859635,442155" o:gfxdata="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VT4GptoAAAAKAQAADwAA&#10;AAAAAAABACAAAAAiAAAAZHJzL2Rvd25yZXYueG1sUEsBAhQAFAAAAAgAh07iQNdN8J4xAwAAOQgA&#10;AA4AAAAAAAAAAQAgAAAAKQEAAGRycy9lMm9Eb2MueG1sUEsFBgAAAAAGAAYAWQEAAMwGAAAAAA==&#10;">
                <o:lock v:ext="edit" aspectratio="f"/>
                <v:roundrect id="Rounded Rectangle 2" o:spid="_x0000_s1026" o:spt="2" style="position:absolute;left:108025;top:52501;height:442155;width:720700;v-text-anchor:bottom;" fillcolor="#F5F9F6" filled="t" stroked="t" coordsize="21600,21600" arcsize="0.0780092592592593" o:gfxdata="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P3/C8AAAA&#10;2wAAAA8AAAAAAAAAAQAgAAAAIgAAAGRycy9kb3ducmV2LnhtbFBLAQIUABQAAAAIAIdO4kAzLwWe&#10;OwAAADkAAAAQAAAAAAAAAAEAIAAAAAsBAABkcnMvc2hhcGV4bWwueG1sUEsFBgAAAAAGAAYAWwEA&#10;ALUDAAAAAA==&#10;">
                  <v:fill on="t" focussize="0,0"/>
                  <v:stroke weight="0.5pt" color="#00CFE7" miterlimit="8" joinstyle="miter"/>
                  <v:imagedata o:title=""/>
                  <o:lock v:ext="edit" aspectratio="f"/>
                  <v:textbox inset="2mm,2mm,2mm,2mm">
                    <w:txbxContent>
                      <w:p>
                        <w:pPr>
                          <w:jc w:val="center"/>
                          <w:rPr>
                            <w:rFonts w:ascii="Aptos" w:hAnsi="Aptos"/>
                            <w:b/>
                            <w:bCs/>
                            <w:color w:val="003841"/>
                            <w:kern w:val="24"/>
                            <w:sz w:val="10"/>
                            <w:szCs w:val="10"/>
                            <w:lang w:val="en-US"/>
                          </w:rPr>
                        </w:pPr>
                        <w:r>
                          <w:rPr>
                            <w:rFonts w:ascii="Aptos" w:hAnsi="Aptos"/>
                            <w:b/>
                            <w:bCs/>
                            <w:color w:val="003841"/>
                            <w:kern w:val="24"/>
                            <w:sz w:val="10"/>
                            <w:szCs w:val="10"/>
                          </w:rPr>
                          <w:t xml:space="preserve">Οι κεφαλαιακοί δείκτες περιλαμβάνουν πρόβλεψη 90μ.β. για διανομή μερίσματος 30% επί των κερδών </w:t>
                        </w:r>
                      </w:p>
                    </w:txbxContent>
                  </v:textbox>
                </v:roundrect>
                <v:shape id="Triangle 9" o:spid="_x0000_s1026" o:spt="5" type="#_x0000_t5" style="position:absolute;left:879141;top:192502;flip:x;height:109194;width:67843;rotation:-5898240f;v-text-anchor:middle;" fillcolor="#00CFE7" filled="t" stroked="f" coordsize="21600,21600" o:gfxdata="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zowK8AAAA&#10;2wAAAA8AAAAAAAAAAQAgAAAAIgAAAGRycy9kb3ducmV2LnhtbFBLAQIUABQAAAAIAIdO4kAzLwWe&#10;OwAAADkAAAAQAAAAAAAAAAEAIAAAAAsBAABkcnMvc2hhcGV4bWwueG1sUEsFBgAAAAAGAAYAWwEA&#10;ALUDAAAAAA==&#10;" adj="10800">
                  <v:fill on="t" focussize="0,0"/>
                  <v:stroke on="f" weight="1pt" miterlimit="8" joinstyle="miter"/>
                  <v:imagedata o:title=""/>
                  <o:lock v:ext="edit" aspectratio="f"/>
                  <v:textbox inset="2mm,2mm,2mm,2mm"/>
                </v:shape>
              </v:group>
            </w:pict>
          </mc:Fallback>
        </mc:AlternateContent>
      </w:r>
    </w:p>
    <w:tbl>
      <w:tblPr>
        <w:tblStyle w:val="19"/>
        <w:tblW w:w="10224" w:type="dxa"/>
        <w:tblInd w:w="0" w:type="dxa"/>
        <w:tblBorders>
          <w:top w:val="dotted" w:color="003841" w:sz="4" w:space="0"/>
          <w:left w:val="none" w:color="auto" w:sz="0" w:space="0"/>
          <w:bottom w:val="dotted" w:color="003841" w:sz="4" w:space="0"/>
          <w:right w:val="none" w:color="auto" w:sz="0" w:space="0"/>
          <w:insideH w:val="dotted" w:color="003841" w:sz="4" w:space="0"/>
          <w:insideV w:val="dotted" w:color="003841" w:sz="4" w:space="0"/>
        </w:tblBorders>
        <w:shd w:val="clear" w:color="auto" w:fill="F5F9F6"/>
        <w:tblLayout w:type="autofit"/>
        <w:tblCellMar>
          <w:top w:w="0" w:type="dxa"/>
          <w:left w:w="108" w:type="dxa"/>
          <w:bottom w:w="0" w:type="dxa"/>
          <w:right w:w="108" w:type="dxa"/>
        </w:tblCellMar>
      </w:tblPr>
      <w:tblGrid>
        <w:gridCol w:w="3408"/>
        <w:gridCol w:w="3408"/>
        <w:gridCol w:w="3408"/>
      </w:tblGrid>
      <w:tr>
        <w:tblPrEx>
          <w:tblBorders>
            <w:top w:val="dotted" w:color="003841" w:sz="4" w:space="0"/>
            <w:left w:val="none" w:color="auto" w:sz="0" w:space="0"/>
            <w:bottom w:val="dotted" w:color="003841" w:sz="4" w:space="0"/>
            <w:right w:val="none" w:color="auto" w:sz="0" w:space="0"/>
            <w:insideH w:val="dotted" w:color="003841" w:sz="4" w:space="0"/>
            <w:insideV w:val="dotted" w:color="003841" w:sz="4" w:space="0"/>
          </w:tblBorders>
          <w:shd w:val="clear" w:color="auto" w:fill="F5F9F6"/>
          <w:tblCellMar>
            <w:top w:w="0" w:type="dxa"/>
            <w:left w:w="108" w:type="dxa"/>
            <w:bottom w:w="0" w:type="dxa"/>
            <w:right w:w="108" w:type="dxa"/>
          </w:tblCellMar>
        </w:tblPrEx>
        <w:trPr>
          <w:trHeight w:val="432" w:hRule="atLeast"/>
        </w:trPr>
        <w:tc>
          <w:tcPr>
            <w:tcW w:w="10224" w:type="dxa"/>
            <w:gridSpan w:val="3"/>
            <w:shd w:val="clear" w:color="auto" w:fill="003841"/>
            <w:vAlign w:val="center"/>
          </w:tcPr>
          <w:p>
            <w:pPr>
              <w:pStyle w:val="16"/>
              <w:spacing w:before="180" w:beforeAutospacing="0" w:after="0" w:afterAutospacing="0" w:line="264" w:lineRule="auto"/>
              <w:jc w:val="center"/>
              <w:rPr>
                <w:rFonts w:ascii="Aptos ExtraBold" w:hAnsi="Aptos ExtraBold" w:eastAsia="+mn-ea" w:cs="+mn-cs"/>
                <w:b/>
                <w:bCs/>
                <w:color w:val="FFFFFF" w:themeColor="background1"/>
                <w:kern w:val="24"/>
                <w:sz w:val="44"/>
                <w:szCs w:val="46"/>
                <w14:textFill>
                  <w14:solidFill>
                    <w14:schemeClr w14:val="bg1"/>
                  </w14:solidFill>
                </w14:textFill>
                <w14:props3d w14:extrusionH="0" w14:contourW="0" w14:prstMaterial="matte"/>
              </w:rPr>
            </w:pPr>
            <w:r>
              <w:rPr>
                <w:rFonts w:ascii="Aptos ExtraBold" w:hAnsi="Aptos ExtraBold" w:eastAsia="+mn-ea" w:cs="+mn-cs"/>
                <w:b/>
                <w:bCs/>
                <w:color w:val="FFFFFF" w:themeColor="background1"/>
                <w:kern w:val="24"/>
                <w:sz w:val="32"/>
                <w:szCs w:val="40"/>
                <w14:textFill>
                  <w14:solidFill>
                    <w14:schemeClr w14:val="bg1"/>
                  </w14:solidFill>
                </w14:textFill>
                <w14:props3d w14:extrusionH="0" w14:contourW="0" w14:prstMaterial="matte"/>
              </w:rPr>
              <w:t xml:space="preserve">Ισχυρή αύξηση των κεφαλαιακών μας αποθεμάτων </w:t>
            </w:r>
          </w:p>
        </w:tc>
      </w:tr>
      <w:tr>
        <w:tblPrEx>
          <w:tblBorders>
            <w:top w:val="dotted" w:color="003841" w:sz="4" w:space="0"/>
            <w:left w:val="none" w:color="auto" w:sz="0" w:space="0"/>
            <w:bottom w:val="dotted" w:color="003841" w:sz="4" w:space="0"/>
            <w:right w:val="none" w:color="auto" w:sz="0" w:space="0"/>
            <w:insideH w:val="dotted" w:color="003841" w:sz="4" w:space="0"/>
            <w:insideV w:val="dotted" w:color="003841" w:sz="4" w:space="0"/>
          </w:tblBorders>
          <w:shd w:val="clear" w:color="auto" w:fill="F5F9F6"/>
          <w:tblCellMar>
            <w:top w:w="0" w:type="dxa"/>
            <w:left w:w="108" w:type="dxa"/>
            <w:bottom w:w="0" w:type="dxa"/>
            <w:right w:w="108" w:type="dxa"/>
          </w:tblCellMar>
        </w:tblPrEx>
        <w:trPr>
          <w:trHeight w:val="2592" w:hRule="atLeast"/>
        </w:trPr>
        <w:tc>
          <w:tcPr>
            <w:tcW w:w="3408" w:type="dxa"/>
            <w:shd w:val="clear" w:color="auto" w:fill="F5F9F6"/>
            <w:vAlign w:val="center"/>
          </w:tcPr>
          <w:p>
            <w:pPr>
              <w:pStyle w:val="16"/>
              <w:spacing w:before="180" w:beforeAutospacing="0" w:after="0" w:afterAutospacing="0" w:line="264" w:lineRule="auto"/>
              <w:jc w:val="center"/>
              <w:rPr>
                <w:rFonts w:ascii="Segoe UI" w:hAnsi="Segoe UI" w:cs="Segoe UI"/>
                <w:color w:val="595959"/>
                <w:sz w:val="28"/>
                <w:szCs w:val="38"/>
              </w:rPr>
            </w:pPr>
            <w:r>
              <w:rPr>
                <w:rFonts w:ascii="Aptos ExtraBold" w:hAnsi="Aptos ExtraBold" w:eastAsia="+mn-ea" w:cs="+mn-cs"/>
                <w:b/>
                <w:bCs/>
                <w:color w:val="003841"/>
                <w:kern w:val="24"/>
                <w:sz w:val="28"/>
                <w:szCs w:val="38"/>
                <w14:props3d w14:extrusionH="0" w14:contourW="0" w14:prstMaterial="matte"/>
              </w:rPr>
              <w:t xml:space="preserve">Δείκτης                             </w:t>
            </w:r>
            <w:r>
              <w:rPr>
                <w:rFonts w:ascii="Aptos ExtraBold" w:hAnsi="Aptos ExtraBold" w:eastAsia="+mn-ea" w:cs="+mn-cs"/>
                <w:b/>
                <w:bCs/>
                <w:color w:val="003841"/>
                <w:kern w:val="24"/>
                <w:sz w:val="28"/>
                <w:szCs w:val="38"/>
                <w:lang w:val="en-GB"/>
                <w14:props3d w14:extrusionH="0" w14:contourW="0" w14:prstMaterial="matte"/>
              </w:rPr>
              <w:t>CET</w:t>
            </w:r>
            <w:r>
              <w:rPr>
                <w:rFonts w:ascii="Aptos ExtraBold" w:hAnsi="Aptos ExtraBold" w:eastAsia="+mn-ea" w:cs="+mn-cs"/>
                <w:b/>
                <w:bCs/>
                <w:color w:val="003841"/>
                <w:kern w:val="24"/>
                <w:sz w:val="28"/>
                <w:szCs w:val="38"/>
                <w14:props3d w14:extrusionH="0" w14:contourW="0" w14:prstMaterial="matte"/>
              </w:rPr>
              <w:t>1</w:t>
            </w:r>
            <w:r>
              <w:rPr>
                <w:rFonts w:ascii="Aptos ExtraBold" w:hAnsi="Aptos ExtraBold" w:eastAsia="+mn-ea" w:cs="+mn-cs"/>
                <w:b/>
                <w:bCs/>
                <w:color w:val="003841"/>
                <w:kern w:val="24"/>
                <w:sz w:val="28"/>
                <w:szCs w:val="38"/>
              </w:rPr>
              <w:t xml:space="preserve"> </w:t>
            </w:r>
            <w:r>
              <w:rPr>
                <w:rFonts w:ascii="Aptos ExtraBold" w:hAnsi="Aptos ExtraBold" w:eastAsia="+mn-ea" w:cs="+mn-cs"/>
                <w:b/>
                <w:bCs/>
                <w:color w:val="003841"/>
                <w:kern w:val="24"/>
                <w:sz w:val="28"/>
                <w:szCs w:val="38"/>
              </w:rPr>
              <w:br w:type="textWrapping"/>
            </w:r>
            <w:r>
              <w:rPr>
                <w:rFonts w:ascii="Aptos ExtraBold" w:hAnsi="Aptos ExtraBold" w:eastAsia="+mn-ea" w:cs="+mn-cs"/>
                <w:b/>
                <w:bCs/>
                <w:color w:val="007B85"/>
                <w:kern w:val="24"/>
                <w:sz w:val="28"/>
                <w:szCs w:val="38"/>
              </w:rPr>
              <w:t xml:space="preserve">17,8%                                              </w:t>
            </w:r>
            <w:r>
              <w:rPr>
                <w:rFonts w:ascii="Aptos" w:hAnsi="Aptos" w:eastAsia="+mn-ea" w:cs="+mn-cs"/>
                <w:color w:val="007B85"/>
                <w:kern w:val="24"/>
              </w:rPr>
              <w:t>+</w:t>
            </w:r>
            <w:r>
              <w:rPr>
                <w:rFonts w:ascii="Aptos" w:hAnsi="Aptos" w:eastAsia="+mn-ea" w:cs="+mn-cs"/>
                <w:b/>
                <w:bCs/>
                <w:color w:val="007B85"/>
                <w:kern w:val="24"/>
              </w:rPr>
              <w:t>220μ.β.ετησίως</w:t>
            </w:r>
          </w:p>
        </w:tc>
        <w:tc>
          <w:tcPr>
            <w:tcW w:w="3408" w:type="dxa"/>
            <w:shd w:val="clear" w:color="auto" w:fill="F5F9F6"/>
            <w:vAlign w:val="center"/>
          </w:tcPr>
          <w:p>
            <w:pPr>
              <w:pStyle w:val="16"/>
              <w:spacing w:before="180" w:beforeAutospacing="0" w:after="0" w:afterAutospacing="0" w:line="264" w:lineRule="auto"/>
              <w:jc w:val="center"/>
              <w:rPr>
                <w:rFonts w:ascii="Segoe UI" w:hAnsi="Segoe UI" w:cs="Segoe UI"/>
                <w:color w:val="595959"/>
                <w:sz w:val="28"/>
                <w:szCs w:val="38"/>
              </w:rPr>
            </w:pPr>
            <w:r>
              <w:rPr>
                <w:rFonts w:ascii="Aptos ExtraBold" w:hAnsi="Aptos ExtraBold" w:eastAsia="+mn-ea" w:cs="+mn-cs"/>
                <w:b/>
                <w:bCs/>
                <w:color w:val="003841"/>
                <w:kern w:val="24"/>
                <w:sz w:val="28"/>
                <w:szCs w:val="38"/>
                <w14:props3d w14:extrusionH="0" w14:contourW="0" w14:prstMaterial="matte"/>
              </w:rPr>
              <w:t xml:space="preserve">Συνολικός Δείκτης Κεφαλαιακής Επάρκειας </w:t>
            </w:r>
            <w:r>
              <w:rPr>
                <w:rFonts w:ascii="Aptos ExtraBold" w:hAnsi="Aptos ExtraBold" w:eastAsia="+mn-ea" w:cs="+mn-cs"/>
                <w:b/>
                <w:bCs/>
                <w:color w:val="595959"/>
                <w:kern w:val="24"/>
                <w:sz w:val="28"/>
                <w:szCs w:val="38"/>
              </w:rPr>
              <w:br w:type="textWrapping"/>
            </w:r>
            <w:r>
              <w:rPr>
                <w:rFonts w:ascii="Aptos ExtraBold" w:hAnsi="Aptos ExtraBold" w:eastAsia="+mn-ea" w:cs="+mn-cs"/>
                <w:b/>
                <w:bCs/>
                <w:color w:val="007B85"/>
                <w:kern w:val="24"/>
                <w:sz w:val="28"/>
                <w:szCs w:val="38"/>
              </w:rPr>
              <w:t xml:space="preserve">20,2%                                </w:t>
            </w:r>
            <w:r>
              <w:rPr>
                <w:rFonts w:ascii="Aptos" w:hAnsi="Aptos" w:eastAsia="+mn-ea" w:cs="+mn-cs"/>
                <w:b/>
                <w:bCs/>
                <w:color w:val="007B85"/>
                <w:kern w:val="24"/>
                <w:szCs w:val="36"/>
              </w:rPr>
              <w:t>+350μ.β. ετησίως</w:t>
            </w:r>
          </w:p>
        </w:tc>
        <w:tc>
          <w:tcPr>
            <w:tcW w:w="3408" w:type="dxa"/>
            <w:shd w:val="clear" w:color="auto" w:fill="F5F9F6"/>
            <w:vAlign w:val="center"/>
          </w:tcPr>
          <w:p>
            <w:pPr>
              <w:pStyle w:val="16"/>
              <w:spacing w:before="180" w:beforeAutospacing="0" w:after="0" w:afterAutospacing="0" w:line="264" w:lineRule="auto"/>
              <w:jc w:val="center"/>
              <w:rPr>
                <w:rFonts w:ascii="Segoe UI" w:hAnsi="Segoe UI" w:cs="Segoe UI"/>
                <w:color w:val="595959"/>
                <w:sz w:val="28"/>
                <w:szCs w:val="38"/>
              </w:rPr>
            </w:pPr>
            <w:r>
              <w:rPr>
                <w:rFonts w:ascii="Aptos ExtraBold" w:hAnsi="Aptos ExtraBold" w:eastAsia="+mn-ea" w:cs="+mn-cs"/>
                <w:b/>
                <w:bCs/>
                <w:color w:val="003841"/>
                <w:kern w:val="24"/>
                <w:sz w:val="28"/>
                <w:szCs w:val="38"/>
                <w14:props3d w14:extrusionH="0" w14:contourW="0" w14:prstMaterial="matte"/>
              </w:rPr>
              <w:t xml:space="preserve">Δείκτης </w:t>
            </w:r>
            <w:r>
              <w:rPr>
                <w:rFonts w:ascii="Aptos ExtraBold" w:hAnsi="Aptos ExtraBold" w:eastAsia="+mn-ea" w:cs="+mn-cs"/>
                <w:b/>
                <w:bCs/>
                <w:color w:val="003841"/>
                <w:kern w:val="24"/>
                <w:sz w:val="28"/>
                <w:szCs w:val="38"/>
                <w:lang w:val="en-GB"/>
                <w14:props3d w14:extrusionH="0" w14:contourW="0" w14:prstMaterial="matte"/>
              </w:rPr>
              <w:t>MREL</w:t>
            </w:r>
            <w:r>
              <w:rPr>
                <w:rFonts w:ascii="Aptos ExtraBold" w:hAnsi="Aptos ExtraBold" w:eastAsia="+mn-ea" w:cs="+mn-cs"/>
                <w:b/>
                <w:bCs/>
                <w:color w:val="003841"/>
                <w:kern w:val="24"/>
                <w:sz w:val="28"/>
                <w:szCs w:val="38"/>
              </w:rPr>
              <w:t xml:space="preserve"> </w:t>
            </w:r>
            <w:r>
              <w:rPr>
                <w:rFonts w:ascii="Aptos ExtraBold" w:hAnsi="Aptos ExtraBold" w:eastAsia="+mn-ea" w:cs="+mn-cs"/>
                <w:b/>
                <w:bCs/>
                <w:color w:val="003841"/>
                <w:kern w:val="24"/>
                <w:sz w:val="28"/>
                <w:szCs w:val="38"/>
              </w:rPr>
              <w:br w:type="textWrapping"/>
            </w:r>
            <w:r>
              <w:rPr>
                <w:rFonts w:ascii="Aptos ExtraBold" w:hAnsi="Aptos ExtraBold" w:eastAsia="+mn-ea" w:cs="+mn-cs"/>
                <w:b/>
                <w:bCs/>
                <w:color w:val="007B85"/>
                <w:kern w:val="24"/>
                <w:sz w:val="28"/>
                <w:szCs w:val="38"/>
              </w:rPr>
              <w:t>25,4%</w:t>
            </w:r>
            <w:r>
              <w:rPr>
                <w:rFonts w:ascii="Aptos ExtraBold" w:hAnsi="Aptos ExtraBold" w:eastAsia="+mn-ea" w:cs="+mn-cs"/>
                <w:b/>
                <w:bCs/>
                <w:color w:val="007B85"/>
                <w:kern w:val="24"/>
                <w:sz w:val="28"/>
                <w:szCs w:val="38"/>
                <w:vertAlign w:val="superscript"/>
              </w:rPr>
              <w:t>4</w:t>
            </w:r>
            <w:r>
              <w:rPr>
                <w:rFonts w:ascii="Aptos ExtraBold" w:hAnsi="Aptos ExtraBold" w:eastAsia="+mn-ea" w:cs="+mn-cs"/>
                <w:b/>
                <w:bCs/>
                <w:color w:val="007B85"/>
                <w:kern w:val="24"/>
                <w:sz w:val="28"/>
                <w:szCs w:val="38"/>
              </w:rPr>
              <w:t xml:space="preserve">                                              </w:t>
            </w:r>
            <w:r>
              <w:rPr>
                <w:rFonts w:ascii="Aptos" w:hAnsi="Aptos" w:eastAsia="+mn-ea" w:cs="+mn-cs"/>
                <w:b/>
                <w:bCs/>
                <w:color w:val="007B85"/>
                <w:kern w:val="24"/>
                <w:szCs w:val="36"/>
              </w:rPr>
              <w:t>εποπτικός</w:t>
            </w:r>
            <w:r>
              <w:rPr>
                <w:rFonts w:ascii="Aptos ExtraBold" w:hAnsi="Aptos ExtraBold" w:eastAsia="+mn-ea" w:cs="+mn-cs"/>
                <w:b/>
                <w:bCs/>
                <w:color w:val="007B85"/>
                <w:kern w:val="24"/>
                <w:sz w:val="28"/>
                <w:szCs w:val="38"/>
              </w:rPr>
              <w:t xml:space="preserve"> </w:t>
            </w:r>
            <w:r>
              <w:rPr>
                <w:rFonts w:ascii="Aptos" w:hAnsi="Aptos" w:eastAsia="+mn-ea" w:cs="+mn-cs"/>
                <w:b/>
                <w:bCs/>
                <w:color w:val="007B85"/>
                <w:kern w:val="24"/>
                <w:szCs w:val="36"/>
              </w:rPr>
              <w:t>στόχος                        Ιαν’25 στο 25,3%</w:t>
            </w:r>
          </w:p>
        </w:tc>
      </w:tr>
    </w:tbl>
    <w:p>
      <w:pPr>
        <w:pStyle w:val="16"/>
        <w:spacing w:before="0" w:beforeAutospacing="0" w:after="0" w:afterAutospacing="0"/>
        <w:rPr>
          <w:rFonts w:ascii="Aptos Light" w:hAnsi="Aptos Light" w:eastAsiaTheme="minorEastAsia" w:cstheme="minorBidi"/>
          <w:color w:val="595959"/>
          <w:kern w:val="24"/>
          <w:sz w:val="12"/>
          <w:szCs w:val="12"/>
        </w:rPr>
      </w:pPr>
      <w:r>
        <w:rPr>
          <w:rFonts w:ascii="Aptos Light" w:hAnsi="Aptos Light" w:eastAsiaTheme="minorEastAsia" w:cstheme="minorBidi"/>
          <w:color w:val="595959"/>
          <w:kern w:val="24"/>
          <w:sz w:val="12"/>
          <w:szCs w:val="12"/>
        </w:rPr>
        <w:t>1 Εξαιρούν τα έσοδα από χρηματοοικονομικές πράξεις και λοιπά έσοδα | 2 Οργανικά κέρδη μετά φόρων προς μέσο όρο ενσώματων ιδίων κεφαλαίων, συμπεριλαμβανομένων των κεφαλαίων CET1 άνω των εποπτικών ορίων | 3 Σε επίπεδο Τράπεζας. Επιπλέον δάνεια ύψους €0,7 δισ. εκταμιεύθηκαν από θυγατρικές | 4 Περιλαμβάνει τα ομόλογα υψηλής εξασφάλισης ύψους €600 εκατ. τον Ιανουάριο του 2024</w:t>
      </w:r>
    </w:p>
    <w:p>
      <w:pPr>
        <w:rPr>
          <w:rFonts w:ascii="Aptos Light" w:hAnsi="Aptos Light" w:eastAsiaTheme="minorEastAsia"/>
          <w:color w:val="595959"/>
          <w:kern w:val="24"/>
          <w:sz w:val="2"/>
          <w:szCs w:val="2"/>
          <w:lang w:eastAsia="en-GB"/>
        </w:rPr>
      </w:pPr>
      <w:r>
        <w:rPr>
          <w:rFonts w:ascii="Aptos Light" w:hAnsi="Aptos Light" w:eastAsiaTheme="minorEastAsia"/>
          <w:color w:val="595959"/>
          <w:kern w:val="24"/>
          <w:sz w:val="2"/>
          <w:szCs w:val="2"/>
        </w:rPr>
        <w:br w:type="page"/>
      </w:r>
    </w:p>
    <w:p>
      <w:pPr>
        <w:rPr>
          <w:rFonts w:ascii="Aptos" w:hAnsi="Aptos" w:cs="Segoe UI"/>
          <w:i/>
          <w:color w:val="595959"/>
          <w:sz w:val="18"/>
          <w:szCs w:val="20"/>
        </w:rPr>
      </w:pPr>
      <w:r>
        <w:rPr>
          <w:rFonts w:ascii="Segoe UI" w:hAnsi="Segoe UI" w:cs="Segoe UI"/>
          <w:color w:val="595959"/>
          <w:lang w:eastAsia="el-GR"/>
        </w:rP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-33655</wp:posOffset>
                </wp:positionV>
                <wp:extent cx="6473190" cy="9314180"/>
                <wp:effectExtent l="0" t="0" r="4445" b="190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6473161" cy="9314121"/>
                        </a:xfrm>
                        <a:prstGeom prst="rect">
                          <a:avLst/>
                        </a:prstGeom>
                        <a:solidFill>
                          <a:srgbClr val="F5F9F6"/>
                        </a:solidFill>
                        <a:ln w="9525">
                          <a:noFill/>
                        </a:ln>
                      </wps:spPr>
                      <wps:txbx>
                        <w:txbxContent>
                          <w:p>
                            <w:pPr>
                              <w:pStyle w:val="16"/>
                              <w:spacing w:before="180" w:beforeAutospacing="0" w:after="120" w:afterAutospacing="0" w:line="264" w:lineRule="auto"/>
                              <w:rPr>
                                <w:rFonts w:ascii="Aptos ExtraBold" w:hAnsi="Aptos ExtraBold" w:eastAsia="+mn-ea" w:cs="+mn-cs"/>
                                <w:b/>
                                <w:bCs/>
                                <w:color w:val="003841"/>
                                <w:kern w:val="24"/>
                                <w:sz w:val="32"/>
                                <w:szCs w:val="32"/>
                                <w:lang w:val="en-GB"/>
                                <w14:props3d w14:extrusionH="0" w14:contourW="0" w14:prstMaterial="matte"/>
                              </w:rPr>
                            </w:pPr>
                            <w:r>
                              <w:rPr>
                                <w:rFonts w:ascii="Aptos ExtraBold" w:hAnsi="Aptos ExtraBold" w:eastAsia="+mn-ea" w:cs="+mn-cs"/>
                                <w:b/>
                                <w:bCs/>
                                <w:color w:val="003841"/>
                                <w:kern w:val="24"/>
                                <w:sz w:val="32"/>
                                <w:szCs w:val="32"/>
                                <w14:props3d w14:extrusionH="0" w14:contourW="0" w14:prstMaterial="matte"/>
                              </w:rPr>
                              <w:t xml:space="preserve">Κύρια Χρηματοοικονομικά Μεγέθη </w:t>
                            </w:r>
                          </w:p>
                          <w:p>
                            <w:pPr>
                              <w:pStyle w:val="25"/>
                              <w:numPr>
                                <w:ilvl w:val="0"/>
                                <w:numId w:val="2"/>
                              </w:numPr>
                              <w:spacing w:before="60" w:after="0" w:line="276" w:lineRule="auto"/>
                              <w:jc w:val="left"/>
                              <w:rPr>
                                <w:rFonts w:ascii="Aptos" w:hAnsi="Aptos" w:cs="Segoe UI"/>
                                <w:b/>
                                <w:color w:val="007B85"/>
                                <w:sz w:val="20"/>
                                <w:szCs w:val="20"/>
                              </w:rPr>
                            </w:pPr>
                            <w:r>
                              <w:rPr>
                                <w:rFonts w:ascii="Aptos" w:hAnsi="Aptos" w:cs="Segoe UI"/>
                                <w:b/>
                                <w:color w:val="007B85"/>
                                <w:sz w:val="20"/>
                                <w:szCs w:val="20"/>
                              </w:rPr>
                              <w:t>Τα οργανικά κέρδη μετά φόρων σε επίπεδο Ομίλου ανήλθαν σε €1,2 δισ. το 2023, ενισχυμένα κατά 2,5 φορές ετησίως. Ο δείκτης απόδοσης ιδίων κεφαλαίων</w:t>
                            </w:r>
                            <w:r>
                              <w:rPr>
                                <w:rFonts w:ascii="Aptos" w:hAnsi="Aptos" w:cs="Segoe UI"/>
                                <w:b/>
                                <w:color w:val="007B85"/>
                                <w:sz w:val="20"/>
                                <w:szCs w:val="20"/>
                                <w:vertAlign w:val="superscript"/>
                              </w:rPr>
                              <w:t>1</w:t>
                            </w:r>
                            <w:r>
                              <w:rPr>
                                <w:rFonts w:ascii="Aptos" w:hAnsi="Aptos" w:cs="Segoe UI"/>
                                <w:b/>
                                <w:color w:val="007B85"/>
                                <w:sz w:val="20"/>
                                <w:szCs w:val="20"/>
                              </w:rPr>
                              <w:t xml:space="preserve"> διαμορφώθηκε στο 18,3%, χωρίς να αναπροσαρμόζουμε για το υπερβάλλον κεφάλαιο CET1 άνω των εποπτικών ορίων</w:t>
                            </w:r>
                          </w:p>
                          <w:p>
                            <w:pPr>
                              <w:numPr>
                                <w:ilvl w:val="1"/>
                                <w:numId w:val="2"/>
                              </w:numPr>
                              <w:spacing w:before="120"/>
                              <w:rPr>
                                <w:rFonts w:ascii="Aptos" w:hAnsi="Aptos" w:cs="Segoe UI"/>
                                <w:sz w:val="20"/>
                                <w:szCs w:val="20"/>
                              </w:rPr>
                            </w:pPr>
                            <w:r>
                              <w:rPr>
                                <w:rFonts w:ascii="Aptos" w:hAnsi="Aptos" w:cs="Segoe UI"/>
                                <w:sz w:val="20"/>
                                <w:szCs w:val="20"/>
                              </w:rPr>
                              <w:t xml:space="preserve">Η </w:t>
                            </w:r>
                            <w:r>
                              <w:rPr>
                                <w:rFonts w:ascii="Aptos" w:hAnsi="Aptos" w:cs="Segoe UI"/>
                                <w:b/>
                                <w:bCs/>
                                <w:sz w:val="20"/>
                                <w:szCs w:val="20"/>
                              </w:rPr>
                              <w:t>δυναμική των</w:t>
                            </w:r>
                            <w:r>
                              <w:rPr>
                                <w:rFonts w:ascii="Aptos" w:hAnsi="Aptos" w:cs="Segoe UI"/>
                                <w:sz w:val="20"/>
                                <w:szCs w:val="20"/>
                              </w:rPr>
                              <w:t xml:space="preserve"> </w:t>
                            </w:r>
                            <w:r>
                              <w:rPr>
                                <w:rFonts w:ascii="Aptos" w:hAnsi="Aptos" w:cs="Segoe UI"/>
                                <w:b/>
                                <w:bCs/>
                                <w:sz w:val="20"/>
                                <w:szCs w:val="20"/>
                              </w:rPr>
                              <w:t>καθαρών εσόδων από τόκους</w:t>
                            </w:r>
                            <w:r>
                              <w:rPr>
                                <w:rFonts w:ascii="Aptos" w:hAnsi="Aptos" w:cs="Segoe UI"/>
                                <w:sz w:val="20"/>
                                <w:szCs w:val="20"/>
                              </w:rPr>
                              <w:t xml:space="preserve"> </w:t>
                            </w:r>
                            <w:r>
                              <w:rPr>
                                <w:rFonts w:ascii="Aptos" w:hAnsi="Aptos" w:cs="Segoe UI"/>
                                <w:b/>
                                <w:bCs/>
                                <w:sz w:val="20"/>
                                <w:szCs w:val="20"/>
                              </w:rPr>
                              <w:t>διατηρήθηκε</w:t>
                            </w:r>
                            <w:r>
                              <w:rPr>
                                <w:rFonts w:ascii="Aptos" w:hAnsi="Aptos" w:cs="Segoe UI"/>
                                <w:sz w:val="20"/>
                                <w:szCs w:val="20"/>
                              </w:rPr>
                              <w:t xml:space="preserve"> στο Δ’ τρίμηνο 2023 (+6% σε τριμηνιαία βάση) και αποτυπώνει την ανατιμολόγηση των δανείων λόγω των αυξήσεων του βασικού επιτοκίου της Ευρωπαϊκής Κεντρικής Τράπεζας (ΕΚΤ), απορροφώντας το υψηλότερο κόστος χρηματοδότησης. Κατά συνέπεια, το καθαρό επιτοκιακό περιθώριο παρέμεινε σε ανοδική τροχιά, σημειώνοντας αύξηση κατά +15μ.β. σε τριμηνιαία βάση και προσεγγίζοντας τις 337μ.β. το Δ΄ τρίμηνο 2023</w:t>
                            </w:r>
                          </w:p>
                          <w:p>
                            <w:pPr>
                              <w:numPr>
                                <w:ilvl w:val="1"/>
                                <w:numId w:val="2"/>
                              </w:numPr>
                              <w:spacing w:before="120"/>
                              <w:rPr>
                                <w:rFonts w:ascii="Aptos" w:hAnsi="Aptos" w:cs="Segoe UI"/>
                                <w:sz w:val="20"/>
                                <w:szCs w:val="20"/>
                              </w:rPr>
                            </w:pPr>
                            <w:r>
                              <w:rPr>
                                <w:rFonts w:ascii="Aptos" w:hAnsi="Aptos" w:cs="Segoe UI"/>
                                <w:sz w:val="20"/>
                                <w:szCs w:val="20"/>
                              </w:rPr>
                              <w:t>Τα</w:t>
                            </w:r>
                            <w:r>
                              <w:rPr>
                                <w:rFonts w:ascii="Aptos" w:hAnsi="Aptos" w:cs="Segoe UI"/>
                                <w:b/>
                                <w:bCs/>
                                <w:sz w:val="20"/>
                                <w:szCs w:val="20"/>
                              </w:rPr>
                              <w:t xml:space="preserve"> καθαρά έσοδα από προμήθειες ενισχύθηκαν σημαντικά</w:t>
                            </w:r>
                            <w:r>
                              <w:rPr>
                                <w:rFonts w:ascii="Aptos" w:hAnsi="Aptos" w:cs="Segoe UI"/>
                                <w:sz w:val="20"/>
                                <w:szCs w:val="20"/>
                              </w:rPr>
                              <w:t xml:space="preserve">, κατά +10% σε </w:t>
                            </w:r>
                            <w:r>
                              <w:rPr>
                                <w:rFonts w:ascii="Aptos" w:hAnsi="Aptos"/>
                                <w:sz w:val="20"/>
                              </w:rPr>
                              <w:t>ετήσια βάση για</w:t>
                            </w:r>
                            <w:r>
                              <w:rPr>
                                <w:rFonts w:ascii="Aptos" w:hAnsi="Aptos" w:cs="Segoe UI"/>
                                <w:sz w:val="20"/>
                                <w:szCs w:val="20"/>
                              </w:rPr>
                              <w:t xml:space="preserve"> το 2023,</w:t>
                            </w:r>
                            <w:r>
                              <w:t xml:space="preserve"> </w:t>
                            </w:r>
                            <w:r>
                              <w:rPr>
                                <w:rFonts w:ascii="Aptos" w:hAnsi="Aptos" w:cs="Segoe UI"/>
                                <w:sz w:val="20"/>
                                <w:szCs w:val="20"/>
                              </w:rPr>
                              <w:t xml:space="preserve">αντανακλώντας τους ισχυρούς ρυθμούς ανάπτυξης σε όλες τις επιμέρους κατηγορίες προμηθειών, με αιχμή του δόρατος τις επιχειρηματικές πιστοδοτήσεις, τη χρηματοδότηση εμπορικών συναλλαγών (trade finance), και τις αυξημένες σταυροειδείς πωλήσεις επενδυτικών και ασφαλιστικών προϊόντων </w:t>
                            </w:r>
                          </w:p>
                          <w:p>
                            <w:pPr>
                              <w:numPr>
                                <w:ilvl w:val="1"/>
                                <w:numId w:val="2"/>
                              </w:numPr>
                              <w:spacing w:before="120"/>
                              <w:rPr>
                                <w:rFonts w:ascii="Aptos" w:hAnsi="Aptos" w:cs="Segoe UI"/>
                                <w:sz w:val="20"/>
                                <w:szCs w:val="20"/>
                              </w:rPr>
                            </w:pPr>
                            <w:r>
                              <w:rPr>
                                <w:rFonts w:ascii="Aptos" w:hAnsi="Aptos" w:cs="Segoe UI"/>
                                <w:sz w:val="20"/>
                                <w:szCs w:val="20"/>
                              </w:rPr>
                              <w:t>Η</w:t>
                            </w:r>
                            <w:r>
                              <w:rPr>
                                <w:rFonts w:ascii="Aptos" w:hAnsi="Aptos" w:cs="Segoe UI"/>
                                <w:b/>
                                <w:bCs/>
                                <w:sz w:val="20"/>
                                <w:szCs w:val="20"/>
                              </w:rPr>
                              <w:t xml:space="preserve"> συγκράτηση των λειτουργικών δαπανών συνεχίστηκε, </w:t>
                            </w:r>
                            <w:r>
                              <w:rPr>
                                <w:rFonts w:ascii="Aptos" w:hAnsi="Aptos" w:cs="Segoe UI"/>
                                <w:sz w:val="20"/>
                                <w:szCs w:val="20"/>
                              </w:rPr>
                              <w:t xml:space="preserve">με την αύξηση στις δαπάνες προσωπικού και τα γενικά και διοικητικά έξοδα να κυμαίνεται σε χαμηλότερα του πληθωρισμού επίπεδα (+2% ετησίως περίπου), </w:t>
                            </w:r>
                            <w:bookmarkStart w:id="2" w:name="_Hlk160615820"/>
                            <w:r>
                              <w:rPr>
                                <w:rFonts w:ascii="Aptos" w:hAnsi="Aptos" w:cs="Segoe UI"/>
                                <w:sz w:val="20"/>
                                <w:szCs w:val="20"/>
                              </w:rPr>
                              <w:t>αντανακλώντας τις συμφωνηθείσες κλαδικές μισθολογικές αυξήσεις και το σύστημα κυμαινόμενων αποδοχών</w:t>
                            </w:r>
                            <w:bookmarkEnd w:id="2"/>
                            <w:r>
                              <w:rPr>
                                <w:rFonts w:ascii="Aptos" w:hAnsi="Aptos" w:cs="Segoe UI"/>
                                <w:sz w:val="20"/>
                                <w:szCs w:val="20"/>
                              </w:rPr>
                              <w:t xml:space="preserve">. Οι υψηλότερες αποσβέσεις αντικατοπτρίζουν το στρατηγικό σχέδιο επενδύσεων της Τράπεζας στον τομέα της πληροφορικής, με βασικότερο άξονα την αντικατάσταση του συστήματος Βασικών Τραπεζικών Εργασιών (Core Banking System). Το 2023, ο δείκτης κόστους προς οργανικά έσοδα διαμορφώθηκε σε 31,6% </w:t>
                            </w:r>
                          </w:p>
                          <w:p>
                            <w:pPr>
                              <w:numPr>
                                <w:ilvl w:val="1"/>
                                <w:numId w:val="2"/>
                              </w:numPr>
                              <w:spacing w:before="120"/>
                              <w:rPr>
                                <w:rFonts w:ascii="Aptos" w:hAnsi="Aptos" w:cs="Segoe UI"/>
                                <w:sz w:val="20"/>
                                <w:szCs w:val="20"/>
                              </w:rPr>
                            </w:pPr>
                            <w:r>
                              <w:rPr>
                                <w:rFonts w:ascii="Aptos" w:hAnsi="Aptos" w:cs="Segoe UI"/>
                                <w:sz w:val="20"/>
                                <w:szCs w:val="20"/>
                              </w:rPr>
                              <w:t xml:space="preserve">Το </w:t>
                            </w:r>
                            <w:r>
                              <w:rPr>
                                <w:rFonts w:ascii="Aptos" w:hAnsi="Aptos" w:cs="Segoe UI"/>
                                <w:b/>
                                <w:bCs/>
                                <w:sz w:val="20"/>
                                <w:szCs w:val="20"/>
                              </w:rPr>
                              <w:t>κόστος πιστωτικού κινδύνου</w:t>
                            </w:r>
                            <w:r>
                              <w:rPr>
                                <w:rFonts w:ascii="Aptos" w:hAnsi="Aptos" w:cs="Segoe UI"/>
                                <w:sz w:val="20"/>
                                <w:szCs w:val="20"/>
                              </w:rPr>
                              <w:t xml:space="preserve"> διαμορφώθηκε σε 64μ.β.</w:t>
                            </w:r>
                            <w:r>
                              <w:rPr>
                                <w:rFonts w:ascii="Aptos" w:hAnsi="Aptos" w:cs="Segoe UI"/>
                                <w:sz w:val="20"/>
                                <w:szCs w:val="20"/>
                                <w:vertAlign w:val="superscript"/>
                              </w:rPr>
                              <w:t>2</w:t>
                            </w:r>
                            <w:r>
                              <w:rPr>
                                <w:rFonts w:ascii="Aptos" w:hAnsi="Aptos" w:cs="Segoe UI"/>
                                <w:sz w:val="20"/>
                                <w:szCs w:val="20"/>
                              </w:rPr>
                              <w:t xml:space="preserve">, έναντι στόχου περί των 80μ.β. που είχαμε θέσει για το 2023, αντανακλώντας τη διατήρηση της δημιουργίας νέων ΜΕΑ σε χαμηλά επίπεδα </w:t>
                            </w:r>
                          </w:p>
                          <w:p>
                            <w:pPr>
                              <w:spacing w:before="80"/>
                              <w:ind w:left="648"/>
                              <w:rPr>
                                <w:rFonts w:ascii="Aptos" w:hAnsi="Aptos" w:cs="Segoe UI"/>
                                <w:sz w:val="16"/>
                                <w:szCs w:val="16"/>
                              </w:rPr>
                            </w:pPr>
                          </w:p>
                          <w:p>
                            <w:pPr>
                              <w:pStyle w:val="25"/>
                              <w:numPr>
                                <w:ilvl w:val="0"/>
                                <w:numId w:val="2"/>
                              </w:numPr>
                              <w:spacing w:before="60" w:after="0" w:line="276" w:lineRule="auto"/>
                              <w:jc w:val="left"/>
                              <w:rPr>
                                <w:rFonts w:ascii="Aptos" w:hAnsi="Aptos" w:cs="Segoe UI"/>
                                <w:b/>
                                <w:color w:val="007B85"/>
                                <w:sz w:val="20"/>
                                <w:szCs w:val="20"/>
                              </w:rPr>
                            </w:pPr>
                            <w:r>
                              <w:rPr>
                                <w:rFonts w:ascii="Aptos" w:hAnsi="Aptos" w:cs="Segoe UI"/>
                                <w:b/>
                                <w:color w:val="007B85"/>
                                <w:sz w:val="20"/>
                                <w:szCs w:val="20"/>
                              </w:rPr>
                              <w:t>Η ισχυρή ανάκαμψη των εκταμιεύσεων</w:t>
                            </w:r>
                            <w:r>
                              <w:rPr>
                                <w:rFonts w:ascii="Aptos" w:hAnsi="Aptos" w:cs="Segoe UI"/>
                                <w:b/>
                                <w:color w:val="007B85"/>
                                <w:sz w:val="20"/>
                                <w:szCs w:val="20"/>
                                <w:vertAlign w:val="superscript"/>
                              </w:rPr>
                              <w:t>3</w:t>
                            </w:r>
                            <w:r>
                              <w:rPr>
                                <w:rFonts w:ascii="Aptos" w:hAnsi="Aptos" w:cs="Segoe UI"/>
                                <w:b/>
                                <w:color w:val="007B85"/>
                                <w:sz w:val="20"/>
                                <w:szCs w:val="20"/>
                              </w:rPr>
                              <w:t xml:space="preserve"> σε €2,6 δισ. το Δ’ τρίμηνο 2023, οδηγεί τα εξυπηρετούμενα δάνεια +€1,3 δισ. υψηλότερα σε ετήσια βάση, σύμφωνα με το στόχο που είχαμε θέσει </w:t>
                            </w:r>
                          </w:p>
                          <w:p>
                            <w:pPr>
                              <w:numPr>
                                <w:ilvl w:val="1"/>
                                <w:numId w:val="2"/>
                              </w:numPr>
                              <w:spacing w:before="100"/>
                              <w:rPr>
                                <w:rFonts w:ascii="Aptos" w:hAnsi="Aptos" w:cs="Segoe UI"/>
                                <w:sz w:val="20"/>
                                <w:szCs w:val="20"/>
                              </w:rPr>
                            </w:pPr>
                            <w:r>
                              <w:rPr>
                                <w:rFonts w:ascii="Aptos" w:hAnsi="Aptos" w:cs="Segoe UI"/>
                                <w:sz w:val="20"/>
                                <w:szCs w:val="20"/>
                              </w:rPr>
                              <w:t>Οι</w:t>
                            </w:r>
                            <w:r>
                              <w:rPr>
                                <w:rFonts w:ascii="Aptos" w:hAnsi="Aptos" w:cs="Segoe UI"/>
                                <w:b/>
                                <w:bCs/>
                                <w:sz w:val="20"/>
                                <w:szCs w:val="20"/>
                              </w:rPr>
                              <w:t xml:space="preserve"> ισχυρές εκταμιεύσεις</w:t>
                            </w:r>
                            <w:r>
                              <w:rPr>
                                <w:rFonts w:ascii="Aptos" w:hAnsi="Aptos" w:cs="Segoe UI"/>
                                <w:b/>
                                <w:bCs/>
                                <w:sz w:val="20"/>
                                <w:szCs w:val="20"/>
                                <w:vertAlign w:val="superscript"/>
                              </w:rPr>
                              <w:t>3</w:t>
                            </w:r>
                            <w:r>
                              <w:rPr>
                                <w:rFonts w:ascii="Aptos" w:hAnsi="Aptos" w:cs="Segoe UI"/>
                                <w:b/>
                                <w:bCs/>
                                <w:sz w:val="20"/>
                                <w:szCs w:val="20"/>
                              </w:rPr>
                              <w:t xml:space="preserve"> </w:t>
                            </w:r>
                            <w:r>
                              <w:rPr>
                                <w:rFonts w:ascii="Aptos" w:hAnsi="Aptos" w:cs="Segoe UI"/>
                                <w:sz w:val="20"/>
                                <w:szCs w:val="20"/>
                              </w:rPr>
                              <w:t>το Δ’ τρίμηνο 2023 οδήγησαν τις συνολικές εκταμιεύσεις</w:t>
                            </w:r>
                            <w:r>
                              <w:rPr>
                                <w:rFonts w:ascii="Aptos" w:hAnsi="Aptos" w:cs="Segoe UI"/>
                                <w:sz w:val="20"/>
                                <w:szCs w:val="20"/>
                                <w:vertAlign w:val="superscript"/>
                              </w:rPr>
                              <w:t>3</w:t>
                            </w:r>
                            <w:r>
                              <w:rPr>
                                <w:rFonts w:ascii="Aptos" w:hAnsi="Aptos" w:cs="Segoe UI"/>
                                <w:sz w:val="20"/>
                                <w:szCs w:val="20"/>
                              </w:rPr>
                              <w:t xml:space="preserve"> σε επίπεδο έτος στα €7,0 δισ. έναντι €6,7 δισ. το 2022</w:t>
                            </w:r>
                          </w:p>
                          <w:p>
                            <w:pPr>
                              <w:numPr>
                                <w:ilvl w:val="1"/>
                                <w:numId w:val="2"/>
                              </w:numPr>
                              <w:spacing w:before="100"/>
                              <w:rPr>
                                <w:rFonts w:ascii="Aptos" w:hAnsi="Aptos" w:cs="Segoe UI"/>
                                <w:sz w:val="20"/>
                                <w:szCs w:val="20"/>
                              </w:rPr>
                            </w:pPr>
                            <w:r>
                              <w:rPr>
                                <w:rFonts w:ascii="Aptos" w:hAnsi="Aptos" w:cs="Segoe UI"/>
                                <w:sz w:val="20"/>
                                <w:szCs w:val="20"/>
                              </w:rPr>
                              <w:t>Η</w:t>
                            </w:r>
                            <w:r>
                              <w:rPr>
                                <w:rFonts w:ascii="Aptos" w:hAnsi="Aptos" w:cs="Segoe UI"/>
                                <w:b/>
                                <w:bCs/>
                                <w:sz w:val="20"/>
                                <w:szCs w:val="20"/>
                              </w:rPr>
                              <w:t xml:space="preserve"> αύξηση</w:t>
                            </w:r>
                            <w:r>
                              <w:rPr>
                                <w:rFonts w:ascii="Aptos" w:hAnsi="Aptos" w:cs="Segoe UI"/>
                                <w:sz w:val="20"/>
                                <w:szCs w:val="20"/>
                              </w:rPr>
                              <w:t xml:space="preserve"> </w:t>
                            </w:r>
                            <w:r>
                              <w:rPr>
                                <w:rFonts w:ascii="Aptos" w:hAnsi="Aptos" w:cs="Segoe UI"/>
                                <w:b/>
                                <w:bCs/>
                                <w:sz w:val="20"/>
                                <w:szCs w:val="20"/>
                              </w:rPr>
                              <w:t>των εξυπηρετούμενων δανείων</w:t>
                            </w:r>
                            <w:r>
                              <w:rPr>
                                <w:rFonts w:ascii="Aptos" w:hAnsi="Aptos" w:cs="Segoe UI"/>
                                <w:sz w:val="20"/>
                                <w:szCs w:val="20"/>
                              </w:rPr>
                              <w:t xml:space="preserve"> κατά +€1,3 δισ. ετησίως στα €30,5 δισ. σε επίπεδο Ομίλου, αποδίδεται κυρίως στις μεσαίες επιχειρήσεις, τη χρηματοδότηση έργων (</w:t>
                            </w:r>
                            <w:r>
                              <w:rPr>
                                <w:rFonts w:ascii="Aptos" w:hAnsi="Aptos" w:cs="Segoe UI"/>
                                <w:sz w:val="20"/>
                                <w:szCs w:val="20"/>
                                <w:lang w:val="en-US"/>
                              </w:rPr>
                              <w:t>project</w:t>
                            </w:r>
                            <w:r>
                              <w:rPr>
                                <w:rFonts w:ascii="Aptos" w:hAnsi="Aptos" w:cs="Segoe UI"/>
                                <w:sz w:val="20"/>
                                <w:szCs w:val="20"/>
                              </w:rPr>
                              <w:t xml:space="preserve"> </w:t>
                            </w:r>
                            <w:r>
                              <w:rPr>
                                <w:rFonts w:ascii="Aptos" w:hAnsi="Aptos" w:cs="Segoe UI"/>
                                <w:sz w:val="20"/>
                                <w:szCs w:val="20"/>
                                <w:lang w:val="en-US"/>
                              </w:rPr>
                              <w:t>finance</w:t>
                            </w:r>
                            <w:r>
                              <w:rPr>
                                <w:rFonts w:ascii="Aptos" w:hAnsi="Aptos" w:cs="Segoe UI"/>
                                <w:sz w:val="20"/>
                                <w:szCs w:val="20"/>
                              </w:rPr>
                              <w:t xml:space="preserve">) και τη ναυτιλία. Το 2023, οι εκταμιεύσεις Λιανικής Τραπεζικής ενισχύθηκαν στα €1,2 δισ. </w:t>
                            </w:r>
                          </w:p>
                          <w:p>
                            <w:pPr>
                              <w:numPr>
                                <w:ilvl w:val="1"/>
                                <w:numId w:val="2"/>
                              </w:numPr>
                              <w:spacing w:before="100"/>
                              <w:rPr>
                                <w:rFonts w:ascii="Aptos" w:hAnsi="Aptos" w:cs="Segoe UI"/>
                                <w:sz w:val="20"/>
                                <w:szCs w:val="20"/>
                              </w:rPr>
                            </w:pPr>
                            <w:r>
                              <w:rPr>
                                <w:rFonts w:ascii="Aptos" w:hAnsi="Aptos" w:cs="Segoe UI"/>
                                <w:sz w:val="20"/>
                                <w:szCs w:val="20"/>
                              </w:rPr>
                              <w:t xml:space="preserve">Η </w:t>
                            </w:r>
                            <w:r>
                              <w:rPr>
                                <w:rFonts w:ascii="Aptos" w:hAnsi="Aptos" w:cs="Segoe UI"/>
                                <w:b/>
                                <w:bCs/>
                                <w:sz w:val="20"/>
                                <w:szCs w:val="20"/>
                              </w:rPr>
                              <w:t>αύξηση του χαρτοφυλακίου</w:t>
                            </w:r>
                            <w:r>
                              <w:rPr>
                                <w:rFonts w:ascii="Aptos" w:hAnsi="Aptos" w:cs="Segoe UI"/>
                                <w:sz w:val="20"/>
                                <w:szCs w:val="20"/>
                              </w:rPr>
                              <w:t xml:space="preserve"> </w:t>
                            </w:r>
                            <w:r>
                              <w:rPr>
                                <w:rFonts w:ascii="Aptos" w:hAnsi="Aptos" w:cs="Segoe UI"/>
                                <w:b/>
                                <w:bCs/>
                                <w:sz w:val="20"/>
                                <w:szCs w:val="20"/>
                              </w:rPr>
                              <w:t>χρεογράφων σταθερού επιτοκίου</w:t>
                            </w:r>
                            <w:r>
                              <w:rPr>
                                <w:rFonts w:ascii="Aptos" w:hAnsi="Aptos" w:cs="Segoe UI"/>
                                <w:sz w:val="20"/>
                                <w:szCs w:val="20"/>
                              </w:rPr>
                              <w:t xml:space="preserve"> παρέχει προστασία έναντι της μελλοντικής ομαλοποίησης του επιτοκίου της ΕΚΤ </w:t>
                            </w:r>
                          </w:p>
                          <w:p>
                            <w:pPr>
                              <w:numPr>
                                <w:ilvl w:val="1"/>
                                <w:numId w:val="2"/>
                              </w:numPr>
                              <w:spacing w:before="100"/>
                              <w:rPr>
                                <w:rFonts w:ascii="Aptos" w:hAnsi="Aptos" w:cs="Segoe UI"/>
                                <w:sz w:val="20"/>
                                <w:szCs w:val="20"/>
                              </w:rPr>
                            </w:pPr>
                            <w:r>
                              <w:rPr>
                                <w:rFonts w:ascii="Aptos" w:hAnsi="Aptos" w:cs="Segoe UI"/>
                                <w:sz w:val="20"/>
                                <w:szCs w:val="20"/>
                              </w:rPr>
                              <w:t xml:space="preserve">Οι </w:t>
                            </w:r>
                            <w:r>
                              <w:rPr>
                                <w:rFonts w:ascii="Aptos" w:hAnsi="Aptos" w:cs="Segoe UI"/>
                                <w:b/>
                                <w:bCs/>
                                <w:sz w:val="20"/>
                                <w:szCs w:val="20"/>
                              </w:rPr>
                              <w:t>εγχώριες καταθέσεις</w:t>
                            </w:r>
                            <w:r>
                              <w:rPr>
                                <w:rFonts w:ascii="Aptos" w:hAnsi="Aptos" w:cs="Segoe UI"/>
                                <w:sz w:val="20"/>
                                <w:szCs w:val="20"/>
                              </w:rPr>
                              <w:t xml:space="preserve"> </w:t>
                            </w:r>
                            <w:r>
                              <w:rPr>
                                <w:rFonts w:ascii="Aptos" w:hAnsi="Aptos" w:cs="Segoe UI"/>
                                <w:b/>
                                <w:bCs/>
                                <w:sz w:val="20"/>
                                <w:szCs w:val="20"/>
                              </w:rPr>
                              <w:t>παρέμειναν σε ανοδική τροχιά</w:t>
                            </w:r>
                            <w:r>
                              <w:rPr>
                                <w:rFonts w:ascii="Aptos" w:hAnsi="Aptos" w:cs="Segoe UI"/>
                                <w:sz w:val="20"/>
                                <w:szCs w:val="20"/>
                              </w:rPr>
                              <w:t xml:space="preserve">, καταγράφοντας αύξηση κατά €1,7 δισ. σε ετήσια βάση, η οποία αποδίδεται σε πελάτες Λιανικής, καθώς οι αυξημένες αναλήψεις καταθέσεων από πελάτες Εταιρικής Τραπεζικής για την αποπληρωμή δανείων επηρέασαν το 2023 </w:t>
                            </w:r>
                          </w:p>
                          <w:p>
                            <w:pPr>
                              <w:numPr>
                                <w:ilvl w:val="1"/>
                                <w:numId w:val="2"/>
                              </w:numPr>
                              <w:spacing w:before="100"/>
                              <w:rPr>
                                <w:rFonts w:ascii="Aptos" w:hAnsi="Aptos" w:cs="Segoe UI"/>
                                <w:sz w:val="20"/>
                                <w:szCs w:val="20"/>
                              </w:rPr>
                            </w:pPr>
                            <w:r>
                              <w:rPr>
                                <w:rFonts w:ascii="Aptos" w:hAnsi="Aptos" w:cs="Segoe UI"/>
                                <w:sz w:val="20"/>
                                <w:szCs w:val="20"/>
                              </w:rPr>
                              <w:t>Αφαιρουμένου του υπολοίπου του Προγράμματος Συναλλαγών Μακροχρόνιας Αναχρηματοδότησης (</w:t>
                            </w:r>
                            <w:r>
                              <w:rPr>
                                <w:rFonts w:ascii="Aptos" w:hAnsi="Aptos" w:cs="Segoe UI"/>
                                <w:sz w:val="20"/>
                                <w:szCs w:val="20"/>
                                <w:lang w:val="en-US"/>
                              </w:rPr>
                              <w:t>TLTRO</w:t>
                            </w:r>
                            <w:r>
                              <w:rPr>
                                <w:rFonts w:ascii="Aptos" w:hAnsi="Aptos" w:cs="Segoe UI"/>
                                <w:sz w:val="20"/>
                                <w:szCs w:val="20"/>
                              </w:rPr>
                              <w:t xml:space="preserve"> ΙΙΙ) ύψους €1,85 δισ. και λαμβάνοντας υπόψη τη θέση της ΕΤΕ στη διατραπεζική αγορά ως καθαρός δανειστής, τα </w:t>
                            </w:r>
                            <w:r>
                              <w:rPr>
                                <w:rFonts w:ascii="Aptos" w:hAnsi="Aptos" w:cs="Segoe UI"/>
                                <w:b/>
                                <w:bCs/>
                                <w:sz w:val="20"/>
                                <w:szCs w:val="20"/>
                              </w:rPr>
                              <w:t>καθαρά ταμειακά διαθέσιμα</w:t>
                            </w:r>
                            <w:r>
                              <w:rPr>
                                <w:rFonts w:ascii="Aptos" w:hAnsi="Aptos" w:cs="Segoe UI"/>
                                <w:sz w:val="20"/>
                                <w:szCs w:val="20"/>
                              </w:rPr>
                              <w:t xml:space="preserve"> της Τράπεζας ενισχύθηκαν περαιτέρω σε €8,0 δισ. το Δ’ τρίμηνο 2023, σταθερά στα υψηλότερα επίπεδα της αγοράς</w:t>
                            </w:r>
                          </w:p>
                          <w:p>
                            <w:pPr>
                              <w:spacing w:before="100"/>
                              <w:ind w:left="720"/>
                              <w:rPr>
                                <w:rFonts w:ascii="Aptos" w:hAnsi="Aptos" w:cs="Segoe UI"/>
                                <w:sz w:val="16"/>
                                <w:szCs w:val="16"/>
                              </w:rPr>
                            </w:pPr>
                          </w:p>
                          <w:p>
                            <w:pPr>
                              <w:pStyle w:val="25"/>
                              <w:numPr>
                                <w:ilvl w:val="0"/>
                                <w:numId w:val="2"/>
                              </w:numPr>
                              <w:spacing w:before="60" w:after="0" w:line="276" w:lineRule="auto"/>
                              <w:jc w:val="left"/>
                              <w:rPr>
                                <w:rFonts w:ascii="Aptos" w:hAnsi="Aptos" w:cs="Segoe UI"/>
                                <w:b/>
                                <w:color w:val="007B85"/>
                                <w:sz w:val="20"/>
                                <w:szCs w:val="20"/>
                              </w:rPr>
                            </w:pPr>
                            <w:r>
                              <w:rPr>
                                <w:rFonts w:ascii="Aptos" w:hAnsi="Aptos" w:cs="Segoe UI"/>
                                <w:b/>
                                <w:color w:val="007B85"/>
                                <w:sz w:val="20"/>
                                <w:szCs w:val="20"/>
                              </w:rPr>
                              <w:t xml:space="preserve">Ο δείκτης ΜΕΑ διαμορφώθηκε σε 3,7% σε επίπεδο Ομίλου, με τον δείκτη κάλυψης ΜΕΑ από σωρευμένες προβλέψεις να ανέρχεται 87,5%, στα υψηλότερα επίπεδα του κλάδου </w:t>
                            </w:r>
                          </w:p>
                          <w:p>
                            <w:pPr>
                              <w:numPr>
                                <w:ilvl w:val="1"/>
                                <w:numId w:val="2"/>
                              </w:numPr>
                              <w:spacing w:before="100"/>
                              <w:rPr>
                                <w:rFonts w:ascii="Aptos" w:hAnsi="Aptos" w:cs="Segoe UI"/>
                                <w:sz w:val="20"/>
                                <w:szCs w:val="20"/>
                              </w:rPr>
                            </w:pPr>
                            <w:r>
                              <w:rPr>
                                <w:rFonts w:ascii="Aptos" w:hAnsi="Aptos" w:cs="Segoe UI"/>
                                <w:sz w:val="20"/>
                                <w:szCs w:val="20"/>
                              </w:rPr>
                              <w:t xml:space="preserve">Τα </w:t>
                            </w:r>
                            <w:r>
                              <w:rPr>
                                <w:rFonts w:ascii="Aptos" w:hAnsi="Aptos" w:cs="Segoe UI"/>
                                <w:b/>
                                <w:bCs/>
                                <w:sz w:val="20"/>
                                <w:szCs w:val="20"/>
                              </w:rPr>
                              <w:t>ΜΕΑ</w:t>
                            </w:r>
                            <w:r>
                              <w:rPr>
                                <w:rFonts w:ascii="Aptos" w:hAnsi="Aptos" w:cs="Segoe UI"/>
                                <w:sz w:val="20"/>
                                <w:szCs w:val="20"/>
                              </w:rPr>
                              <w:t xml:space="preserve"> διαμορφώθηκαν σε €1,3 δισ. το Δ’ τρίμηνο 2023, ή €0,2</w:t>
                            </w:r>
                            <w:r>
                              <w:t xml:space="preserve"> </w:t>
                            </w:r>
                            <w:r>
                              <w:rPr>
                                <w:rFonts w:ascii="Aptos" w:hAnsi="Aptos" w:cs="Segoe UI"/>
                                <w:sz w:val="20"/>
                                <w:szCs w:val="20"/>
                              </w:rPr>
                              <w:t>δισ. μετά από προβλέψεις</w:t>
                            </w:r>
                          </w:p>
                          <w:p>
                            <w:pPr>
                              <w:numPr>
                                <w:ilvl w:val="1"/>
                                <w:numId w:val="2"/>
                              </w:numPr>
                              <w:spacing w:before="100"/>
                              <w:rPr>
                                <w:rFonts w:ascii="Aptos" w:hAnsi="Aptos" w:cs="Segoe UI"/>
                                <w:sz w:val="20"/>
                                <w:szCs w:val="20"/>
                              </w:rPr>
                            </w:pPr>
                            <w:r>
                              <w:rPr>
                                <w:rFonts w:ascii="Aptos" w:hAnsi="Aptos" w:cs="Segoe UI"/>
                                <w:sz w:val="20"/>
                                <w:szCs w:val="20"/>
                              </w:rPr>
                              <w:t xml:space="preserve">Οι </w:t>
                            </w:r>
                            <w:r>
                              <w:rPr>
                                <w:rFonts w:ascii="Aptos" w:hAnsi="Aptos" w:cs="Segoe UI"/>
                                <w:b/>
                                <w:bCs/>
                                <w:sz w:val="20"/>
                                <w:szCs w:val="20"/>
                              </w:rPr>
                              <w:t>καθαρές ροές ΜΕΑ</w:t>
                            </w:r>
                            <w:r>
                              <w:rPr>
                                <w:rFonts w:ascii="Aptos" w:hAnsi="Aptos" w:cs="Segoe UI"/>
                                <w:sz w:val="20"/>
                                <w:szCs w:val="20"/>
                              </w:rPr>
                              <w:t xml:space="preserve"> ανήλθαν σε μόλις ~€50 εκατ. το Δ΄ τρίμηνο 2023, με τη συνολική μείωση ΜΕΑ να διαμορφώνεται στα -€0,5 δισ. για το 2023</w:t>
                            </w:r>
                          </w:p>
                          <w:p>
                            <w:pPr>
                              <w:spacing w:before="120"/>
                              <w:jc w:val="both"/>
                              <w:rPr>
                                <w:rFonts w:ascii="Aptos Light" w:hAnsi="Aptos Light" w:eastAsiaTheme="minorEastAsia"/>
                                <w:kern w:val="24"/>
                                <w:sz w:val="14"/>
                                <w:szCs w:val="14"/>
                                <w:lang w:eastAsia="en-GB"/>
                              </w:rPr>
                            </w:pPr>
                            <w:r>
                              <w:rPr>
                                <w:rFonts w:ascii="Aptos Light" w:hAnsi="Aptos Light" w:eastAsiaTheme="minorEastAsia"/>
                                <w:kern w:val="24"/>
                                <w:sz w:val="14"/>
                                <w:szCs w:val="14"/>
                                <w:lang w:eastAsia="en-GB"/>
                              </w:rPr>
                              <w:t xml:space="preserve">1 Οργανικά κέρδη μετά φόρων προς μέσο όρο ενσώματων ιδίων κεφαλαίων, συμπεριλαμβανομένων των κεφαλαίων CET1 άνω των εποπτικών ορίων </w:t>
                            </w:r>
                            <w:r>
                              <w:rPr>
                                <w:rFonts w:ascii="Aptos Light" w:hAnsi="Aptos Light" w:eastAsiaTheme="minorEastAsia"/>
                                <w:kern w:val="24"/>
                                <w:sz w:val="14"/>
                                <w:szCs w:val="14"/>
                              </w:rPr>
                              <w:t xml:space="preserve">| </w:t>
                            </w:r>
                            <w:r>
                              <w:rPr>
                                <w:rFonts w:ascii="Aptos Light" w:hAnsi="Aptos Light" w:eastAsiaTheme="minorEastAsia"/>
                                <w:kern w:val="24"/>
                                <w:sz w:val="14"/>
                                <w:szCs w:val="14"/>
                                <w:lang w:eastAsia="en-GB"/>
                              </w:rPr>
                              <w:t xml:space="preserve">2 Σε συγκρίσιμη βάση </w:t>
                            </w:r>
                            <w:r>
                              <w:rPr>
                                <w:rFonts w:ascii="Aptos Light" w:hAnsi="Aptos Light" w:eastAsiaTheme="minorEastAsia"/>
                                <w:kern w:val="24"/>
                                <w:sz w:val="14"/>
                                <w:szCs w:val="14"/>
                              </w:rPr>
                              <w:t xml:space="preserve">| </w:t>
                            </w:r>
                            <w:r>
                              <w:rPr>
                                <w:rFonts w:ascii="Aptos Light" w:hAnsi="Aptos Light" w:eastAsiaTheme="minorEastAsia"/>
                                <w:kern w:val="24"/>
                                <w:sz w:val="14"/>
                                <w:szCs w:val="14"/>
                                <w:lang w:eastAsia="en-GB"/>
                              </w:rPr>
                              <w:t>3 Σε επίπεδο Τράπεζας. Επιπλέον δάνεια ύψους €0,7 δισ. εκταμιεύθηκαν από θυγατρικές</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top:-2.65pt;height:733.4pt;width:509.7pt;mso-position-horizontal:right;mso-position-horizontal-relative:margin;z-index:251682816;mso-width-relative:page;mso-height-relative:page;" fillcolor="#F5F9F6" filled="t" stroked="f" coordsize="21600,21600" o:gfxdata="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RSxN3bAAAACQEAAA8AAAAAAAAAAQAgAAAAIgAAAGRycy9kb3ducmV2LnhtbFBLAQIUABQAAAAI&#10;AIdO4kAW+0BbIwIAAEcEAAAOAAAAAAAAAAEAIAAAACoBAABkcnMvZTJvRG9jLnhtbFBLBQYAAAAA&#10;BgAGAFkBAAC/BQAAAAA=&#10;">
                <v:fill on="t" focussize="0,0"/>
                <v:stroke on="f"/>
                <v:imagedata o:title=""/>
                <o:lock v:ext="edit" aspectratio="f"/>
                <v:textbox>
                  <w:txbxContent>
                    <w:p>
                      <w:pPr>
                        <w:pStyle w:val="16"/>
                        <w:spacing w:before="180" w:beforeAutospacing="0" w:after="120" w:afterAutospacing="0" w:line="264" w:lineRule="auto"/>
                        <w:rPr>
                          <w:rFonts w:ascii="Aptos ExtraBold" w:hAnsi="Aptos ExtraBold" w:eastAsia="+mn-ea" w:cs="+mn-cs"/>
                          <w:b/>
                          <w:bCs/>
                          <w:color w:val="003841"/>
                          <w:kern w:val="24"/>
                          <w:sz w:val="32"/>
                          <w:szCs w:val="32"/>
                          <w:lang w:val="en-GB"/>
                          <w14:props3d w14:extrusionH="0" w14:contourW="0" w14:prstMaterial="matte"/>
                        </w:rPr>
                      </w:pPr>
                      <w:r>
                        <w:rPr>
                          <w:rFonts w:ascii="Aptos ExtraBold" w:hAnsi="Aptos ExtraBold" w:eastAsia="+mn-ea" w:cs="+mn-cs"/>
                          <w:b/>
                          <w:bCs/>
                          <w:color w:val="003841"/>
                          <w:kern w:val="24"/>
                          <w:sz w:val="32"/>
                          <w:szCs w:val="32"/>
                          <w14:props3d w14:extrusionH="0" w14:contourW="0" w14:prstMaterial="matte"/>
                        </w:rPr>
                        <w:t xml:space="preserve">Κύρια Χρηματοοικονομικά Μεγέθη </w:t>
                      </w:r>
                    </w:p>
                    <w:p>
                      <w:pPr>
                        <w:pStyle w:val="25"/>
                        <w:numPr>
                          <w:ilvl w:val="0"/>
                          <w:numId w:val="2"/>
                        </w:numPr>
                        <w:spacing w:before="60" w:after="0" w:line="276" w:lineRule="auto"/>
                        <w:jc w:val="left"/>
                        <w:rPr>
                          <w:rFonts w:ascii="Aptos" w:hAnsi="Aptos" w:cs="Segoe UI"/>
                          <w:b/>
                          <w:color w:val="007B85"/>
                          <w:sz w:val="20"/>
                          <w:szCs w:val="20"/>
                        </w:rPr>
                      </w:pPr>
                      <w:r>
                        <w:rPr>
                          <w:rFonts w:ascii="Aptos" w:hAnsi="Aptos" w:cs="Segoe UI"/>
                          <w:b/>
                          <w:color w:val="007B85"/>
                          <w:sz w:val="20"/>
                          <w:szCs w:val="20"/>
                        </w:rPr>
                        <w:t>Τα οργανικά κέρδη μετά φόρων σε επίπεδο Ομίλου ανήλθαν σε €1,2 δισ. το 2023, ενισχυμένα κατά 2,5 φορές ετησίως. Ο δείκτης απόδοσης ιδίων κεφαλαίων</w:t>
                      </w:r>
                      <w:r>
                        <w:rPr>
                          <w:rFonts w:ascii="Aptos" w:hAnsi="Aptos" w:cs="Segoe UI"/>
                          <w:b/>
                          <w:color w:val="007B85"/>
                          <w:sz w:val="20"/>
                          <w:szCs w:val="20"/>
                          <w:vertAlign w:val="superscript"/>
                        </w:rPr>
                        <w:t>1</w:t>
                      </w:r>
                      <w:r>
                        <w:rPr>
                          <w:rFonts w:ascii="Aptos" w:hAnsi="Aptos" w:cs="Segoe UI"/>
                          <w:b/>
                          <w:color w:val="007B85"/>
                          <w:sz w:val="20"/>
                          <w:szCs w:val="20"/>
                        </w:rPr>
                        <w:t xml:space="preserve"> διαμορφώθηκε στο 18,3%, χωρίς να αναπροσαρμόζουμε για το υπερβάλλον κεφάλαιο CET1 άνω των εποπτικών ορίων</w:t>
                      </w:r>
                    </w:p>
                    <w:p>
                      <w:pPr>
                        <w:numPr>
                          <w:ilvl w:val="1"/>
                          <w:numId w:val="2"/>
                        </w:numPr>
                        <w:spacing w:before="120"/>
                        <w:rPr>
                          <w:rFonts w:ascii="Aptos" w:hAnsi="Aptos" w:cs="Segoe UI"/>
                          <w:sz w:val="20"/>
                          <w:szCs w:val="20"/>
                        </w:rPr>
                      </w:pPr>
                      <w:r>
                        <w:rPr>
                          <w:rFonts w:ascii="Aptos" w:hAnsi="Aptos" w:cs="Segoe UI"/>
                          <w:sz w:val="20"/>
                          <w:szCs w:val="20"/>
                        </w:rPr>
                        <w:t xml:space="preserve">Η </w:t>
                      </w:r>
                      <w:r>
                        <w:rPr>
                          <w:rFonts w:ascii="Aptos" w:hAnsi="Aptos" w:cs="Segoe UI"/>
                          <w:b/>
                          <w:bCs/>
                          <w:sz w:val="20"/>
                          <w:szCs w:val="20"/>
                        </w:rPr>
                        <w:t>δυναμική των</w:t>
                      </w:r>
                      <w:r>
                        <w:rPr>
                          <w:rFonts w:ascii="Aptos" w:hAnsi="Aptos" w:cs="Segoe UI"/>
                          <w:sz w:val="20"/>
                          <w:szCs w:val="20"/>
                        </w:rPr>
                        <w:t xml:space="preserve"> </w:t>
                      </w:r>
                      <w:r>
                        <w:rPr>
                          <w:rFonts w:ascii="Aptos" w:hAnsi="Aptos" w:cs="Segoe UI"/>
                          <w:b/>
                          <w:bCs/>
                          <w:sz w:val="20"/>
                          <w:szCs w:val="20"/>
                        </w:rPr>
                        <w:t>καθαρών εσόδων από τόκους</w:t>
                      </w:r>
                      <w:r>
                        <w:rPr>
                          <w:rFonts w:ascii="Aptos" w:hAnsi="Aptos" w:cs="Segoe UI"/>
                          <w:sz w:val="20"/>
                          <w:szCs w:val="20"/>
                        </w:rPr>
                        <w:t xml:space="preserve"> </w:t>
                      </w:r>
                      <w:r>
                        <w:rPr>
                          <w:rFonts w:ascii="Aptos" w:hAnsi="Aptos" w:cs="Segoe UI"/>
                          <w:b/>
                          <w:bCs/>
                          <w:sz w:val="20"/>
                          <w:szCs w:val="20"/>
                        </w:rPr>
                        <w:t>διατηρήθηκε</w:t>
                      </w:r>
                      <w:r>
                        <w:rPr>
                          <w:rFonts w:ascii="Aptos" w:hAnsi="Aptos" w:cs="Segoe UI"/>
                          <w:sz w:val="20"/>
                          <w:szCs w:val="20"/>
                        </w:rPr>
                        <w:t xml:space="preserve"> στο Δ’ τρίμηνο 2023 (+6% σε τριμηνιαία βάση) και αποτυπώνει την ανατιμολόγηση των δανείων λόγω των αυξήσεων του βασικού επιτοκίου της Ευρωπαϊκής Κεντρικής Τράπεζας (ΕΚΤ), απορροφώντας το υψηλότερο κόστος χρηματοδότησης. Κατά συνέπεια, το καθαρό επιτοκιακό περιθώριο παρέμεινε σε ανοδική τροχιά, σημειώνοντας αύξηση κατά +15μ.β. σε τριμηνιαία βάση και προσεγγίζοντας τις 337μ.β. το Δ΄ τρίμηνο 2023</w:t>
                      </w:r>
                    </w:p>
                    <w:p>
                      <w:pPr>
                        <w:numPr>
                          <w:ilvl w:val="1"/>
                          <w:numId w:val="2"/>
                        </w:numPr>
                        <w:spacing w:before="120"/>
                        <w:rPr>
                          <w:rFonts w:ascii="Aptos" w:hAnsi="Aptos" w:cs="Segoe UI"/>
                          <w:sz w:val="20"/>
                          <w:szCs w:val="20"/>
                        </w:rPr>
                      </w:pPr>
                      <w:r>
                        <w:rPr>
                          <w:rFonts w:ascii="Aptos" w:hAnsi="Aptos" w:cs="Segoe UI"/>
                          <w:sz w:val="20"/>
                          <w:szCs w:val="20"/>
                        </w:rPr>
                        <w:t>Τα</w:t>
                      </w:r>
                      <w:r>
                        <w:rPr>
                          <w:rFonts w:ascii="Aptos" w:hAnsi="Aptos" w:cs="Segoe UI"/>
                          <w:b/>
                          <w:bCs/>
                          <w:sz w:val="20"/>
                          <w:szCs w:val="20"/>
                        </w:rPr>
                        <w:t xml:space="preserve"> καθαρά έσοδα από προμήθειες ενισχύθηκαν σημαντικά</w:t>
                      </w:r>
                      <w:r>
                        <w:rPr>
                          <w:rFonts w:ascii="Aptos" w:hAnsi="Aptos" w:cs="Segoe UI"/>
                          <w:sz w:val="20"/>
                          <w:szCs w:val="20"/>
                        </w:rPr>
                        <w:t xml:space="preserve">, κατά +10% σε </w:t>
                      </w:r>
                      <w:r>
                        <w:rPr>
                          <w:rFonts w:ascii="Aptos" w:hAnsi="Aptos"/>
                          <w:sz w:val="20"/>
                        </w:rPr>
                        <w:t>ετήσια βάση για</w:t>
                      </w:r>
                      <w:r>
                        <w:rPr>
                          <w:rFonts w:ascii="Aptos" w:hAnsi="Aptos" w:cs="Segoe UI"/>
                          <w:sz w:val="20"/>
                          <w:szCs w:val="20"/>
                        </w:rPr>
                        <w:t xml:space="preserve"> το 2023,</w:t>
                      </w:r>
                      <w:r>
                        <w:t xml:space="preserve"> </w:t>
                      </w:r>
                      <w:r>
                        <w:rPr>
                          <w:rFonts w:ascii="Aptos" w:hAnsi="Aptos" w:cs="Segoe UI"/>
                          <w:sz w:val="20"/>
                          <w:szCs w:val="20"/>
                        </w:rPr>
                        <w:t xml:space="preserve">αντανακλώντας τους ισχυρούς ρυθμούς ανάπτυξης σε όλες τις επιμέρους κατηγορίες προμηθειών, με αιχμή του δόρατος τις επιχειρηματικές πιστοδοτήσεις, τη χρηματοδότηση εμπορικών συναλλαγών (trade finance), και τις αυξημένες σταυροειδείς πωλήσεις επενδυτικών και ασφαλιστικών προϊόντων </w:t>
                      </w:r>
                    </w:p>
                    <w:p>
                      <w:pPr>
                        <w:numPr>
                          <w:ilvl w:val="1"/>
                          <w:numId w:val="2"/>
                        </w:numPr>
                        <w:spacing w:before="120"/>
                        <w:rPr>
                          <w:rFonts w:ascii="Aptos" w:hAnsi="Aptos" w:cs="Segoe UI"/>
                          <w:sz w:val="20"/>
                          <w:szCs w:val="20"/>
                        </w:rPr>
                      </w:pPr>
                      <w:r>
                        <w:rPr>
                          <w:rFonts w:ascii="Aptos" w:hAnsi="Aptos" w:cs="Segoe UI"/>
                          <w:sz w:val="20"/>
                          <w:szCs w:val="20"/>
                        </w:rPr>
                        <w:t>Η</w:t>
                      </w:r>
                      <w:r>
                        <w:rPr>
                          <w:rFonts w:ascii="Aptos" w:hAnsi="Aptos" w:cs="Segoe UI"/>
                          <w:b/>
                          <w:bCs/>
                          <w:sz w:val="20"/>
                          <w:szCs w:val="20"/>
                        </w:rPr>
                        <w:t xml:space="preserve"> συγκράτηση των λειτουργικών δαπανών συνεχίστηκε, </w:t>
                      </w:r>
                      <w:r>
                        <w:rPr>
                          <w:rFonts w:ascii="Aptos" w:hAnsi="Aptos" w:cs="Segoe UI"/>
                          <w:sz w:val="20"/>
                          <w:szCs w:val="20"/>
                        </w:rPr>
                        <w:t xml:space="preserve">με την αύξηση στις δαπάνες προσωπικού και τα γενικά και διοικητικά έξοδα να κυμαίνεται σε χαμηλότερα του πληθωρισμού επίπεδα (+2% ετησίως περίπου), </w:t>
                      </w:r>
                      <w:bookmarkStart w:id="2" w:name="_Hlk160615820"/>
                      <w:r>
                        <w:rPr>
                          <w:rFonts w:ascii="Aptos" w:hAnsi="Aptos" w:cs="Segoe UI"/>
                          <w:sz w:val="20"/>
                          <w:szCs w:val="20"/>
                        </w:rPr>
                        <w:t>αντανακλώντας τις συμφωνηθείσες κλαδικές μισθολογικές αυξήσεις και το σύστημα κυμαινόμενων αποδοχών</w:t>
                      </w:r>
                      <w:bookmarkEnd w:id="2"/>
                      <w:r>
                        <w:rPr>
                          <w:rFonts w:ascii="Aptos" w:hAnsi="Aptos" w:cs="Segoe UI"/>
                          <w:sz w:val="20"/>
                          <w:szCs w:val="20"/>
                        </w:rPr>
                        <w:t xml:space="preserve">. Οι υψηλότερες αποσβέσεις αντικατοπτρίζουν το στρατηγικό σχέδιο επενδύσεων της Τράπεζας στον τομέα της πληροφορικής, με βασικότερο άξονα την αντικατάσταση του συστήματος Βασικών Τραπεζικών Εργασιών (Core Banking System). Το 2023, ο δείκτης κόστους προς οργανικά έσοδα διαμορφώθηκε σε 31,6% </w:t>
                      </w:r>
                    </w:p>
                    <w:p>
                      <w:pPr>
                        <w:numPr>
                          <w:ilvl w:val="1"/>
                          <w:numId w:val="2"/>
                        </w:numPr>
                        <w:spacing w:before="120"/>
                        <w:rPr>
                          <w:rFonts w:ascii="Aptos" w:hAnsi="Aptos" w:cs="Segoe UI"/>
                          <w:sz w:val="20"/>
                          <w:szCs w:val="20"/>
                        </w:rPr>
                      </w:pPr>
                      <w:r>
                        <w:rPr>
                          <w:rFonts w:ascii="Aptos" w:hAnsi="Aptos" w:cs="Segoe UI"/>
                          <w:sz w:val="20"/>
                          <w:szCs w:val="20"/>
                        </w:rPr>
                        <w:t xml:space="preserve">Το </w:t>
                      </w:r>
                      <w:r>
                        <w:rPr>
                          <w:rFonts w:ascii="Aptos" w:hAnsi="Aptos" w:cs="Segoe UI"/>
                          <w:b/>
                          <w:bCs/>
                          <w:sz w:val="20"/>
                          <w:szCs w:val="20"/>
                        </w:rPr>
                        <w:t>κόστος πιστωτικού κινδύνου</w:t>
                      </w:r>
                      <w:r>
                        <w:rPr>
                          <w:rFonts w:ascii="Aptos" w:hAnsi="Aptos" w:cs="Segoe UI"/>
                          <w:sz w:val="20"/>
                          <w:szCs w:val="20"/>
                        </w:rPr>
                        <w:t xml:space="preserve"> διαμορφώθηκε σε 64μ.β.</w:t>
                      </w:r>
                      <w:r>
                        <w:rPr>
                          <w:rFonts w:ascii="Aptos" w:hAnsi="Aptos" w:cs="Segoe UI"/>
                          <w:sz w:val="20"/>
                          <w:szCs w:val="20"/>
                          <w:vertAlign w:val="superscript"/>
                        </w:rPr>
                        <w:t>2</w:t>
                      </w:r>
                      <w:r>
                        <w:rPr>
                          <w:rFonts w:ascii="Aptos" w:hAnsi="Aptos" w:cs="Segoe UI"/>
                          <w:sz w:val="20"/>
                          <w:szCs w:val="20"/>
                        </w:rPr>
                        <w:t xml:space="preserve">, έναντι στόχου περί των 80μ.β. που είχαμε θέσει για το 2023, αντανακλώντας τη διατήρηση της δημιουργίας νέων ΜΕΑ σε χαμηλά επίπεδα </w:t>
                      </w:r>
                    </w:p>
                    <w:p>
                      <w:pPr>
                        <w:spacing w:before="80"/>
                        <w:ind w:left="648"/>
                        <w:rPr>
                          <w:rFonts w:ascii="Aptos" w:hAnsi="Aptos" w:cs="Segoe UI"/>
                          <w:sz w:val="16"/>
                          <w:szCs w:val="16"/>
                        </w:rPr>
                      </w:pPr>
                    </w:p>
                    <w:p>
                      <w:pPr>
                        <w:pStyle w:val="25"/>
                        <w:numPr>
                          <w:ilvl w:val="0"/>
                          <w:numId w:val="2"/>
                        </w:numPr>
                        <w:spacing w:before="60" w:after="0" w:line="276" w:lineRule="auto"/>
                        <w:jc w:val="left"/>
                        <w:rPr>
                          <w:rFonts w:ascii="Aptos" w:hAnsi="Aptos" w:cs="Segoe UI"/>
                          <w:b/>
                          <w:color w:val="007B85"/>
                          <w:sz w:val="20"/>
                          <w:szCs w:val="20"/>
                        </w:rPr>
                      </w:pPr>
                      <w:r>
                        <w:rPr>
                          <w:rFonts w:ascii="Aptos" w:hAnsi="Aptos" w:cs="Segoe UI"/>
                          <w:b/>
                          <w:color w:val="007B85"/>
                          <w:sz w:val="20"/>
                          <w:szCs w:val="20"/>
                        </w:rPr>
                        <w:t>Η ισχυρή ανάκαμψη των εκταμιεύσεων</w:t>
                      </w:r>
                      <w:r>
                        <w:rPr>
                          <w:rFonts w:ascii="Aptos" w:hAnsi="Aptos" w:cs="Segoe UI"/>
                          <w:b/>
                          <w:color w:val="007B85"/>
                          <w:sz w:val="20"/>
                          <w:szCs w:val="20"/>
                          <w:vertAlign w:val="superscript"/>
                        </w:rPr>
                        <w:t>3</w:t>
                      </w:r>
                      <w:r>
                        <w:rPr>
                          <w:rFonts w:ascii="Aptos" w:hAnsi="Aptos" w:cs="Segoe UI"/>
                          <w:b/>
                          <w:color w:val="007B85"/>
                          <w:sz w:val="20"/>
                          <w:szCs w:val="20"/>
                        </w:rPr>
                        <w:t xml:space="preserve"> σε €2,6 δισ. το Δ’ τρίμηνο 2023, οδηγεί τα εξυπηρετούμενα δάνεια +€1,3 δισ. υψηλότερα σε ετήσια βάση, σύμφωνα με το στόχο που είχαμε θέσει </w:t>
                      </w:r>
                    </w:p>
                    <w:p>
                      <w:pPr>
                        <w:numPr>
                          <w:ilvl w:val="1"/>
                          <w:numId w:val="2"/>
                        </w:numPr>
                        <w:spacing w:before="100"/>
                        <w:rPr>
                          <w:rFonts w:ascii="Aptos" w:hAnsi="Aptos" w:cs="Segoe UI"/>
                          <w:sz w:val="20"/>
                          <w:szCs w:val="20"/>
                        </w:rPr>
                      </w:pPr>
                      <w:r>
                        <w:rPr>
                          <w:rFonts w:ascii="Aptos" w:hAnsi="Aptos" w:cs="Segoe UI"/>
                          <w:sz w:val="20"/>
                          <w:szCs w:val="20"/>
                        </w:rPr>
                        <w:t>Οι</w:t>
                      </w:r>
                      <w:r>
                        <w:rPr>
                          <w:rFonts w:ascii="Aptos" w:hAnsi="Aptos" w:cs="Segoe UI"/>
                          <w:b/>
                          <w:bCs/>
                          <w:sz w:val="20"/>
                          <w:szCs w:val="20"/>
                        </w:rPr>
                        <w:t xml:space="preserve"> ισχυρές εκταμιεύσεις</w:t>
                      </w:r>
                      <w:r>
                        <w:rPr>
                          <w:rFonts w:ascii="Aptos" w:hAnsi="Aptos" w:cs="Segoe UI"/>
                          <w:b/>
                          <w:bCs/>
                          <w:sz w:val="20"/>
                          <w:szCs w:val="20"/>
                          <w:vertAlign w:val="superscript"/>
                        </w:rPr>
                        <w:t>3</w:t>
                      </w:r>
                      <w:r>
                        <w:rPr>
                          <w:rFonts w:ascii="Aptos" w:hAnsi="Aptos" w:cs="Segoe UI"/>
                          <w:b/>
                          <w:bCs/>
                          <w:sz w:val="20"/>
                          <w:szCs w:val="20"/>
                        </w:rPr>
                        <w:t xml:space="preserve"> </w:t>
                      </w:r>
                      <w:r>
                        <w:rPr>
                          <w:rFonts w:ascii="Aptos" w:hAnsi="Aptos" w:cs="Segoe UI"/>
                          <w:sz w:val="20"/>
                          <w:szCs w:val="20"/>
                        </w:rPr>
                        <w:t>το Δ’ τρίμηνο 2023 οδήγησαν τις συνολικές εκταμιεύσεις</w:t>
                      </w:r>
                      <w:r>
                        <w:rPr>
                          <w:rFonts w:ascii="Aptos" w:hAnsi="Aptos" w:cs="Segoe UI"/>
                          <w:sz w:val="20"/>
                          <w:szCs w:val="20"/>
                          <w:vertAlign w:val="superscript"/>
                        </w:rPr>
                        <w:t>3</w:t>
                      </w:r>
                      <w:r>
                        <w:rPr>
                          <w:rFonts w:ascii="Aptos" w:hAnsi="Aptos" w:cs="Segoe UI"/>
                          <w:sz w:val="20"/>
                          <w:szCs w:val="20"/>
                        </w:rPr>
                        <w:t xml:space="preserve"> σε επίπεδο έτος στα €7,0 δισ. έναντι €6,7 δισ. το 2022</w:t>
                      </w:r>
                    </w:p>
                    <w:p>
                      <w:pPr>
                        <w:numPr>
                          <w:ilvl w:val="1"/>
                          <w:numId w:val="2"/>
                        </w:numPr>
                        <w:spacing w:before="100"/>
                        <w:rPr>
                          <w:rFonts w:ascii="Aptos" w:hAnsi="Aptos" w:cs="Segoe UI"/>
                          <w:sz w:val="20"/>
                          <w:szCs w:val="20"/>
                        </w:rPr>
                      </w:pPr>
                      <w:r>
                        <w:rPr>
                          <w:rFonts w:ascii="Aptos" w:hAnsi="Aptos" w:cs="Segoe UI"/>
                          <w:sz w:val="20"/>
                          <w:szCs w:val="20"/>
                        </w:rPr>
                        <w:t>Η</w:t>
                      </w:r>
                      <w:r>
                        <w:rPr>
                          <w:rFonts w:ascii="Aptos" w:hAnsi="Aptos" w:cs="Segoe UI"/>
                          <w:b/>
                          <w:bCs/>
                          <w:sz w:val="20"/>
                          <w:szCs w:val="20"/>
                        </w:rPr>
                        <w:t xml:space="preserve"> αύξηση</w:t>
                      </w:r>
                      <w:r>
                        <w:rPr>
                          <w:rFonts w:ascii="Aptos" w:hAnsi="Aptos" w:cs="Segoe UI"/>
                          <w:sz w:val="20"/>
                          <w:szCs w:val="20"/>
                        </w:rPr>
                        <w:t xml:space="preserve"> </w:t>
                      </w:r>
                      <w:r>
                        <w:rPr>
                          <w:rFonts w:ascii="Aptos" w:hAnsi="Aptos" w:cs="Segoe UI"/>
                          <w:b/>
                          <w:bCs/>
                          <w:sz w:val="20"/>
                          <w:szCs w:val="20"/>
                        </w:rPr>
                        <w:t>των εξυπηρετούμενων δανείων</w:t>
                      </w:r>
                      <w:r>
                        <w:rPr>
                          <w:rFonts w:ascii="Aptos" w:hAnsi="Aptos" w:cs="Segoe UI"/>
                          <w:sz w:val="20"/>
                          <w:szCs w:val="20"/>
                        </w:rPr>
                        <w:t xml:space="preserve"> κατά +€1,3 δισ. ετησίως στα €30,5 δισ. σε επίπεδο Ομίλου, αποδίδεται κυρίως στις μεσαίες επιχειρήσεις, τη χρηματοδότηση έργων (</w:t>
                      </w:r>
                      <w:r>
                        <w:rPr>
                          <w:rFonts w:ascii="Aptos" w:hAnsi="Aptos" w:cs="Segoe UI"/>
                          <w:sz w:val="20"/>
                          <w:szCs w:val="20"/>
                          <w:lang w:val="en-US"/>
                        </w:rPr>
                        <w:t>project</w:t>
                      </w:r>
                      <w:r>
                        <w:rPr>
                          <w:rFonts w:ascii="Aptos" w:hAnsi="Aptos" w:cs="Segoe UI"/>
                          <w:sz w:val="20"/>
                          <w:szCs w:val="20"/>
                        </w:rPr>
                        <w:t xml:space="preserve"> </w:t>
                      </w:r>
                      <w:r>
                        <w:rPr>
                          <w:rFonts w:ascii="Aptos" w:hAnsi="Aptos" w:cs="Segoe UI"/>
                          <w:sz w:val="20"/>
                          <w:szCs w:val="20"/>
                          <w:lang w:val="en-US"/>
                        </w:rPr>
                        <w:t>finance</w:t>
                      </w:r>
                      <w:r>
                        <w:rPr>
                          <w:rFonts w:ascii="Aptos" w:hAnsi="Aptos" w:cs="Segoe UI"/>
                          <w:sz w:val="20"/>
                          <w:szCs w:val="20"/>
                        </w:rPr>
                        <w:t xml:space="preserve">) και τη ναυτιλία. Το 2023, οι εκταμιεύσεις Λιανικής Τραπεζικής ενισχύθηκαν στα €1,2 δισ. </w:t>
                      </w:r>
                    </w:p>
                    <w:p>
                      <w:pPr>
                        <w:numPr>
                          <w:ilvl w:val="1"/>
                          <w:numId w:val="2"/>
                        </w:numPr>
                        <w:spacing w:before="100"/>
                        <w:rPr>
                          <w:rFonts w:ascii="Aptos" w:hAnsi="Aptos" w:cs="Segoe UI"/>
                          <w:sz w:val="20"/>
                          <w:szCs w:val="20"/>
                        </w:rPr>
                      </w:pPr>
                      <w:r>
                        <w:rPr>
                          <w:rFonts w:ascii="Aptos" w:hAnsi="Aptos" w:cs="Segoe UI"/>
                          <w:sz w:val="20"/>
                          <w:szCs w:val="20"/>
                        </w:rPr>
                        <w:t xml:space="preserve">Η </w:t>
                      </w:r>
                      <w:r>
                        <w:rPr>
                          <w:rFonts w:ascii="Aptos" w:hAnsi="Aptos" w:cs="Segoe UI"/>
                          <w:b/>
                          <w:bCs/>
                          <w:sz w:val="20"/>
                          <w:szCs w:val="20"/>
                        </w:rPr>
                        <w:t>αύξηση του χαρτοφυλακίου</w:t>
                      </w:r>
                      <w:r>
                        <w:rPr>
                          <w:rFonts w:ascii="Aptos" w:hAnsi="Aptos" w:cs="Segoe UI"/>
                          <w:sz w:val="20"/>
                          <w:szCs w:val="20"/>
                        </w:rPr>
                        <w:t xml:space="preserve"> </w:t>
                      </w:r>
                      <w:r>
                        <w:rPr>
                          <w:rFonts w:ascii="Aptos" w:hAnsi="Aptos" w:cs="Segoe UI"/>
                          <w:b/>
                          <w:bCs/>
                          <w:sz w:val="20"/>
                          <w:szCs w:val="20"/>
                        </w:rPr>
                        <w:t>χρεογράφων σταθερού επιτοκίου</w:t>
                      </w:r>
                      <w:r>
                        <w:rPr>
                          <w:rFonts w:ascii="Aptos" w:hAnsi="Aptos" w:cs="Segoe UI"/>
                          <w:sz w:val="20"/>
                          <w:szCs w:val="20"/>
                        </w:rPr>
                        <w:t xml:space="preserve"> παρέχει προστασία έναντι της μελλοντικής ομαλοποίησης του επιτοκίου της ΕΚΤ </w:t>
                      </w:r>
                    </w:p>
                    <w:p>
                      <w:pPr>
                        <w:numPr>
                          <w:ilvl w:val="1"/>
                          <w:numId w:val="2"/>
                        </w:numPr>
                        <w:spacing w:before="100"/>
                        <w:rPr>
                          <w:rFonts w:ascii="Aptos" w:hAnsi="Aptos" w:cs="Segoe UI"/>
                          <w:sz w:val="20"/>
                          <w:szCs w:val="20"/>
                        </w:rPr>
                      </w:pPr>
                      <w:r>
                        <w:rPr>
                          <w:rFonts w:ascii="Aptos" w:hAnsi="Aptos" w:cs="Segoe UI"/>
                          <w:sz w:val="20"/>
                          <w:szCs w:val="20"/>
                        </w:rPr>
                        <w:t xml:space="preserve">Οι </w:t>
                      </w:r>
                      <w:r>
                        <w:rPr>
                          <w:rFonts w:ascii="Aptos" w:hAnsi="Aptos" w:cs="Segoe UI"/>
                          <w:b/>
                          <w:bCs/>
                          <w:sz w:val="20"/>
                          <w:szCs w:val="20"/>
                        </w:rPr>
                        <w:t>εγχώριες καταθέσεις</w:t>
                      </w:r>
                      <w:r>
                        <w:rPr>
                          <w:rFonts w:ascii="Aptos" w:hAnsi="Aptos" w:cs="Segoe UI"/>
                          <w:sz w:val="20"/>
                          <w:szCs w:val="20"/>
                        </w:rPr>
                        <w:t xml:space="preserve"> </w:t>
                      </w:r>
                      <w:r>
                        <w:rPr>
                          <w:rFonts w:ascii="Aptos" w:hAnsi="Aptos" w:cs="Segoe UI"/>
                          <w:b/>
                          <w:bCs/>
                          <w:sz w:val="20"/>
                          <w:szCs w:val="20"/>
                        </w:rPr>
                        <w:t>παρέμειναν σε ανοδική τροχιά</w:t>
                      </w:r>
                      <w:r>
                        <w:rPr>
                          <w:rFonts w:ascii="Aptos" w:hAnsi="Aptos" w:cs="Segoe UI"/>
                          <w:sz w:val="20"/>
                          <w:szCs w:val="20"/>
                        </w:rPr>
                        <w:t xml:space="preserve">, καταγράφοντας αύξηση κατά €1,7 δισ. σε ετήσια βάση, η οποία αποδίδεται σε πελάτες Λιανικής, καθώς οι αυξημένες αναλήψεις καταθέσεων από πελάτες Εταιρικής Τραπεζικής για την αποπληρωμή δανείων επηρέασαν το 2023 </w:t>
                      </w:r>
                    </w:p>
                    <w:p>
                      <w:pPr>
                        <w:numPr>
                          <w:ilvl w:val="1"/>
                          <w:numId w:val="2"/>
                        </w:numPr>
                        <w:spacing w:before="100"/>
                        <w:rPr>
                          <w:rFonts w:ascii="Aptos" w:hAnsi="Aptos" w:cs="Segoe UI"/>
                          <w:sz w:val="20"/>
                          <w:szCs w:val="20"/>
                        </w:rPr>
                      </w:pPr>
                      <w:r>
                        <w:rPr>
                          <w:rFonts w:ascii="Aptos" w:hAnsi="Aptos" w:cs="Segoe UI"/>
                          <w:sz w:val="20"/>
                          <w:szCs w:val="20"/>
                        </w:rPr>
                        <w:t>Αφαιρουμένου του υπολοίπου του Προγράμματος Συναλλαγών Μακροχρόνιας Αναχρηματοδότησης (</w:t>
                      </w:r>
                      <w:r>
                        <w:rPr>
                          <w:rFonts w:ascii="Aptos" w:hAnsi="Aptos" w:cs="Segoe UI"/>
                          <w:sz w:val="20"/>
                          <w:szCs w:val="20"/>
                          <w:lang w:val="en-US"/>
                        </w:rPr>
                        <w:t>TLTRO</w:t>
                      </w:r>
                      <w:r>
                        <w:rPr>
                          <w:rFonts w:ascii="Aptos" w:hAnsi="Aptos" w:cs="Segoe UI"/>
                          <w:sz w:val="20"/>
                          <w:szCs w:val="20"/>
                        </w:rPr>
                        <w:t xml:space="preserve"> ΙΙΙ) ύψους €1,85 δισ. και λαμβάνοντας υπόψη τη θέση της ΕΤΕ στη διατραπεζική αγορά ως καθαρός δανειστής, τα </w:t>
                      </w:r>
                      <w:r>
                        <w:rPr>
                          <w:rFonts w:ascii="Aptos" w:hAnsi="Aptos" w:cs="Segoe UI"/>
                          <w:b/>
                          <w:bCs/>
                          <w:sz w:val="20"/>
                          <w:szCs w:val="20"/>
                        </w:rPr>
                        <w:t>καθαρά ταμειακά διαθέσιμα</w:t>
                      </w:r>
                      <w:r>
                        <w:rPr>
                          <w:rFonts w:ascii="Aptos" w:hAnsi="Aptos" w:cs="Segoe UI"/>
                          <w:sz w:val="20"/>
                          <w:szCs w:val="20"/>
                        </w:rPr>
                        <w:t xml:space="preserve"> της Τράπεζας ενισχύθηκαν περαιτέρω σε €8,0 δισ. το Δ’ τρίμηνο 2023, σταθερά στα υψηλότερα επίπεδα της αγοράς</w:t>
                      </w:r>
                    </w:p>
                    <w:p>
                      <w:pPr>
                        <w:spacing w:before="100"/>
                        <w:ind w:left="720"/>
                        <w:rPr>
                          <w:rFonts w:ascii="Aptos" w:hAnsi="Aptos" w:cs="Segoe UI"/>
                          <w:sz w:val="16"/>
                          <w:szCs w:val="16"/>
                        </w:rPr>
                      </w:pPr>
                    </w:p>
                    <w:p>
                      <w:pPr>
                        <w:pStyle w:val="25"/>
                        <w:numPr>
                          <w:ilvl w:val="0"/>
                          <w:numId w:val="2"/>
                        </w:numPr>
                        <w:spacing w:before="60" w:after="0" w:line="276" w:lineRule="auto"/>
                        <w:jc w:val="left"/>
                        <w:rPr>
                          <w:rFonts w:ascii="Aptos" w:hAnsi="Aptos" w:cs="Segoe UI"/>
                          <w:b/>
                          <w:color w:val="007B85"/>
                          <w:sz w:val="20"/>
                          <w:szCs w:val="20"/>
                        </w:rPr>
                      </w:pPr>
                      <w:r>
                        <w:rPr>
                          <w:rFonts w:ascii="Aptos" w:hAnsi="Aptos" w:cs="Segoe UI"/>
                          <w:b/>
                          <w:color w:val="007B85"/>
                          <w:sz w:val="20"/>
                          <w:szCs w:val="20"/>
                        </w:rPr>
                        <w:t xml:space="preserve">Ο δείκτης ΜΕΑ διαμορφώθηκε σε 3,7% σε επίπεδο Ομίλου, με τον δείκτη κάλυψης ΜΕΑ από σωρευμένες προβλέψεις να ανέρχεται 87,5%, στα υψηλότερα επίπεδα του κλάδου </w:t>
                      </w:r>
                    </w:p>
                    <w:p>
                      <w:pPr>
                        <w:numPr>
                          <w:ilvl w:val="1"/>
                          <w:numId w:val="2"/>
                        </w:numPr>
                        <w:spacing w:before="100"/>
                        <w:rPr>
                          <w:rFonts w:ascii="Aptos" w:hAnsi="Aptos" w:cs="Segoe UI"/>
                          <w:sz w:val="20"/>
                          <w:szCs w:val="20"/>
                        </w:rPr>
                      </w:pPr>
                      <w:r>
                        <w:rPr>
                          <w:rFonts w:ascii="Aptos" w:hAnsi="Aptos" w:cs="Segoe UI"/>
                          <w:sz w:val="20"/>
                          <w:szCs w:val="20"/>
                        </w:rPr>
                        <w:t xml:space="preserve">Τα </w:t>
                      </w:r>
                      <w:r>
                        <w:rPr>
                          <w:rFonts w:ascii="Aptos" w:hAnsi="Aptos" w:cs="Segoe UI"/>
                          <w:b/>
                          <w:bCs/>
                          <w:sz w:val="20"/>
                          <w:szCs w:val="20"/>
                        </w:rPr>
                        <w:t>ΜΕΑ</w:t>
                      </w:r>
                      <w:r>
                        <w:rPr>
                          <w:rFonts w:ascii="Aptos" w:hAnsi="Aptos" w:cs="Segoe UI"/>
                          <w:sz w:val="20"/>
                          <w:szCs w:val="20"/>
                        </w:rPr>
                        <w:t xml:space="preserve"> διαμορφώθηκαν σε €1,3 δισ. το Δ’ τρίμηνο 2023, ή €0,2</w:t>
                      </w:r>
                      <w:r>
                        <w:t xml:space="preserve"> </w:t>
                      </w:r>
                      <w:r>
                        <w:rPr>
                          <w:rFonts w:ascii="Aptos" w:hAnsi="Aptos" w:cs="Segoe UI"/>
                          <w:sz w:val="20"/>
                          <w:szCs w:val="20"/>
                        </w:rPr>
                        <w:t>δισ. μετά από προβλέψεις</w:t>
                      </w:r>
                    </w:p>
                    <w:p>
                      <w:pPr>
                        <w:numPr>
                          <w:ilvl w:val="1"/>
                          <w:numId w:val="2"/>
                        </w:numPr>
                        <w:spacing w:before="100"/>
                        <w:rPr>
                          <w:rFonts w:ascii="Aptos" w:hAnsi="Aptos" w:cs="Segoe UI"/>
                          <w:sz w:val="20"/>
                          <w:szCs w:val="20"/>
                        </w:rPr>
                      </w:pPr>
                      <w:r>
                        <w:rPr>
                          <w:rFonts w:ascii="Aptos" w:hAnsi="Aptos" w:cs="Segoe UI"/>
                          <w:sz w:val="20"/>
                          <w:szCs w:val="20"/>
                        </w:rPr>
                        <w:t xml:space="preserve">Οι </w:t>
                      </w:r>
                      <w:r>
                        <w:rPr>
                          <w:rFonts w:ascii="Aptos" w:hAnsi="Aptos" w:cs="Segoe UI"/>
                          <w:b/>
                          <w:bCs/>
                          <w:sz w:val="20"/>
                          <w:szCs w:val="20"/>
                        </w:rPr>
                        <w:t>καθαρές ροές ΜΕΑ</w:t>
                      </w:r>
                      <w:r>
                        <w:rPr>
                          <w:rFonts w:ascii="Aptos" w:hAnsi="Aptos" w:cs="Segoe UI"/>
                          <w:sz w:val="20"/>
                          <w:szCs w:val="20"/>
                        </w:rPr>
                        <w:t xml:space="preserve"> ανήλθαν σε μόλις ~€50 εκατ. το Δ΄ τρίμηνο 2023, με τη συνολική μείωση ΜΕΑ να διαμορφώνεται στα -€0,5 δισ. για το 2023</w:t>
                      </w:r>
                    </w:p>
                    <w:p>
                      <w:pPr>
                        <w:spacing w:before="120"/>
                        <w:jc w:val="both"/>
                        <w:rPr>
                          <w:rFonts w:ascii="Aptos Light" w:hAnsi="Aptos Light" w:eastAsiaTheme="minorEastAsia"/>
                          <w:kern w:val="24"/>
                          <w:sz w:val="14"/>
                          <w:szCs w:val="14"/>
                          <w:lang w:eastAsia="en-GB"/>
                        </w:rPr>
                      </w:pPr>
                      <w:r>
                        <w:rPr>
                          <w:rFonts w:ascii="Aptos Light" w:hAnsi="Aptos Light" w:eastAsiaTheme="minorEastAsia"/>
                          <w:kern w:val="24"/>
                          <w:sz w:val="14"/>
                          <w:szCs w:val="14"/>
                          <w:lang w:eastAsia="en-GB"/>
                        </w:rPr>
                        <w:t xml:space="preserve">1 Οργανικά κέρδη μετά φόρων προς μέσο όρο ενσώματων ιδίων κεφαλαίων, συμπεριλαμβανομένων των κεφαλαίων CET1 άνω των εποπτικών ορίων </w:t>
                      </w:r>
                      <w:r>
                        <w:rPr>
                          <w:rFonts w:ascii="Aptos Light" w:hAnsi="Aptos Light" w:eastAsiaTheme="minorEastAsia"/>
                          <w:kern w:val="24"/>
                          <w:sz w:val="14"/>
                          <w:szCs w:val="14"/>
                        </w:rPr>
                        <w:t xml:space="preserve">| </w:t>
                      </w:r>
                      <w:r>
                        <w:rPr>
                          <w:rFonts w:ascii="Aptos Light" w:hAnsi="Aptos Light" w:eastAsiaTheme="minorEastAsia"/>
                          <w:kern w:val="24"/>
                          <w:sz w:val="14"/>
                          <w:szCs w:val="14"/>
                          <w:lang w:eastAsia="en-GB"/>
                        </w:rPr>
                        <w:t xml:space="preserve">2 Σε συγκρίσιμη βάση </w:t>
                      </w:r>
                      <w:r>
                        <w:rPr>
                          <w:rFonts w:ascii="Aptos Light" w:hAnsi="Aptos Light" w:eastAsiaTheme="minorEastAsia"/>
                          <w:kern w:val="24"/>
                          <w:sz w:val="14"/>
                          <w:szCs w:val="14"/>
                        </w:rPr>
                        <w:t xml:space="preserve">| </w:t>
                      </w:r>
                      <w:r>
                        <w:rPr>
                          <w:rFonts w:ascii="Aptos Light" w:hAnsi="Aptos Light" w:eastAsiaTheme="minorEastAsia"/>
                          <w:kern w:val="24"/>
                          <w:sz w:val="14"/>
                          <w:szCs w:val="14"/>
                          <w:lang w:eastAsia="en-GB"/>
                        </w:rPr>
                        <w:t>3 Σε επίπεδο Τράπεζας. Επιπλέον δάνεια ύψους €0,7 δισ. εκταμιεύθηκαν από θυγατρικές</w:t>
                      </w:r>
                    </w:p>
                  </w:txbxContent>
                </v:textbox>
              </v:shape>
            </w:pict>
          </mc:Fallback>
        </mc:AlternateContent>
      </w:r>
      <w:r>
        <w:rPr>
          <w:rFonts w:ascii="Aptos" w:hAnsi="Aptos" w:cs="Segoe UI"/>
          <w:i/>
          <w:color w:val="595959"/>
          <w:sz w:val="18"/>
          <w:szCs w:val="20"/>
        </w:rPr>
        <w:br w:type="page"/>
      </w:r>
    </w:p>
    <w:p>
      <w:pPr>
        <w:rPr>
          <w:rFonts w:ascii="Aptos" w:hAnsi="Aptos" w:cs="Segoe UI"/>
          <w:i/>
          <w:color w:val="595959"/>
          <w:sz w:val="18"/>
          <w:szCs w:val="20"/>
        </w:rPr>
      </w:pPr>
      <w:r>
        <w:rPr>
          <w:rFonts w:ascii="Segoe UI" w:hAnsi="Segoe UI" w:cs="Segoe UI"/>
          <w:color w:val="595959"/>
          <w:lang w:eastAsia="el-GR"/>
        </w:rPr>
        <mc:AlternateContent>
          <mc:Choice Requires="wps">
            <w:drawing>
              <wp:anchor distT="0" distB="0" distL="114300" distR="114300" simplePos="0" relativeHeight="251699200" behindDoc="0" locked="0" layoutInCell="1" allowOverlap="1">
                <wp:simplePos x="0" y="0"/>
                <wp:positionH relativeFrom="margin">
                  <wp:posOffset>-1270</wp:posOffset>
                </wp:positionH>
                <wp:positionV relativeFrom="paragraph">
                  <wp:posOffset>-33655</wp:posOffset>
                </wp:positionV>
                <wp:extent cx="6473190" cy="9314180"/>
                <wp:effectExtent l="0" t="0" r="4445" b="1905"/>
                <wp:wrapNone/>
                <wp:docPr id="28" name="Text Box 3"/>
                <wp:cNvGraphicFramePr/>
                <a:graphic xmlns:a="http://schemas.openxmlformats.org/drawingml/2006/main">
                  <a:graphicData uri="http://schemas.microsoft.com/office/word/2010/wordprocessingShape">
                    <wps:wsp>
                      <wps:cNvSpPr txBox="1">
                        <a:spLocks noChangeArrowheads="1"/>
                      </wps:cNvSpPr>
                      <wps:spPr bwMode="auto">
                        <a:xfrm>
                          <a:off x="0" y="0"/>
                          <a:ext cx="6473161" cy="9314121"/>
                        </a:xfrm>
                        <a:prstGeom prst="rect">
                          <a:avLst/>
                        </a:prstGeom>
                        <a:solidFill>
                          <a:srgbClr val="F5F9F6"/>
                        </a:solidFill>
                        <a:ln w="9525">
                          <a:noFill/>
                        </a:ln>
                      </wps:spPr>
                      <wps:txbx>
                        <w:txbxContent>
                          <w:p>
                            <w:pPr>
                              <w:pStyle w:val="25"/>
                              <w:numPr>
                                <w:ilvl w:val="0"/>
                                <w:numId w:val="2"/>
                              </w:numPr>
                              <w:spacing w:before="60" w:after="0" w:line="276" w:lineRule="auto"/>
                              <w:jc w:val="left"/>
                              <w:rPr>
                                <w:rFonts w:ascii="Aptos" w:hAnsi="Aptos" w:cs="Segoe UI"/>
                                <w:b/>
                                <w:color w:val="007B85"/>
                                <w:sz w:val="20"/>
                                <w:szCs w:val="20"/>
                              </w:rPr>
                            </w:pPr>
                            <w:r>
                              <w:rPr>
                                <w:rFonts w:ascii="Aptos" w:hAnsi="Aptos" w:cs="Segoe UI"/>
                                <w:b/>
                                <w:color w:val="007B85"/>
                                <w:sz w:val="20"/>
                                <w:szCs w:val="20"/>
                              </w:rPr>
                              <w:t xml:space="preserve">Ο δείκτης </w:t>
                            </w:r>
                            <w:r>
                              <w:rPr>
                                <w:rFonts w:ascii="Aptos" w:hAnsi="Aptos" w:cs="Segoe UI"/>
                                <w:b/>
                                <w:color w:val="007B85"/>
                                <w:sz w:val="20"/>
                                <w:szCs w:val="20"/>
                                <w:lang w:val="en-US"/>
                              </w:rPr>
                              <w:t>CET</w:t>
                            </w:r>
                            <w:r>
                              <w:rPr>
                                <w:rFonts w:ascii="Aptos" w:hAnsi="Aptos" w:cs="Segoe UI"/>
                                <w:b/>
                                <w:color w:val="007B85"/>
                                <w:sz w:val="20"/>
                                <w:szCs w:val="20"/>
                              </w:rPr>
                              <w:t>1 ανήλθε σε 17,8%, με το Συνολικό Δείκτη Κεφαλαιακής Επάρκειας να διαμορφώνεται σε 20,2%</w:t>
                            </w:r>
                          </w:p>
                          <w:p>
                            <w:pPr>
                              <w:numPr>
                                <w:ilvl w:val="1"/>
                                <w:numId w:val="2"/>
                              </w:numPr>
                              <w:spacing w:before="100"/>
                              <w:rPr>
                                <w:rFonts w:ascii="Aptos" w:hAnsi="Aptos" w:eastAsia="Calibri" w:cs="Segoe UI"/>
                                <w:bCs/>
                                <w:sz w:val="20"/>
                                <w:szCs w:val="20"/>
                                <w:lang w:eastAsia="el-GR"/>
                              </w:rPr>
                            </w:pPr>
                            <w:r>
                              <w:rPr>
                                <w:rFonts w:ascii="Aptos" w:hAnsi="Aptos" w:eastAsia="Calibri" w:cs="Segoe UI"/>
                                <w:bCs/>
                                <w:sz w:val="20"/>
                                <w:szCs w:val="20"/>
                                <w:lang w:eastAsia="el-GR"/>
                              </w:rPr>
                              <w:t xml:space="preserve">Ο </w:t>
                            </w:r>
                            <w:r>
                              <w:rPr>
                                <w:rFonts w:ascii="Aptos" w:hAnsi="Aptos" w:eastAsia="Calibri" w:cs="Segoe UI"/>
                                <w:b/>
                                <w:sz w:val="20"/>
                                <w:szCs w:val="20"/>
                                <w:lang w:eastAsia="el-GR"/>
                              </w:rPr>
                              <w:t xml:space="preserve">δείκτης </w:t>
                            </w:r>
                            <w:r>
                              <w:rPr>
                                <w:rFonts w:ascii="Aptos" w:hAnsi="Aptos" w:eastAsia="Calibri" w:cs="Segoe UI"/>
                                <w:b/>
                                <w:sz w:val="20"/>
                                <w:szCs w:val="20"/>
                                <w:lang w:val="en-US" w:eastAsia="el-GR"/>
                              </w:rPr>
                              <w:t>CET</w:t>
                            </w:r>
                            <w:r>
                              <w:rPr>
                                <w:rFonts w:ascii="Aptos" w:hAnsi="Aptos" w:eastAsia="Calibri" w:cs="Segoe UI"/>
                                <w:b/>
                                <w:sz w:val="20"/>
                                <w:szCs w:val="20"/>
                                <w:lang w:eastAsia="el-GR"/>
                              </w:rPr>
                              <w:t>1</w:t>
                            </w:r>
                            <w:r>
                              <w:rPr>
                                <w:rFonts w:ascii="Aptos" w:hAnsi="Aptos" w:eastAsia="Calibri" w:cs="Segoe UI"/>
                                <w:bCs/>
                                <w:sz w:val="20"/>
                                <w:szCs w:val="20"/>
                                <w:lang w:eastAsia="el-GR"/>
                              </w:rPr>
                              <w:t xml:space="preserve"> αυξήθηκε κατά +220μ.β. σε ετήσια βάση σε 17,8% το 2023, συμπεριλαμβανομένης της πρόβλεψης 90μ.β., ήτοι 30% επί των κερδών διανομή μερίσματος, ως αποτέλεσμα της ισχυρής οργανικής κερδοφορίας. Ο </w:t>
                            </w:r>
                            <w:r>
                              <w:rPr>
                                <w:rFonts w:ascii="Aptos" w:hAnsi="Aptos" w:eastAsia="Calibri" w:cs="Segoe UI"/>
                                <w:b/>
                                <w:sz w:val="20"/>
                                <w:szCs w:val="20"/>
                                <w:lang w:eastAsia="el-GR"/>
                              </w:rPr>
                              <w:t xml:space="preserve">Συνολικός Δείκτης Κεφαλαιακής Επάρκειας </w:t>
                            </w:r>
                            <w:r>
                              <w:rPr>
                                <w:rFonts w:ascii="Aptos" w:hAnsi="Aptos" w:eastAsia="Calibri" w:cs="Segoe UI"/>
                                <w:bCs/>
                                <w:sz w:val="20"/>
                                <w:szCs w:val="20"/>
                                <w:lang w:eastAsia="el-GR"/>
                              </w:rPr>
                              <w:t xml:space="preserve">διαμορφώθηκε σε 20,2%, ενισχυμένος κατά +350μ.β. σε ετήσια βάση </w:t>
                            </w:r>
                          </w:p>
                          <w:p>
                            <w:pPr>
                              <w:numPr>
                                <w:ilvl w:val="1"/>
                                <w:numId w:val="2"/>
                              </w:numPr>
                              <w:spacing w:before="100"/>
                              <w:rPr>
                                <w:rFonts w:ascii="Aptos" w:hAnsi="Aptos" w:cs="Segoe UI"/>
                                <w:bCs/>
                                <w:sz w:val="20"/>
                                <w:szCs w:val="20"/>
                              </w:rPr>
                            </w:pPr>
                            <w:r>
                              <w:rPr>
                                <w:rFonts w:ascii="Aptos" w:hAnsi="Aptos" w:eastAsia="Calibri" w:cs="Segoe UI"/>
                                <w:bCs/>
                                <w:sz w:val="20"/>
                                <w:szCs w:val="20"/>
                                <w:lang w:eastAsia="el-GR"/>
                              </w:rPr>
                              <w:t>Συμπεριλαμβανομένης της έκδοσης ομολόγων υψηλής εξασφάλισης ύψους €600 εκατ. τον Ιανουάριο 2024, ο</w:t>
                            </w:r>
                            <w:r>
                              <w:rPr>
                                <w:rFonts w:ascii="Aptos" w:hAnsi="Aptos" w:eastAsia="Calibri" w:cs="Segoe UI"/>
                                <w:b/>
                                <w:sz w:val="20"/>
                                <w:szCs w:val="20"/>
                                <w:lang w:eastAsia="el-GR"/>
                              </w:rPr>
                              <w:t xml:space="preserve"> δείκτης MREL </w:t>
                            </w:r>
                            <w:r>
                              <w:rPr>
                                <w:rFonts w:ascii="Aptos" w:hAnsi="Aptos" w:eastAsia="Calibri" w:cs="Segoe UI"/>
                                <w:bCs/>
                                <w:sz w:val="20"/>
                                <w:szCs w:val="20"/>
                                <w:lang w:eastAsia="el-GR"/>
                              </w:rPr>
                              <w:t>του Ομίλου διαμορφώθηκε σε 25,4%, υπερβαίνοντας ήδη την ελάχιστη απαίτηση MREL του Ιανουαρίου 2025 ύψους 25,3%</w:t>
                            </w:r>
                          </w:p>
                          <w:p>
                            <w:pPr>
                              <w:spacing w:before="80"/>
                              <w:rPr>
                                <w:rFonts w:ascii="Aptos" w:hAnsi="Aptos" w:cs="Segoe UI"/>
                                <w:sz w:val="16"/>
                                <w:szCs w:val="16"/>
                              </w:rPr>
                            </w:pPr>
                          </w:p>
                          <w:p>
                            <w:pPr>
                              <w:pStyle w:val="25"/>
                              <w:numPr>
                                <w:ilvl w:val="0"/>
                                <w:numId w:val="2"/>
                              </w:numPr>
                              <w:spacing w:before="60" w:after="0" w:line="276" w:lineRule="auto"/>
                              <w:jc w:val="left"/>
                              <w:rPr>
                                <w:rFonts w:ascii="Aptos" w:hAnsi="Aptos" w:cs="Segoe UI"/>
                                <w:b/>
                                <w:color w:val="007B85"/>
                                <w:sz w:val="20"/>
                                <w:szCs w:val="20"/>
                              </w:rPr>
                            </w:pPr>
                            <w:r>
                              <w:rPr>
                                <w:rFonts w:ascii="Aptos" w:hAnsi="Aptos" w:cs="Segoe UI"/>
                                <w:b/>
                                <w:color w:val="007B85"/>
                                <w:sz w:val="20"/>
                                <w:szCs w:val="20"/>
                              </w:rPr>
                              <w:t>Το επιτυχημένο Πρόγραμμα Μετασχηματισμού μας συνεχίζει να συνιστά συγκριτικό πλεονέκτημα για την ΕΤΕ, λειτουργώντας ως η κινητήρια δύναμη για ταχείες και βιώσιμες αλλαγές</w:t>
                            </w:r>
                          </w:p>
                          <w:p>
                            <w:pPr>
                              <w:numPr>
                                <w:ilvl w:val="1"/>
                                <w:numId w:val="2"/>
                              </w:numPr>
                              <w:spacing w:before="100"/>
                              <w:rPr>
                                <w:rFonts w:ascii="Aptos" w:hAnsi="Aptos" w:eastAsia="Calibri" w:cs="Segoe UI"/>
                                <w:bCs/>
                                <w:sz w:val="20"/>
                                <w:szCs w:val="20"/>
                                <w:lang w:eastAsia="el-GR"/>
                              </w:rPr>
                            </w:pPr>
                            <w:r>
                              <w:rPr>
                                <w:rFonts w:ascii="Aptos" w:hAnsi="Aptos" w:eastAsia="Calibri" w:cs="Segoe UI"/>
                                <w:bCs/>
                                <w:sz w:val="20"/>
                                <w:szCs w:val="20"/>
                                <w:lang w:eastAsia="el-GR"/>
                              </w:rPr>
                              <w:t xml:space="preserve">Ταχεία μετάβαση προς ένα πιο ευέλικτο επιχειρηματικό μοντέλο, ενισχύοντας την </w:t>
                            </w:r>
                            <w:r>
                              <w:rPr>
                                <w:rFonts w:ascii="Aptos" w:hAnsi="Aptos" w:eastAsia="Calibri" w:cs="Segoe UI"/>
                                <w:b/>
                                <w:sz w:val="20"/>
                                <w:szCs w:val="20"/>
                                <w:lang w:eastAsia="el-GR"/>
                              </w:rPr>
                              <w:t xml:space="preserve">εμπορική </w:t>
                            </w:r>
                            <w:r>
                              <w:rPr>
                                <w:rFonts w:ascii="Aptos" w:hAnsi="Aptos" w:eastAsia="Calibri" w:cs="Segoe UI"/>
                                <w:bCs/>
                                <w:sz w:val="20"/>
                                <w:szCs w:val="20"/>
                                <w:lang w:eastAsia="el-GR"/>
                              </w:rPr>
                              <w:t>μας</w:t>
                            </w:r>
                            <w:r>
                              <w:rPr>
                                <w:rFonts w:ascii="Aptos" w:hAnsi="Aptos" w:eastAsia="Calibri" w:cs="Segoe UI"/>
                                <w:b/>
                                <w:sz w:val="20"/>
                                <w:szCs w:val="20"/>
                                <w:lang w:eastAsia="el-GR"/>
                              </w:rPr>
                              <w:t xml:space="preserve"> αποτελεσματικότητα</w:t>
                            </w:r>
                            <w:r>
                              <w:rPr>
                                <w:rFonts w:ascii="Aptos" w:hAnsi="Aptos" w:eastAsia="Calibri" w:cs="Segoe UI"/>
                                <w:bCs/>
                                <w:sz w:val="20"/>
                                <w:szCs w:val="20"/>
                                <w:lang w:eastAsia="el-GR"/>
                              </w:rPr>
                              <w:t xml:space="preserve"> και βελτιώνοντας τη </w:t>
                            </w:r>
                            <w:r>
                              <w:rPr>
                                <w:rFonts w:ascii="Aptos" w:hAnsi="Aptos" w:eastAsia="Calibri" w:cs="Segoe UI"/>
                                <w:b/>
                                <w:sz w:val="20"/>
                                <w:szCs w:val="20"/>
                                <w:lang w:eastAsia="el-GR"/>
                              </w:rPr>
                              <w:t xml:space="preserve">λειτουργική αποδοτικότητά </w:t>
                            </w:r>
                            <w:r>
                              <w:rPr>
                                <w:rFonts w:ascii="Aptos" w:hAnsi="Aptos" w:eastAsia="Calibri" w:cs="Segoe UI"/>
                                <w:bCs/>
                                <w:sz w:val="20"/>
                                <w:szCs w:val="20"/>
                                <w:lang w:eastAsia="el-GR"/>
                              </w:rPr>
                              <w:t xml:space="preserve">μας μέσω της κεντροποίησης και της αυτοματοποίησης των διαδικασιών, </w:t>
                            </w:r>
                            <w:r>
                              <w:rPr>
                                <w:rFonts w:ascii="Aptos" w:hAnsi="Aptos" w:eastAsia="Calibri" w:cs="Segoe UI"/>
                                <w:b/>
                                <w:sz w:val="20"/>
                                <w:szCs w:val="20"/>
                                <w:lang w:eastAsia="el-GR"/>
                              </w:rPr>
                              <w:t>αναβαθμίζοντας παράλληλα τις τεχνολογικές υποδομές</w:t>
                            </w:r>
                            <w:r>
                              <w:t xml:space="preserve"> </w:t>
                            </w:r>
                            <w:r>
                              <w:rPr>
                                <w:rFonts w:ascii="Aptos" w:hAnsi="Aptos" w:eastAsia="Calibri" w:cs="Segoe UI"/>
                                <w:bCs/>
                                <w:sz w:val="20"/>
                                <w:szCs w:val="20"/>
                                <w:lang w:eastAsia="el-GR"/>
                              </w:rPr>
                              <w:t>της Τράπεζας, συμπεριλαμβανομένης της αντικατάστασης του συστήματος Βασικών Τραπεζικών Εργασιών μας, η οποία αναμένεται να ολοκληρωθεί έως το τέλος του 2025</w:t>
                            </w:r>
                          </w:p>
                          <w:p>
                            <w:pPr>
                              <w:numPr>
                                <w:ilvl w:val="1"/>
                                <w:numId w:val="2"/>
                              </w:numPr>
                              <w:spacing w:before="100"/>
                              <w:rPr>
                                <w:rFonts w:ascii="Aptos" w:hAnsi="Aptos" w:eastAsia="Calibri" w:cs="Segoe UI"/>
                                <w:bCs/>
                                <w:sz w:val="20"/>
                                <w:szCs w:val="20"/>
                                <w:lang w:eastAsia="el-GR"/>
                              </w:rPr>
                            </w:pPr>
                            <w:r>
                              <w:rPr>
                                <w:rFonts w:ascii="Aptos" w:hAnsi="Aptos" w:eastAsia="Calibri" w:cs="Segoe UI"/>
                                <w:bCs/>
                                <w:sz w:val="20"/>
                                <w:szCs w:val="20"/>
                                <w:lang w:eastAsia="el-GR"/>
                              </w:rPr>
                              <w:t xml:space="preserve">Ευρεία αναγνώριση της ΕΤΕ για τις </w:t>
                            </w:r>
                            <w:r>
                              <w:rPr>
                                <w:rFonts w:ascii="Aptos" w:hAnsi="Aptos" w:eastAsia="Calibri" w:cs="Segoe UI"/>
                                <w:b/>
                                <w:sz w:val="20"/>
                                <w:szCs w:val="20"/>
                                <w:lang w:eastAsia="el-GR"/>
                              </w:rPr>
                              <w:t>ψηφιακές υπηρεσίες</w:t>
                            </w:r>
                            <w:r>
                              <w:rPr>
                                <w:rFonts w:ascii="Aptos" w:hAnsi="Aptos" w:eastAsia="Calibri" w:cs="Segoe UI"/>
                                <w:bCs/>
                                <w:sz w:val="20"/>
                                <w:szCs w:val="20"/>
                                <w:lang w:eastAsia="el-GR"/>
                              </w:rPr>
                              <w:t xml:space="preserve"> της, γεγονός που επιβεβαιώνουν τα ηγετικά μερίδια αγοράς μας στους μηνιαίους ενεργούς χρήστες (κινητά: 32%, διαδίκτυο: 25%) και τις ψηφιακές πωλήσεις (κάρτες: 41%, καταναλωτικά δάνεια: 32%, ασφάλειες: 55%). Επιπλέον, οι πωλήσεις μέσω ψηφιακών καναλιών αυξήθηκαν σε 1,2 εκατ. τεμάχια το 2023 από 0,8 εκατ. το 2022</w:t>
                            </w:r>
                          </w:p>
                          <w:p>
                            <w:pPr>
                              <w:numPr>
                                <w:ilvl w:val="1"/>
                                <w:numId w:val="2"/>
                              </w:numPr>
                              <w:spacing w:before="100"/>
                              <w:rPr>
                                <w:rFonts w:ascii="Aptos" w:hAnsi="Aptos" w:eastAsia="Calibri" w:cs="Segoe UI"/>
                                <w:b/>
                                <w:sz w:val="20"/>
                                <w:szCs w:val="20"/>
                                <w:lang w:eastAsia="el-GR"/>
                              </w:rPr>
                            </w:pPr>
                            <w:r>
                              <w:rPr>
                                <w:rFonts w:ascii="Aptos" w:hAnsi="Aptos" w:eastAsia="Calibri" w:cs="Segoe UI"/>
                                <w:bCs/>
                                <w:sz w:val="20"/>
                                <w:szCs w:val="20"/>
                                <w:lang w:eastAsia="el-GR"/>
                              </w:rPr>
                              <w:t>Οι φιλόδοξοι στόχοι μας για την επίτευξη μηδενικού καθαρού ισοζυγίου χρηματοδοτούμενων εκπομπών άνθρακα (</w:t>
                            </w:r>
                            <w:r>
                              <w:rPr>
                                <w:rFonts w:ascii="Aptos" w:hAnsi="Aptos" w:eastAsia="Calibri" w:cs="Segoe UI"/>
                                <w:bCs/>
                                <w:sz w:val="20"/>
                                <w:szCs w:val="20"/>
                                <w:lang w:val="en-US" w:eastAsia="el-GR"/>
                              </w:rPr>
                              <w:t>Net</w:t>
                            </w:r>
                            <w:r>
                              <w:rPr>
                                <w:rFonts w:ascii="Aptos" w:hAnsi="Aptos" w:eastAsia="Calibri" w:cs="Segoe UI"/>
                                <w:bCs/>
                                <w:sz w:val="20"/>
                                <w:szCs w:val="20"/>
                                <w:lang w:eastAsia="el-GR"/>
                              </w:rPr>
                              <w:t>-</w:t>
                            </w:r>
                            <w:r>
                              <w:rPr>
                                <w:rFonts w:ascii="Aptos" w:hAnsi="Aptos" w:eastAsia="Calibri" w:cs="Segoe UI"/>
                                <w:bCs/>
                                <w:sz w:val="20"/>
                                <w:szCs w:val="20"/>
                                <w:lang w:val="en-US" w:eastAsia="el-GR"/>
                              </w:rPr>
                              <w:t>Zero</w:t>
                            </w:r>
                            <w:r>
                              <w:rPr>
                                <w:rFonts w:ascii="Aptos" w:hAnsi="Aptos" w:eastAsia="Calibri" w:cs="Segoe UI"/>
                                <w:bCs/>
                                <w:sz w:val="20"/>
                                <w:szCs w:val="20"/>
                                <w:lang w:eastAsia="el-GR"/>
                              </w:rPr>
                              <w:t xml:space="preserve">) υποστηρίζονται από την επιχειρηματική μας στρατηγική για το κλίμα και το περιβάλλον. Η αποτελεσματική εποπτεία και καθοδήγηση επιτεύχθηκε με την </w:t>
                            </w:r>
                            <w:r>
                              <w:rPr>
                                <w:rFonts w:ascii="Aptos" w:hAnsi="Aptos" w:eastAsia="Calibri" w:cs="Segoe UI"/>
                                <w:b/>
                                <w:sz w:val="20"/>
                                <w:szCs w:val="20"/>
                                <w:lang w:eastAsia="el-GR"/>
                              </w:rPr>
                              <w:t>ενίσχυση της διακυβέρνησης ESG</w:t>
                            </w:r>
                            <w:r>
                              <w:rPr>
                                <w:rFonts w:ascii="Aptos" w:hAnsi="Aptos" w:eastAsia="Calibri" w:cs="Segoe UI"/>
                                <w:bCs/>
                                <w:sz w:val="20"/>
                                <w:szCs w:val="20"/>
                                <w:lang w:eastAsia="el-GR"/>
                              </w:rPr>
                              <w:t xml:space="preserve"> σε όλα τα επίπεδα ιεραρχίας και τις γραμμές άμυνας της Τράπεζας, ενώ καταγράψαμε σημαντικές βελτιώσεις στις </w:t>
                            </w:r>
                            <w:r>
                              <w:rPr>
                                <w:rFonts w:ascii="Aptos" w:hAnsi="Aptos" w:eastAsia="Calibri" w:cs="Segoe UI"/>
                                <w:b/>
                                <w:sz w:val="20"/>
                                <w:szCs w:val="20"/>
                                <w:lang w:eastAsia="el-GR"/>
                              </w:rPr>
                              <w:t xml:space="preserve">αξιολογήσεις </w:t>
                            </w:r>
                            <w:r>
                              <w:rPr>
                                <w:rFonts w:ascii="Aptos" w:hAnsi="Aptos" w:eastAsia="Calibri" w:cs="Segoe UI"/>
                                <w:b/>
                                <w:sz w:val="20"/>
                                <w:szCs w:val="20"/>
                                <w:lang w:val="en-US" w:eastAsia="el-GR"/>
                              </w:rPr>
                              <w:t>ESG</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1pt;margin-top:-2.65pt;height:733.4pt;width:509.7pt;mso-position-horizontal-relative:margin;z-index:251699200;mso-width-relative:page;mso-height-relative:page;" fillcolor="#F5F9F6" filled="t" stroked="f" coordsize="21600,21600" o:gfxdata="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C1uhX2gAAAAoBAAAPAAAAAAAAAAEAIAAAACIAAABkcnMvZG93bnJldi54bWxQSwECFAAUAAAA&#10;CACHTuJACTOKkyUCAABIBAAADgAAAAAAAAABACAAAAApAQAAZHJzL2Uyb0RvYy54bWxQSwUGAAAA&#10;AAYABgBZAQAAwAUAAAAA&#10;">
                <v:fill on="t" focussize="0,0"/>
                <v:stroke on="f"/>
                <v:imagedata o:title=""/>
                <o:lock v:ext="edit" aspectratio="f"/>
                <v:textbox>
                  <w:txbxContent>
                    <w:p>
                      <w:pPr>
                        <w:pStyle w:val="25"/>
                        <w:numPr>
                          <w:ilvl w:val="0"/>
                          <w:numId w:val="2"/>
                        </w:numPr>
                        <w:spacing w:before="60" w:after="0" w:line="276" w:lineRule="auto"/>
                        <w:jc w:val="left"/>
                        <w:rPr>
                          <w:rFonts w:ascii="Aptos" w:hAnsi="Aptos" w:cs="Segoe UI"/>
                          <w:b/>
                          <w:color w:val="007B85"/>
                          <w:sz w:val="20"/>
                          <w:szCs w:val="20"/>
                        </w:rPr>
                      </w:pPr>
                      <w:r>
                        <w:rPr>
                          <w:rFonts w:ascii="Aptos" w:hAnsi="Aptos" w:cs="Segoe UI"/>
                          <w:b/>
                          <w:color w:val="007B85"/>
                          <w:sz w:val="20"/>
                          <w:szCs w:val="20"/>
                        </w:rPr>
                        <w:t xml:space="preserve">Ο δείκτης </w:t>
                      </w:r>
                      <w:r>
                        <w:rPr>
                          <w:rFonts w:ascii="Aptos" w:hAnsi="Aptos" w:cs="Segoe UI"/>
                          <w:b/>
                          <w:color w:val="007B85"/>
                          <w:sz w:val="20"/>
                          <w:szCs w:val="20"/>
                          <w:lang w:val="en-US"/>
                        </w:rPr>
                        <w:t>CET</w:t>
                      </w:r>
                      <w:r>
                        <w:rPr>
                          <w:rFonts w:ascii="Aptos" w:hAnsi="Aptos" w:cs="Segoe UI"/>
                          <w:b/>
                          <w:color w:val="007B85"/>
                          <w:sz w:val="20"/>
                          <w:szCs w:val="20"/>
                        </w:rPr>
                        <w:t>1 ανήλθε σε 17,8%, με το Συνολικό Δείκτη Κεφαλαιακής Επάρκειας να διαμορφώνεται σε 20,2%</w:t>
                      </w:r>
                    </w:p>
                    <w:p>
                      <w:pPr>
                        <w:numPr>
                          <w:ilvl w:val="1"/>
                          <w:numId w:val="2"/>
                        </w:numPr>
                        <w:spacing w:before="100"/>
                        <w:rPr>
                          <w:rFonts w:ascii="Aptos" w:hAnsi="Aptos" w:eastAsia="Calibri" w:cs="Segoe UI"/>
                          <w:bCs/>
                          <w:sz w:val="20"/>
                          <w:szCs w:val="20"/>
                          <w:lang w:eastAsia="el-GR"/>
                        </w:rPr>
                      </w:pPr>
                      <w:r>
                        <w:rPr>
                          <w:rFonts w:ascii="Aptos" w:hAnsi="Aptos" w:eastAsia="Calibri" w:cs="Segoe UI"/>
                          <w:bCs/>
                          <w:sz w:val="20"/>
                          <w:szCs w:val="20"/>
                          <w:lang w:eastAsia="el-GR"/>
                        </w:rPr>
                        <w:t xml:space="preserve">Ο </w:t>
                      </w:r>
                      <w:r>
                        <w:rPr>
                          <w:rFonts w:ascii="Aptos" w:hAnsi="Aptos" w:eastAsia="Calibri" w:cs="Segoe UI"/>
                          <w:b/>
                          <w:sz w:val="20"/>
                          <w:szCs w:val="20"/>
                          <w:lang w:eastAsia="el-GR"/>
                        </w:rPr>
                        <w:t xml:space="preserve">δείκτης </w:t>
                      </w:r>
                      <w:r>
                        <w:rPr>
                          <w:rFonts w:ascii="Aptos" w:hAnsi="Aptos" w:eastAsia="Calibri" w:cs="Segoe UI"/>
                          <w:b/>
                          <w:sz w:val="20"/>
                          <w:szCs w:val="20"/>
                          <w:lang w:val="en-US" w:eastAsia="el-GR"/>
                        </w:rPr>
                        <w:t>CET</w:t>
                      </w:r>
                      <w:r>
                        <w:rPr>
                          <w:rFonts w:ascii="Aptos" w:hAnsi="Aptos" w:eastAsia="Calibri" w:cs="Segoe UI"/>
                          <w:b/>
                          <w:sz w:val="20"/>
                          <w:szCs w:val="20"/>
                          <w:lang w:eastAsia="el-GR"/>
                        </w:rPr>
                        <w:t>1</w:t>
                      </w:r>
                      <w:r>
                        <w:rPr>
                          <w:rFonts w:ascii="Aptos" w:hAnsi="Aptos" w:eastAsia="Calibri" w:cs="Segoe UI"/>
                          <w:bCs/>
                          <w:sz w:val="20"/>
                          <w:szCs w:val="20"/>
                          <w:lang w:eastAsia="el-GR"/>
                        </w:rPr>
                        <w:t xml:space="preserve"> αυξήθηκε κατά +220μ.β. σε ετήσια βάση σε 17,8% το 2023, συμπεριλαμβανομένης της πρόβλεψης 90μ.β., ήτοι 30% επί των κερδών διανομή μερίσματος, ως αποτέλεσμα της ισχυρής οργανικής κερδοφορίας. Ο </w:t>
                      </w:r>
                      <w:r>
                        <w:rPr>
                          <w:rFonts w:ascii="Aptos" w:hAnsi="Aptos" w:eastAsia="Calibri" w:cs="Segoe UI"/>
                          <w:b/>
                          <w:sz w:val="20"/>
                          <w:szCs w:val="20"/>
                          <w:lang w:eastAsia="el-GR"/>
                        </w:rPr>
                        <w:t xml:space="preserve">Συνολικός Δείκτης Κεφαλαιακής Επάρκειας </w:t>
                      </w:r>
                      <w:r>
                        <w:rPr>
                          <w:rFonts w:ascii="Aptos" w:hAnsi="Aptos" w:eastAsia="Calibri" w:cs="Segoe UI"/>
                          <w:bCs/>
                          <w:sz w:val="20"/>
                          <w:szCs w:val="20"/>
                          <w:lang w:eastAsia="el-GR"/>
                        </w:rPr>
                        <w:t xml:space="preserve">διαμορφώθηκε σε 20,2%, ενισχυμένος κατά +350μ.β. σε ετήσια βάση </w:t>
                      </w:r>
                    </w:p>
                    <w:p>
                      <w:pPr>
                        <w:numPr>
                          <w:ilvl w:val="1"/>
                          <w:numId w:val="2"/>
                        </w:numPr>
                        <w:spacing w:before="100"/>
                        <w:rPr>
                          <w:rFonts w:ascii="Aptos" w:hAnsi="Aptos" w:cs="Segoe UI"/>
                          <w:bCs/>
                          <w:sz w:val="20"/>
                          <w:szCs w:val="20"/>
                        </w:rPr>
                      </w:pPr>
                      <w:r>
                        <w:rPr>
                          <w:rFonts w:ascii="Aptos" w:hAnsi="Aptos" w:eastAsia="Calibri" w:cs="Segoe UI"/>
                          <w:bCs/>
                          <w:sz w:val="20"/>
                          <w:szCs w:val="20"/>
                          <w:lang w:eastAsia="el-GR"/>
                        </w:rPr>
                        <w:t>Συμπεριλαμβανομένης της έκδοσης ομολόγων υψηλής εξασφάλισης ύψους €600 εκατ. τον Ιανουάριο 2024, ο</w:t>
                      </w:r>
                      <w:r>
                        <w:rPr>
                          <w:rFonts w:ascii="Aptos" w:hAnsi="Aptos" w:eastAsia="Calibri" w:cs="Segoe UI"/>
                          <w:b/>
                          <w:sz w:val="20"/>
                          <w:szCs w:val="20"/>
                          <w:lang w:eastAsia="el-GR"/>
                        </w:rPr>
                        <w:t xml:space="preserve"> δείκτης MREL </w:t>
                      </w:r>
                      <w:r>
                        <w:rPr>
                          <w:rFonts w:ascii="Aptos" w:hAnsi="Aptos" w:eastAsia="Calibri" w:cs="Segoe UI"/>
                          <w:bCs/>
                          <w:sz w:val="20"/>
                          <w:szCs w:val="20"/>
                          <w:lang w:eastAsia="el-GR"/>
                        </w:rPr>
                        <w:t>του Ομίλου διαμορφώθηκε σε 25,4%, υπερβαίνοντας ήδη την ελάχιστη απαίτηση MREL του Ιανουαρίου 2025 ύψους 25,3%</w:t>
                      </w:r>
                    </w:p>
                    <w:p>
                      <w:pPr>
                        <w:spacing w:before="80"/>
                        <w:rPr>
                          <w:rFonts w:ascii="Aptos" w:hAnsi="Aptos" w:cs="Segoe UI"/>
                          <w:sz w:val="16"/>
                          <w:szCs w:val="16"/>
                        </w:rPr>
                      </w:pPr>
                    </w:p>
                    <w:p>
                      <w:pPr>
                        <w:pStyle w:val="25"/>
                        <w:numPr>
                          <w:ilvl w:val="0"/>
                          <w:numId w:val="2"/>
                        </w:numPr>
                        <w:spacing w:before="60" w:after="0" w:line="276" w:lineRule="auto"/>
                        <w:jc w:val="left"/>
                        <w:rPr>
                          <w:rFonts w:ascii="Aptos" w:hAnsi="Aptos" w:cs="Segoe UI"/>
                          <w:b/>
                          <w:color w:val="007B85"/>
                          <w:sz w:val="20"/>
                          <w:szCs w:val="20"/>
                        </w:rPr>
                      </w:pPr>
                      <w:r>
                        <w:rPr>
                          <w:rFonts w:ascii="Aptos" w:hAnsi="Aptos" w:cs="Segoe UI"/>
                          <w:b/>
                          <w:color w:val="007B85"/>
                          <w:sz w:val="20"/>
                          <w:szCs w:val="20"/>
                        </w:rPr>
                        <w:t>Το επιτυχημένο Πρόγραμμα Μετασχηματισμού μας συνεχίζει να συνιστά συγκριτικό πλεονέκτημα για την ΕΤΕ, λειτουργώντας ως η κινητήρια δύναμη για ταχείες και βιώσιμες αλλαγές</w:t>
                      </w:r>
                    </w:p>
                    <w:p>
                      <w:pPr>
                        <w:numPr>
                          <w:ilvl w:val="1"/>
                          <w:numId w:val="2"/>
                        </w:numPr>
                        <w:spacing w:before="100"/>
                        <w:rPr>
                          <w:rFonts w:ascii="Aptos" w:hAnsi="Aptos" w:eastAsia="Calibri" w:cs="Segoe UI"/>
                          <w:bCs/>
                          <w:sz w:val="20"/>
                          <w:szCs w:val="20"/>
                          <w:lang w:eastAsia="el-GR"/>
                        </w:rPr>
                      </w:pPr>
                      <w:r>
                        <w:rPr>
                          <w:rFonts w:ascii="Aptos" w:hAnsi="Aptos" w:eastAsia="Calibri" w:cs="Segoe UI"/>
                          <w:bCs/>
                          <w:sz w:val="20"/>
                          <w:szCs w:val="20"/>
                          <w:lang w:eastAsia="el-GR"/>
                        </w:rPr>
                        <w:t xml:space="preserve">Ταχεία μετάβαση προς ένα πιο ευέλικτο επιχειρηματικό μοντέλο, ενισχύοντας την </w:t>
                      </w:r>
                      <w:r>
                        <w:rPr>
                          <w:rFonts w:ascii="Aptos" w:hAnsi="Aptos" w:eastAsia="Calibri" w:cs="Segoe UI"/>
                          <w:b/>
                          <w:sz w:val="20"/>
                          <w:szCs w:val="20"/>
                          <w:lang w:eastAsia="el-GR"/>
                        </w:rPr>
                        <w:t xml:space="preserve">εμπορική </w:t>
                      </w:r>
                      <w:r>
                        <w:rPr>
                          <w:rFonts w:ascii="Aptos" w:hAnsi="Aptos" w:eastAsia="Calibri" w:cs="Segoe UI"/>
                          <w:bCs/>
                          <w:sz w:val="20"/>
                          <w:szCs w:val="20"/>
                          <w:lang w:eastAsia="el-GR"/>
                        </w:rPr>
                        <w:t>μας</w:t>
                      </w:r>
                      <w:r>
                        <w:rPr>
                          <w:rFonts w:ascii="Aptos" w:hAnsi="Aptos" w:eastAsia="Calibri" w:cs="Segoe UI"/>
                          <w:b/>
                          <w:sz w:val="20"/>
                          <w:szCs w:val="20"/>
                          <w:lang w:eastAsia="el-GR"/>
                        </w:rPr>
                        <w:t xml:space="preserve"> αποτελεσματικότητα</w:t>
                      </w:r>
                      <w:r>
                        <w:rPr>
                          <w:rFonts w:ascii="Aptos" w:hAnsi="Aptos" w:eastAsia="Calibri" w:cs="Segoe UI"/>
                          <w:bCs/>
                          <w:sz w:val="20"/>
                          <w:szCs w:val="20"/>
                          <w:lang w:eastAsia="el-GR"/>
                        </w:rPr>
                        <w:t xml:space="preserve"> και βελτιώνοντας τη </w:t>
                      </w:r>
                      <w:r>
                        <w:rPr>
                          <w:rFonts w:ascii="Aptos" w:hAnsi="Aptos" w:eastAsia="Calibri" w:cs="Segoe UI"/>
                          <w:b/>
                          <w:sz w:val="20"/>
                          <w:szCs w:val="20"/>
                          <w:lang w:eastAsia="el-GR"/>
                        </w:rPr>
                        <w:t xml:space="preserve">λειτουργική αποδοτικότητά </w:t>
                      </w:r>
                      <w:r>
                        <w:rPr>
                          <w:rFonts w:ascii="Aptos" w:hAnsi="Aptos" w:eastAsia="Calibri" w:cs="Segoe UI"/>
                          <w:bCs/>
                          <w:sz w:val="20"/>
                          <w:szCs w:val="20"/>
                          <w:lang w:eastAsia="el-GR"/>
                        </w:rPr>
                        <w:t xml:space="preserve">μας μέσω της κεντροποίησης και της αυτοματοποίησης των διαδικασιών, </w:t>
                      </w:r>
                      <w:r>
                        <w:rPr>
                          <w:rFonts w:ascii="Aptos" w:hAnsi="Aptos" w:eastAsia="Calibri" w:cs="Segoe UI"/>
                          <w:b/>
                          <w:sz w:val="20"/>
                          <w:szCs w:val="20"/>
                          <w:lang w:eastAsia="el-GR"/>
                        </w:rPr>
                        <w:t>αναβαθμίζοντας παράλληλα τις τεχνολογικές υποδομές</w:t>
                      </w:r>
                      <w:r>
                        <w:t xml:space="preserve"> </w:t>
                      </w:r>
                      <w:r>
                        <w:rPr>
                          <w:rFonts w:ascii="Aptos" w:hAnsi="Aptos" w:eastAsia="Calibri" w:cs="Segoe UI"/>
                          <w:bCs/>
                          <w:sz w:val="20"/>
                          <w:szCs w:val="20"/>
                          <w:lang w:eastAsia="el-GR"/>
                        </w:rPr>
                        <w:t>της Τράπεζας, συμπεριλαμβανομένης της αντικατάστασης του συστήματος Βασικών Τραπεζικών Εργασιών μας, η οποία αναμένεται να ολοκληρωθεί έως το τέλος του 2025</w:t>
                      </w:r>
                    </w:p>
                    <w:p>
                      <w:pPr>
                        <w:numPr>
                          <w:ilvl w:val="1"/>
                          <w:numId w:val="2"/>
                        </w:numPr>
                        <w:spacing w:before="100"/>
                        <w:rPr>
                          <w:rFonts w:ascii="Aptos" w:hAnsi="Aptos" w:eastAsia="Calibri" w:cs="Segoe UI"/>
                          <w:bCs/>
                          <w:sz w:val="20"/>
                          <w:szCs w:val="20"/>
                          <w:lang w:eastAsia="el-GR"/>
                        </w:rPr>
                      </w:pPr>
                      <w:r>
                        <w:rPr>
                          <w:rFonts w:ascii="Aptos" w:hAnsi="Aptos" w:eastAsia="Calibri" w:cs="Segoe UI"/>
                          <w:bCs/>
                          <w:sz w:val="20"/>
                          <w:szCs w:val="20"/>
                          <w:lang w:eastAsia="el-GR"/>
                        </w:rPr>
                        <w:t xml:space="preserve">Ευρεία αναγνώριση της ΕΤΕ για τις </w:t>
                      </w:r>
                      <w:r>
                        <w:rPr>
                          <w:rFonts w:ascii="Aptos" w:hAnsi="Aptos" w:eastAsia="Calibri" w:cs="Segoe UI"/>
                          <w:b/>
                          <w:sz w:val="20"/>
                          <w:szCs w:val="20"/>
                          <w:lang w:eastAsia="el-GR"/>
                        </w:rPr>
                        <w:t>ψηφιακές υπηρεσίες</w:t>
                      </w:r>
                      <w:r>
                        <w:rPr>
                          <w:rFonts w:ascii="Aptos" w:hAnsi="Aptos" w:eastAsia="Calibri" w:cs="Segoe UI"/>
                          <w:bCs/>
                          <w:sz w:val="20"/>
                          <w:szCs w:val="20"/>
                          <w:lang w:eastAsia="el-GR"/>
                        </w:rPr>
                        <w:t xml:space="preserve"> της, γεγονός που επιβεβαιώνουν τα ηγετικά μερίδια αγοράς μας στους μηνιαίους ενεργούς χρήστες (κινητά: 32%, διαδίκτυο: 25%) και τις ψηφιακές πωλήσεις (κάρτες: 41%, καταναλωτικά δάνεια: 32%, ασφάλειες: 55%). Επιπλέον, οι πωλήσεις μέσω ψηφιακών καναλιών αυξήθηκαν σε 1,2 εκατ. τεμάχια το 2023 από 0,8 εκατ. το 2022</w:t>
                      </w:r>
                    </w:p>
                    <w:p>
                      <w:pPr>
                        <w:numPr>
                          <w:ilvl w:val="1"/>
                          <w:numId w:val="2"/>
                        </w:numPr>
                        <w:spacing w:before="100"/>
                        <w:rPr>
                          <w:rFonts w:ascii="Aptos" w:hAnsi="Aptos" w:eastAsia="Calibri" w:cs="Segoe UI"/>
                          <w:b/>
                          <w:sz w:val="20"/>
                          <w:szCs w:val="20"/>
                          <w:lang w:eastAsia="el-GR"/>
                        </w:rPr>
                      </w:pPr>
                      <w:r>
                        <w:rPr>
                          <w:rFonts w:ascii="Aptos" w:hAnsi="Aptos" w:eastAsia="Calibri" w:cs="Segoe UI"/>
                          <w:bCs/>
                          <w:sz w:val="20"/>
                          <w:szCs w:val="20"/>
                          <w:lang w:eastAsia="el-GR"/>
                        </w:rPr>
                        <w:t>Οι φιλόδοξοι στόχοι μας για την επίτευξη μηδενικού καθαρού ισοζυγίου χρηματοδοτούμενων εκπομπών άνθρακα (</w:t>
                      </w:r>
                      <w:r>
                        <w:rPr>
                          <w:rFonts w:ascii="Aptos" w:hAnsi="Aptos" w:eastAsia="Calibri" w:cs="Segoe UI"/>
                          <w:bCs/>
                          <w:sz w:val="20"/>
                          <w:szCs w:val="20"/>
                          <w:lang w:val="en-US" w:eastAsia="el-GR"/>
                        </w:rPr>
                        <w:t>Net</w:t>
                      </w:r>
                      <w:r>
                        <w:rPr>
                          <w:rFonts w:ascii="Aptos" w:hAnsi="Aptos" w:eastAsia="Calibri" w:cs="Segoe UI"/>
                          <w:bCs/>
                          <w:sz w:val="20"/>
                          <w:szCs w:val="20"/>
                          <w:lang w:eastAsia="el-GR"/>
                        </w:rPr>
                        <w:t>-</w:t>
                      </w:r>
                      <w:r>
                        <w:rPr>
                          <w:rFonts w:ascii="Aptos" w:hAnsi="Aptos" w:eastAsia="Calibri" w:cs="Segoe UI"/>
                          <w:bCs/>
                          <w:sz w:val="20"/>
                          <w:szCs w:val="20"/>
                          <w:lang w:val="en-US" w:eastAsia="el-GR"/>
                        </w:rPr>
                        <w:t>Zero</w:t>
                      </w:r>
                      <w:r>
                        <w:rPr>
                          <w:rFonts w:ascii="Aptos" w:hAnsi="Aptos" w:eastAsia="Calibri" w:cs="Segoe UI"/>
                          <w:bCs/>
                          <w:sz w:val="20"/>
                          <w:szCs w:val="20"/>
                          <w:lang w:eastAsia="el-GR"/>
                        </w:rPr>
                        <w:t xml:space="preserve">) υποστηρίζονται από την επιχειρηματική μας στρατηγική για το κλίμα και το περιβάλλον. Η αποτελεσματική εποπτεία και καθοδήγηση επιτεύχθηκε με την </w:t>
                      </w:r>
                      <w:r>
                        <w:rPr>
                          <w:rFonts w:ascii="Aptos" w:hAnsi="Aptos" w:eastAsia="Calibri" w:cs="Segoe UI"/>
                          <w:b/>
                          <w:sz w:val="20"/>
                          <w:szCs w:val="20"/>
                          <w:lang w:eastAsia="el-GR"/>
                        </w:rPr>
                        <w:t>ενίσχυση της διακυβέρνησης ESG</w:t>
                      </w:r>
                      <w:r>
                        <w:rPr>
                          <w:rFonts w:ascii="Aptos" w:hAnsi="Aptos" w:eastAsia="Calibri" w:cs="Segoe UI"/>
                          <w:bCs/>
                          <w:sz w:val="20"/>
                          <w:szCs w:val="20"/>
                          <w:lang w:eastAsia="el-GR"/>
                        </w:rPr>
                        <w:t xml:space="preserve"> σε όλα τα επίπεδα ιεραρχίας και τις γραμμές άμυνας της Τράπεζας, ενώ καταγράψαμε σημαντικές βελτιώσεις στις </w:t>
                      </w:r>
                      <w:r>
                        <w:rPr>
                          <w:rFonts w:ascii="Aptos" w:hAnsi="Aptos" w:eastAsia="Calibri" w:cs="Segoe UI"/>
                          <w:b/>
                          <w:sz w:val="20"/>
                          <w:szCs w:val="20"/>
                          <w:lang w:eastAsia="el-GR"/>
                        </w:rPr>
                        <w:t xml:space="preserve">αξιολογήσεις </w:t>
                      </w:r>
                      <w:r>
                        <w:rPr>
                          <w:rFonts w:ascii="Aptos" w:hAnsi="Aptos" w:eastAsia="Calibri" w:cs="Segoe UI"/>
                          <w:b/>
                          <w:sz w:val="20"/>
                          <w:szCs w:val="20"/>
                          <w:lang w:val="en-US" w:eastAsia="el-GR"/>
                        </w:rPr>
                        <w:t>ESG</w:t>
                      </w:r>
                    </w:p>
                  </w:txbxContent>
                </v:textbox>
              </v:shape>
            </w:pict>
          </mc:Fallback>
        </mc:AlternateContent>
      </w:r>
      <w:r>
        <w:rPr>
          <w:rFonts w:ascii="Aptos" w:hAnsi="Aptos" w:cs="Segoe UI"/>
          <w:i/>
          <w:color w:val="595959"/>
          <w:sz w:val="18"/>
          <w:szCs w:val="20"/>
        </w:rPr>
        <w:br w:type="page"/>
      </w:r>
    </w:p>
    <w:p>
      <w:pPr>
        <w:rPr>
          <w:rFonts w:ascii="Aptos" w:hAnsi="Aptos" w:cs="Segoe UI"/>
          <w:i/>
          <w:color w:val="595959"/>
          <w:sz w:val="18"/>
          <w:szCs w:val="20"/>
        </w:rPr>
      </w:pPr>
      <w:r>
        <w:rPr>
          <w:rFonts w:ascii="Aptos" w:hAnsi="Aptos" w:cs="Segoe UI"/>
          <w:i/>
          <w:color w:val="595959"/>
          <w:sz w:val="20"/>
          <w:szCs w:val="20"/>
          <w:lang w:val="en-US"/>
        </w:rPr>
        <w:drawing>
          <wp:anchor distT="0" distB="0" distL="114300" distR="114300" simplePos="0" relativeHeight="251673600" behindDoc="1" locked="0" layoutInCell="1" allowOverlap="1">
            <wp:simplePos x="0" y="0"/>
            <wp:positionH relativeFrom="margin">
              <wp:align>left</wp:align>
            </wp:positionH>
            <wp:positionV relativeFrom="paragraph">
              <wp:posOffset>140970</wp:posOffset>
            </wp:positionV>
            <wp:extent cx="2113280" cy="2218055"/>
            <wp:effectExtent l="0" t="0" r="127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13280" cy="2218055"/>
                    </a:xfrm>
                    <a:prstGeom prst="rect">
                      <a:avLst/>
                    </a:prstGeom>
                    <a:noFill/>
                    <a:ln>
                      <a:noFill/>
                    </a:ln>
                  </pic:spPr>
                </pic:pic>
              </a:graphicData>
            </a:graphic>
          </wp:anchor>
        </w:drawing>
      </w:r>
    </w:p>
    <w:p>
      <w:pPr>
        <w:rPr>
          <w:rFonts w:ascii="Aptos" w:hAnsi="Aptos" w:cs="Segoe UI"/>
          <w:i/>
          <w:color w:val="003841"/>
          <w:sz w:val="20"/>
          <w:szCs w:val="20"/>
        </w:rPr>
      </w:pPr>
      <w:r>
        <w:rPr>
          <w:rFonts w:ascii="Aptos" w:hAnsi="Aptos" w:cs="Segoe UI"/>
          <w:i/>
          <w:color w:val="003841"/>
          <w:sz w:val="20"/>
          <w:szCs w:val="20"/>
        </w:rPr>
        <w:t>“Το 2023, η οικονομική δραστηριότητα στην Ελλάδα παρέμεινε σε υγιή ανοδική πορεία, παρά το δυσμενές εξωτερικό οικονομικό περιβάλλον και τις περιοριστικές νομισματικές συνθήκες. Η υψηλή αξιοπιστία σε επίπεδο οικονομικής πολιτικής, η ενισχυμένη ανταγωνιστικότητα της ελληνικής οικονομίας --με την προσέλκυση σημαντικών εγχώριων και ξένων επενδύσεων-- και η ώριμη πλέον φάση του επιχειρηματικού κύκλου στη χώρα μας, υποστηρίζουν την αναπτυξιακή υπεραπόδοση της Ελλάδας. Επιπλέον, τα οφέλη από την επιστροφή στην επενδυτική βαθμίδα διαχέονται στις ευρύτερες χρηματοοικονομικές συνθήκες και οδηγούν σε υψηλότερες αποτιμήσεις.</w:t>
      </w:r>
    </w:p>
    <w:p>
      <w:pPr>
        <w:rPr>
          <w:rFonts w:ascii="Aptos" w:hAnsi="Aptos" w:cs="Segoe UI"/>
          <w:i/>
          <w:color w:val="003841"/>
          <w:sz w:val="20"/>
          <w:szCs w:val="20"/>
        </w:rPr>
      </w:pPr>
    </w:p>
    <w:p>
      <w:pPr>
        <w:rPr>
          <w:rFonts w:ascii="Aptos" w:hAnsi="Aptos" w:cs="Segoe UI"/>
          <w:i/>
          <w:color w:val="003841"/>
          <w:sz w:val="20"/>
          <w:szCs w:val="20"/>
        </w:rPr>
      </w:pPr>
      <w:r>
        <w:rPr>
          <w:rFonts w:ascii="Aptos" w:hAnsi="Aptos" w:cs="Segoe UI"/>
          <w:i/>
          <w:color w:val="003841"/>
          <w:sz w:val="20"/>
          <w:szCs w:val="20"/>
          <w:lang w:val="en-US"/>
        </w:rPr>
        <w:drawing>
          <wp:anchor distT="0" distB="0" distL="114300" distR="114300" simplePos="0" relativeHeight="251659264" behindDoc="1" locked="0" layoutInCell="1" allowOverlap="1">
            <wp:simplePos x="0" y="0"/>
            <wp:positionH relativeFrom="margin">
              <wp:align>left</wp:align>
            </wp:positionH>
            <wp:positionV relativeFrom="paragraph">
              <wp:posOffset>525780</wp:posOffset>
            </wp:positionV>
            <wp:extent cx="6459220" cy="720661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12">
                      <a:alphaModFix amt="11000"/>
                      <a:extLst>
                        <a:ext uri="{28A0092B-C50C-407E-A947-70E740481C1C}">
                          <a14:useLocalDpi xmlns:a14="http://schemas.microsoft.com/office/drawing/2010/main" val="0"/>
                        </a:ext>
                      </a:extLst>
                    </a:blip>
                    <a:srcRect/>
                    <a:stretch>
                      <a:fillRect/>
                    </a:stretch>
                  </pic:blipFill>
                  <pic:spPr>
                    <a:xfrm>
                      <a:off x="0" y="0"/>
                      <a:ext cx="6463211" cy="7210895"/>
                    </a:xfrm>
                    <a:prstGeom prst="rect">
                      <a:avLst/>
                    </a:prstGeom>
                    <a:noFill/>
                  </pic:spPr>
                </pic:pic>
              </a:graphicData>
            </a:graphic>
          </wp:anchor>
        </w:drawing>
      </w:r>
      <w:r>
        <w:rPr>
          <w:rFonts w:ascii="Aptos" w:hAnsi="Aptos" w:cs="Segoe UI"/>
          <w:i/>
          <w:color w:val="003841"/>
          <w:sz w:val="20"/>
          <w:szCs w:val="20"/>
        </w:rPr>
        <w:t>Οι σημαντικές τομές που έχουν γίνει στη χώρα μας έθεσαν τις βάσεις για την επιτυχία της διάθεσης του 22% του μετοχικού μας κεφαλαίου από το Ταμείο Χρηματοπιστωτικής Σταθερότητας τον Νοέμβριο, η οποία συνιστά και έμπρακτη αναγνώριση της αξιοπιστίας μας από τους μετόχους μας μετά από τη συνεπή και ακριβή εκτέλεση σειράς φιλόδοξων επιχειρηματικών σχεδίων τα τελευταία πέντε χρόνια, μέσω του Προγράμματος Μετασχηματισμού μας.</w:t>
      </w:r>
    </w:p>
    <w:p>
      <w:pPr>
        <w:rPr>
          <w:rFonts w:ascii="Aptos" w:hAnsi="Aptos" w:cs="Segoe UI"/>
          <w:i/>
          <w:color w:val="003841"/>
          <w:sz w:val="20"/>
          <w:szCs w:val="20"/>
        </w:rPr>
      </w:pPr>
    </w:p>
    <w:p>
      <w:pPr>
        <w:rPr>
          <w:rFonts w:ascii="Aptos" w:hAnsi="Aptos" w:cs="Segoe UI"/>
          <w:i/>
          <w:color w:val="003841"/>
          <w:sz w:val="20"/>
          <w:szCs w:val="20"/>
        </w:rPr>
      </w:pPr>
      <w:r>
        <w:rPr>
          <w:rFonts w:ascii="Aptos" w:hAnsi="Aptos" w:cs="Segoe UI"/>
          <w:i/>
          <w:color w:val="003841"/>
          <w:sz w:val="20"/>
          <w:szCs w:val="20"/>
        </w:rPr>
        <w:t>Πράγματι, καταγράψαμε εντυπωσιακά αποτελέσματα και για το 2023, αξιοποιώντας την αναπτυξιακή δυναμική της Ελλάδας, τα ισχυρά πλεονεκτήματα του ισολογισμού μας και τον επιτυχημένο ψηφιακό και λειτουργικό μετασχηματισμό μας. Ειδικότερα, τα οργανικά κέρδη μετά από φόρους ανήλθαν σε €1,2 δισ. για το 2023, με αποτέλεσμα ο δείκτης απόδοσης ιδίων κεφαλαίων να διαμορφωθεί πάνω από το 18%, υπερβαίνοντας κατά πολύ τον ετήσιο στόχο που είχαμε θέσει για το 2023. Η επίτευξη καλύτερων αποτελεσμάτων ήταν εμφανής σε όλους τους τομείς κερδοφορίας της Τράπεζας. Όσον αφορά την πιστωτική επέκταση, οι εκταμιεύσεις ξεπέρασαν τα €7,5 δισ. σε επίπεδο Ομίλου, με αποτέλεσμα την υγιή αύξηση των υπολοίπων των εξυπηρετούμενων δανείων μας κατά €1,3 δισ. ετησίως, παρά τις υψηλές αποπληρωμές κατά τη διάρκεια του έτους.</w:t>
      </w:r>
    </w:p>
    <w:p>
      <w:pPr>
        <w:rPr>
          <w:rFonts w:ascii="Aptos" w:hAnsi="Aptos" w:cs="Segoe UI"/>
          <w:i/>
          <w:color w:val="003841"/>
          <w:sz w:val="20"/>
          <w:szCs w:val="20"/>
        </w:rPr>
      </w:pPr>
    </w:p>
    <w:p>
      <w:pPr>
        <w:rPr>
          <w:rFonts w:ascii="Aptos" w:hAnsi="Aptos" w:cs="Segoe UI"/>
          <w:i/>
          <w:color w:val="003841"/>
          <w:sz w:val="20"/>
          <w:szCs w:val="20"/>
        </w:rPr>
      </w:pPr>
      <w:r>
        <w:rPr>
          <w:rFonts w:ascii="Aptos" w:hAnsi="Aptos" w:cs="Segoe UI"/>
          <w:i/>
          <w:color w:val="003841"/>
          <w:sz w:val="20"/>
          <w:szCs w:val="20"/>
        </w:rPr>
        <w:t xml:space="preserve">Η ισχυρή κερδοφορία ενδυνάμωσε περαιτέρω τα κεφαλαιακά μας αποθέματα, παρέχοντας στην Τράπεζα σημαντική στρατηγική ευελιξία για το μέλλον. Ο δείκτης </w:t>
      </w:r>
      <w:r>
        <w:rPr>
          <w:rFonts w:ascii="Aptos" w:hAnsi="Aptos" w:cs="Segoe UI"/>
          <w:i/>
          <w:color w:val="003841"/>
          <w:sz w:val="20"/>
          <w:szCs w:val="20"/>
          <w:lang w:val="en-US"/>
        </w:rPr>
        <w:t>CET</w:t>
      </w:r>
      <w:r>
        <w:rPr>
          <w:rFonts w:ascii="Aptos" w:hAnsi="Aptos" w:cs="Segoe UI"/>
          <w:i/>
          <w:color w:val="003841"/>
          <w:sz w:val="20"/>
          <w:szCs w:val="20"/>
        </w:rPr>
        <w:t xml:space="preserve">1 αυξήθηκε κατά +220μ.β. ετησίως μετά την πρόβλεψη για διανομή μερίσματος, και ανήλθε σε 17,8%, στα υψηλότερα επίπεδα του κλάδου, με τον Συνολικό Δείκτη Κεφαλαιακής Επάρκειας να διαμορφώνεται στο 20,2%, ενισχυμένος κατά +350μ.β. σε ετήσια βάση. </w:t>
      </w:r>
    </w:p>
    <w:p>
      <w:pPr>
        <w:rPr>
          <w:rFonts w:ascii="Aptos" w:hAnsi="Aptos" w:cs="Segoe UI"/>
          <w:i/>
          <w:color w:val="003841"/>
          <w:sz w:val="20"/>
          <w:szCs w:val="20"/>
        </w:rPr>
      </w:pPr>
    </w:p>
    <w:p>
      <w:pPr>
        <w:rPr>
          <w:rFonts w:ascii="Aptos" w:hAnsi="Aptos" w:cs="Segoe UI"/>
          <w:i/>
          <w:color w:val="003841"/>
          <w:sz w:val="20"/>
          <w:szCs w:val="22"/>
        </w:rPr>
      </w:pPr>
      <w:r>
        <w:rPr>
          <w:rFonts w:ascii="Aptos" w:hAnsi="Aptos" w:cs="Segoe UI"/>
          <w:i/>
          <w:color w:val="003841"/>
          <w:sz w:val="20"/>
          <w:szCs w:val="20"/>
        </w:rPr>
        <w:t xml:space="preserve">Οι αναπτυξιακοί παράγοντες και οι μεταρρυθμίσεις ενισχύουν τις προοπτικές ανάπτυξης για το 2024 και έπειτα, ενώ η Τράπεζα παραμένει προσηλωμένη στη στήριξη των ισχυρών ρυθμών ανάπτυξης της ελληνικής οικονομίας. Η στρατηγική μας αξιοποιεί </w:t>
      </w:r>
      <w:r>
        <w:rPr>
          <w:rFonts w:ascii="Aptos" w:hAnsi="Aptos" w:cs="Segoe UI"/>
          <w:i/>
          <w:color w:val="003841"/>
          <w:sz w:val="20"/>
          <w:szCs w:val="20"/>
          <w:lang w:val="en-US"/>
        </w:rPr>
        <w:t>i</w:t>
      </w:r>
      <w:r>
        <w:rPr>
          <w:rFonts w:ascii="Aptos" w:hAnsi="Aptos" w:cs="Segoe UI"/>
          <w:i/>
          <w:color w:val="003841"/>
          <w:sz w:val="20"/>
          <w:szCs w:val="20"/>
        </w:rPr>
        <w:t xml:space="preserve">) τις επενδύσεις μας στην τεχνολογία, ώστε να ξεχωρίζουμε για τον ευέλικτο και αποτελεσματικό τρόπο λειτουργίας μας και για την υψηλή ποιότητα στην εμπειρία που προσφέρουμε στους πελάτες μας, και </w:t>
      </w:r>
      <w:r>
        <w:rPr>
          <w:rFonts w:ascii="Aptos" w:hAnsi="Aptos" w:cs="Segoe UI"/>
          <w:i/>
          <w:color w:val="003841"/>
          <w:sz w:val="20"/>
          <w:szCs w:val="20"/>
          <w:lang w:val="en-US"/>
        </w:rPr>
        <w:t>ii</w:t>
      </w:r>
      <w:r>
        <w:rPr>
          <w:rFonts w:ascii="Aptos" w:hAnsi="Aptos" w:cs="Segoe UI"/>
          <w:i/>
          <w:color w:val="003841"/>
          <w:sz w:val="20"/>
          <w:szCs w:val="20"/>
        </w:rPr>
        <w:t>) τους ανθρώπους μας, οι οποίοι συνεχίζουν να κερδίζουν την εμπιστοσύνη των πελατών μας παρέχοντας βέλτιστες υπηρεσίες, με αποτέλεσμα η Εθνική Τράπεζα να αναγνωρίζεται ως η Τράπεζα Πρώτης Επιλογής.”</w:t>
      </w:r>
    </w:p>
    <w:p>
      <w:pPr>
        <w:rPr>
          <w:rFonts w:ascii="Aptos" w:hAnsi="Aptos" w:cs="Segoe UI"/>
          <w:i/>
          <w:color w:val="003841"/>
          <w:sz w:val="20"/>
          <w:szCs w:val="22"/>
        </w:rPr>
      </w:pPr>
    </w:p>
    <w:p>
      <w:pPr>
        <w:jc w:val="right"/>
        <w:rPr>
          <w:rFonts w:ascii="Aptos" w:hAnsi="Aptos" w:cs="Segoe UI"/>
          <w:b/>
          <w:bCs/>
          <w:i/>
          <w:color w:val="003841"/>
          <w:sz w:val="20"/>
          <w:szCs w:val="22"/>
        </w:rPr>
      </w:pPr>
      <w:r>
        <w:rPr>
          <w:rFonts w:ascii="Aptos" w:hAnsi="Aptos" w:cs="Segoe UI"/>
          <w:b/>
          <w:bCs/>
          <w:i/>
          <w:color w:val="003841"/>
          <w:sz w:val="20"/>
          <w:szCs w:val="22"/>
        </w:rPr>
        <w:t>Παύλος Μυλωνάς</w:t>
      </w:r>
    </w:p>
    <w:p>
      <w:pPr>
        <w:jc w:val="right"/>
        <w:rPr>
          <w:rFonts w:ascii="Aptos" w:hAnsi="Aptos" w:cs="Segoe UI"/>
          <w:b/>
          <w:bCs/>
          <w:i/>
          <w:color w:val="003841"/>
          <w:sz w:val="20"/>
          <w:szCs w:val="22"/>
        </w:rPr>
      </w:pPr>
      <w:r>
        <w:rPr>
          <w:rFonts w:ascii="Aptos" w:hAnsi="Aptos" w:cs="Segoe UI"/>
          <w:b/>
          <w:bCs/>
          <w:i/>
          <w:color w:val="003841"/>
          <w:sz w:val="20"/>
          <w:szCs w:val="22"/>
        </w:rPr>
        <w:t xml:space="preserve">Διευθύνων Σύμβουλος ΕΤΕ </w:t>
      </w:r>
    </w:p>
    <w:p>
      <w:pPr>
        <w:jc w:val="right"/>
        <w:rPr>
          <w:rFonts w:ascii="Aptos" w:hAnsi="Aptos" w:cs="Segoe UI"/>
          <w:b/>
          <w:bCs/>
          <w:i/>
          <w:color w:val="003841"/>
          <w:sz w:val="20"/>
          <w:szCs w:val="22"/>
        </w:rPr>
      </w:pPr>
    </w:p>
    <w:p>
      <w:pPr>
        <w:rPr>
          <w:rFonts w:ascii="Aptos" w:hAnsi="Aptos" w:cs="Segoe UI"/>
          <w:b/>
          <w:bCs/>
          <w:i/>
          <w:color w:val="003841"/>
          <w:sz w:val="20"/>
          <w:szCs w:val="22"/>
        </w:rPr>
      </w:pPr>
      <w:r>
        <w:rPr>
          <w:rFonts w:ascii="Aptos" w:hAnsi="Aptos" w:cs="Segoe UI"/>
          <w:b/>
          <w:bCs/>
          <w:i/>
          <w:color w:val="003841"/>
          <w:sz w:val="20"/>
          <w:szCs w:val="22"/>
        </w:rPr>
        <w:br w:type="page"/>
      </w:r>
    </w:p>
    <w:p>
      <w:pPr>
        <w:jc w:val="right"/>
        <w:rPr>
          <w:rFonts w:ascii="Aptos" w:hAnsi="Aptos" w:cs="Segoe UI"/>
          <w:b/>
          <w:color w:val="595959"/>
          <w:sz w:val="16"/>
        </w:rPr>
      </w:pPr>
      <w:r>
        <w:rPr>
          <w:rFonts w:ascii="Segoe UI" w:hAnsi="Segoe UI" w:cs="Segoe UI"/>
          <w:color w:val="595959"/>
          <w:lang w:eastAsia="el-GR"/>
        </w:rPr>
        <mc:AlternateContent>
          <mc:Choice Requires="wps">
            <w:drawing>
              <wp:anchor distT="0" distB="0" distL="114300" distR="114300" simplePos="0" relativeHeight="251691008" behindDoc="0" locked="0" layoutInCell="1" allowOverlap="1">
                <wp:simplePos x="0" y="0"/>
                <wp:positionH relativeFrom="margin">
                  <wp:align>right</wp:align>
                </wp:positionH>
                <wp:positionV relativeFrom="paragraph">
                  <wp:posOffset>-31115</wp:posOffset>
                </wp:positionV>
                <wp:extent cx="6473190" cy="9629775"/>
                <wp:effectExtent l="0" t="0" r="4445" b="9525"/>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6473161" cy="9629775"/>
                        </a:xfrm>
                        <a:prstGeom prst="rect">
                          <a:avLst/>
                        </a:prstGeom>
                        <a:solidFill>
                          <a:srgbClr val="F5F9F6"/>
                        </a:solidFill>
                        <a:ln w="9525">
                          <a:noFill/>
                        </a:ln>
                      </wps:spPr>
                      <wps:txbx>
                        <w:txbxContent>
                          <w:tbl>
                            <w:tblPr>
                              <w:tblStyle w:val="4"/>
                              <w:tblW w:w="9936" w:type="dxa"/>
                              <w:tblInd w:w="0" w:type="dxa"/>
                              <w:tblLayout w:type="fixed"/>
                              <w:tblCellMar>
                                <w:top w:w="0" w:type="dxa"/>
                                <w:left w:w="0" w:type="dxa"/>
                                <w:bottom w:w="0" w:type="dxa"/>
                                <w:right w:w="0" w:type="dxa"/>
                              </w:tblCellMar>
                            </w:tblPr>
                            <w:tblGrid>
                              <w:gridCol w:w="3024"/>
                              <w:gridCol w:w="1152"/>
                              <w:gridCol w:w="1152"/>
                              <w:gridCol w:w="1152"/>
                              <w:gridCol w:w="1152"/>
                              <w:gridCol w:w="1152"/>
                              <w:gridCol w:w="1152"/>
                            </w:tblGrid>
                            <w:tr>
                              <w:tblPrEx>
                                <w:tblCellMar>
                                  <w:top w:w="0" w:type="dxa"/>
                                  <w:left w:w="0" w:type="dxa"/>
                                  <w:bottom w:w="0" w:type="dxa"/>
                                  <w:right w:w="0" w:type="dxa"/>
                                </w:tblCellMar>
                              </w:tblPrEx>
                              <w:trPr>
                                <w:trHeight w:val="288" w:hRule="atLeast"/>
                              </w:trPr>
                              <w:tc>
                                <w:tcPr>
                                  <w:tcW w:w="3024" w:type="dxa"/>
                                  <w:tcBorders>
                                    <w:top w:val="nil"/>
                                    <w:left w:val="nil"/>
                                    <w:bottom w:val="dashSmallGap" w:color="00ADBF" w:sz="4" w:space="0"/>
                                    <w:right w:val="dashSmallGap" w:color="FF7415" w:sz="12" w:space="0"/>
                                  </w:tcBorders>
                                  <w:shd w:val="clear" w:color="auto" w:fill="007B85"/>
                                  <w:tcMar>
                                    <w:top w:w="15" w:type="dxa"/>
                                    <w:left w:w="144" w:type="dxa"/>
                                    <w:bottom w:w="0" w:type="dxa"/>
                                    <w:right w:w="144" w:type="dxa"/>
                                  </w:tcMar>
                                  <w:vAlign w:val="center"/>
                                </w:tcPr>
                                <w:p>
                                  <w:pPr>
                                    <w:rPr>
                                      <w:rFonts w:ascii="Aptos" w:hAnsi="Aptos" w:eastAsia="Times New Roman" w:cs="Arial"/>
                                      <w:b/>
                                      <w:bCs/>
                                      <w:color w:val="FFFFFF" w:themeColor="background1"/>
                                      <w:kern w:val="24"/>
                                      <w:sz w:val="18"/>
                                      <w:szCs w:val="18"/>
                                      <w:lang w:val="en-GB" w:eastAsia="el-GR"/>
                                      <w14:textFill>
                                        <w14:solidFill>
                                          <w14:schemeClr w14:val="bg1"/>
                                        </w14:solidFill>
                                      </w14:textFill>
                                    </w:rPr>
                                  </w:pPr>
                                  <w:r>
                                    <w:rPr>
                                      <w:rFonts w:ascii="Aptos" w:hAnsi="Aptos" w:eastAsia="Times New Roman" w:cs="Arial"/>
                                      <w:b/>
                                      <w:bCs/>
                                      <w:color w:val="FFFFFF" w:themeColor="background1"/>
                                      <w:kern w:val="24"/>
                                      <w:sz w:val="18"/>
                                      <w:szCs w:val="18"/>
                                      <w:lang w:val="en-GB" w:eastAsia="el-GR"/>
                                      <w14:textFill>
                                        <w14:solidFill>
                                          <w14:schemeClr w14:val="bg1"/>
                                        </w14:solidFill>
                                      </w14:textFill>
                                    </w:rPr>
                                    <w:t xml:space="preserve">Κατάσταση Αποτελεσμάτων | </w:t>
                                  </w:r>
                                </w:p>
                                <w:p>
                                  <w:pPr>
                                    <w:rPr>
                                      <w:rFonts w:ascii="Aptos" w:hAnsi="Aptos" w:eastAsia="Times New Roman" w:cs="Arial"/>
                                      <w:color w:val="FFFFFF" w:themeColor="background1"/>
                                      <w:sz w:val="18"/>
                                      <w:szCs w:val="18"/>
                                      <w:lang w:eastAsia="el-GR"/>
                                      <w14:textFill>
                                        <w14:solidFill>
                                          <w14:schemeClr w14:val="bg1"/>
                                        </w14:solidFill>
                                      </w14:textFill>
                                    </w:rPr>
                                  </w:pPr>
                                  <w:r>
                                    <w:rPr>
                                      <w:rFonts w:ascii="Aptos" w:hAnsi="Aptos" w:eastAsia="Times New Roman" w:cs="Arial"/>
                                      <w:b/>
                                      <w:bCs/>
                                      <w:color w:val="FFFFFF" w:themeColor="background1"/>
                                      <w:kern w:val="24"/>
                                      <w:sz w:val="18"/>
                                      <w:szCs w:val="18"/>
                                      <w:lang w:val="en-GB" w:eastAsia="el-GR"/>
                                      <w14:textFill>
                                        <w14:solidFill>
                                          <w14:schemeClr w14:val="bg1"/>
                                        </w14:solidFill>
                                      </w14:textFill>
                                    </w:rPr>
                                    <w:t xml:space="preserve">Όμιλος </w:t>
                                  </w:r>
                                  <w:r>
                                    <w:rPr>
                                      <w:rFonts w:ascii="Aptos" w:hAnsi="Aptos" w:eastAsia="Times New Roman" w:cs="Arial"/>
                                      <w:b/>
                                      <w:bCs/>
                                      <w:color w:val="FFFFFF" w:themeColor="background1"/>
                                      <w:kern w:val="24"/>
                                      <w:sz w:val="18"/>
                                      <w:szCs w:val="18"/>
                                      <w:lang w:val="en-US" w:eastAsia="el-GR"/>
                                      <w14:textFill>
                                        <w14:solidFill>
                                          <w14:schemeClr w14:val="bg1"/>
                                        </w14:solidFill>
                                      </w14:textFill>
                                    </w:rPr>
                                    <w:t>(</w:t>
                                  </w:r>
                                  <w:r>
                                    <w:rPr>
                                      <w:rFonts w:ascii="Aptos" w:hAnsi="Aptos" w:eastAsia="Times New Roman" w:cs="Arial"/>
                                      <w:b/>
                                      <w:bCs/>
                                      <w:color w:val="FFFFFF" w:themeColor="background1"/>
                                      <w:kern w:val="24"/>
                                      <w:sz w:val="18"/>
                                      <w:szCs w:val="18"/>
                                      <w:lang w:val="en-GB" w:eastAsia="el-GR"/>
                                      <w14:textFill>
                                        <w14:solidFill>
                                          <w14:schemeClr w14:val="bg1"/>
                                        </w14:solidFill>
                                      </w14:textFill>
                                    </w:rPr>
                                    <w:t xml:space="preserve">€ </w:t>
                                  </w:r>
                                  <w:r>
                                    <w:rPr>
                                      <w:rFonts w:ascii="Aptos" w:hAnsi="Aptos" w:eastAsia="Times New Roman" w:cs="Arial"/>
                                      <w:b/>
                                      <w:bCs/>
                                      <w:color w:val="FFFFFF" w:themeColor="background1"/>
                                      <w:kern w:val="24"/>
                                      <w:sz w:val="18"/>
                                      <w:szCs w:val="18"/>
                                      <w:lang w:eastAsia="el-GR"/>
                                      <w14:textFill>
                                        <w14:solidFill>
                                          <w14:schemeClr w14:val="bg1"/>
                                        </w14:solidFill>
                                      </w14:textFill>
                                    </w:rPr>
                                    <w:t>εκατ.</w:t>
                                  </w:r>
                                  <w:r>
                                    <w:rPr>
                                      <w:rFonts w:ascii="Aptos" w:hAnsi="Aptos" w:eastAsia="Times New Roman" w:cs="Arial"/>
                                      <w:b/>
                                      <w:bCs/>
                                      <w:color w:val="FFFFFF" w:themeColor="background1"/>
                                      <w:kern w:val="24"/>
                                      <w:sz w:val="18"/>
                                      <w:szCs w:val="18"/>
                                      <w:lang w:val="en-GB" w:eastAsia="el-GR"/>
                                      <w14:textFill>
                                        <w14:solidFill>
                                          <w14:schemeClr w14:val="bg1"/>
                                        </w14:solidFill>
                                      </w14:textFill>
                                    </w:rPr>
                                    <w:t>)</w:t>
                                  </w:r>
                                </w:p>
                              </w:tc>
                              <w:tc>
                                <w:tcPr>
                                  <w:tcW w:w="1152" w:type="dxa"/>
                                  <w:tcBorders>
                                    <w:top w:val="dashSmallGap" w:color="FF7415" w:sz="12" w:space="0"/>
                                    <w:left w:val="dashSmallGap" w:color="FF7415" w:sz="12" w:space="0"/>
                                    <w:bottom w:val="dashSmallGap" w:color="00ADBF" w:sz="4" w:space="0"/>
                                    <w:right w:val="dashSmallGap" w:color="FF7415" w:sz="12" w:space="0"/>
                                  </w:tcBorders>
                                  <w:shd w:val="clear" w:color="auto" w:fill="007B85"/>
                                  <w:tcMar>
                                    <w:top w:w="15" w:type="dxa"/>
                                    <w:left w:w="144" w:type="dxa"/>
                                    <w:bottom w:w="0" w:type="dxa"/>
                                    <w:right w:w="144" w:type="dxa"/>
                                  </w:tcMar>
                                  <w:vAlign w:val="bottom"/>
                                </w:tcPr>
                                <w:p>
                                  <w:pPr>
                                    <w:jc w:val="right"/>
                                    <w:rPr>
                                      <w:rFonts w:ascii="Aptos" w:hAnsi="Aptos" w:eastAsia="Times New Roman" w:cs="Arial"/>
                                      <w:b/>
                                      <w:bCs/>
                                      <w:color w:val="FFFFFF" w:themeColor="background1"/>
                                      <w:kern w:val="24"/>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Οικονομικό Έτος 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dashSmallGap" w:color="FF7415" w:sz="12" w:space="0"/>
                                    <w:bottom w:val="dashSmallGap" w:color="00ADBF" w:sz="4" w:space="0"/>
                                    <w:right w:val="nil"/>
                                  </w:tcBorders>
                                  <w:shd w:val="clear" w:color="auto" w:fill="007B85"/>
                                  <w:tcMar>
                                    <w:top w:w="15" w:type="dxa"/>
                                    <w:left w:w="144" w:type="dxa"/>
                                    <w:bottom w:w="0" w:type="dxa"/>
                                    <w:right w:w="144" w:type="dxa"/>
                                  </w:tcMar>
                                  <w:vAlign w:val="bottom"/>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Οικονομικό Έτος 202</w:t>
                                  </w:r>
                                  <w:r>
                                    <w:rPr>
                                      <w:rFonts w:ascii="Aptos" w:hAnsi="Aptos" w:eastAsia="Times New Roman" w:cs="Arial"/>
                                      <w:b/>
                                      <w:bCs/>
                                      <w:color w:val="FFFFFF" w:themeColor="background1"/>
                                      <w:kern w:val="24"/>
                                      <w:sz w:val="16"/>
                                      <w:szCs w:val="16"/>
                                      <w:lang w:eastAsia="el-GR"/>
                                      <w14:textFill>
                                        <w14:solidFill>
                                          <w14:schemeClr w14:val="bg1"/>
                                        </w14:solidFill>
                                      </w14:textFill>
                                    </w:rPr>
                                    <w:t>2</w:t>
                                  </w:r>
                                </w:p>
                              </w:tc>
                              <w:tc>
                                <w:tcPr>
                                  <w:tcW w:w="1152" w:type="dxa"/>
                                  <w:tcBorders>
                                    <w:top w:val="nil"/>
                                    <w:left w:val="nil"/>
                                    <w:bottom w:val="dashSmallGap" w:color="00ADBF" w:sz="4" w:space="0"/>
                                    <w:right w:val="dashSmallGap" w:color="FF7415" w:sz="12" w:space="0"/>
                                  </w:tcBorders>
                                  <w:shd w:val="clear" w:color="auto" w:fill="007B85"/>
                                  <w:tcMar>
                                    <w:top w:w="15" w:type="dxa"/>
                                    <w:left w:w="144" w:type="dxa"/>
                                    <w:bottom w:w="0" w:type="dxa"/>
                                    <w:right w:w="144" w:type="dxa"/>
                                  </w:tcMar>
                                  <w:vAlign w:val="bottom"/>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 (%)</w:t>
                                  </w:r>
                                </w:p>
                              </w:tc>
                              <w:tc>
                                <w:tcPr>
                                  <w:tcW w:w="1152" w:type="dxa"/>
                                  <w:tcBorders>
                                    <w:top w:val="dashSmallGap" w:color="FF7415" w:sz="12" w:space="0"/>
                                    <w:left w:val="dashSmallGap" w:color="FF7415" w:sz="12" w:space="0"/>
                                    <w:bottom w:val="dashSmallGap" w:color="00ADBF" w:sz="4" w:space="0"/>
                                    <w:right w:val="dashSmallGap" w:color="FF7415" w:sz="12" w:space="0"/>
                                  </w:tcBorders>
                                  <w:shd w:val="clear" w:color="auto" w:fill="007B85"/>
                                  <w:tcMar>
                                    <w:top w:w="15" w:type="dxa"/>
                                    <w:left w:w="144" w:type="dxa"/>
                                    <w:bottom w:w="0" w:type="dxa"/>
                                    <w:right w:w="144" w:type="dxa"/>
                                  </w:tcMar>
                                  <w:vAlign w:val="bottom"/>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w:t>
                                  </w:r>
                                  <w:r>
                                    <w:rPr>
                                      <w:rFonts w:ascii="Aptos" w:hAnsi="Aptos" w:eastAsia="Times New Roman" w:cs="Arial"/>
                                      <w:b/>
                                      <w:bCs/>
                                      <w:color w:val="FFFFFF" w:themeColor="background1"/>
                                      <w:kern w:val="24"/>
                                      <w:sz w:val="16"/>
                                      <w:szCs w:val="16"/>
                                      <w:lang w:eastAsia="el-GR"/>
                                      <w14:textFill>
                                        <w14:solidFill>
                                          <w14:schemeClr w14:val="bg1"/>
                                        </w14:solidFill>
                                      </w14:textFill>
                                    </w:rPr>
                                    <w:t xml:space="preserve">’ </w:t>
                                  </w:r>
                                  <w:r>
                                    <w:rPr>
                                      <w:rFonts w:ascii="Aptos" w:hAnsi="Aptos" w:eastAsia="Times New Roman" w:cs="Arial"/>
                                      <w:b/>
                                      <w:bCs/>
                                      <w:color w:val="FFFFFF" w:themeColor="background1"/>
                                      <w:kern w:val="24"/>
                                      <w:sz w:val="16"/>
                                      <w:szCs w:val="16"/>
                                      <w:lang w:val="en-US" w:eastAsia="el-GR"/>
                                      <w14:textFill>
                                        <w14:solidFill>
                                          <w14:schemeClr w14:val="bg1"/>
                                        </w14:solidFill>
                                      </w14:textFill>
                                    </w:rPr>
                                    <w:t>τρίμηνο 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dashSmallGap" w:color="FF7415" w:sz="12" w:space="0"/>
                                    <w:bottom w:val="dashSmallGap" w:color="00ADBF" w:sz="4" w:space="0"/>
                                    <w:right w:val="nil"/>
                                  </w:tcBorders>
                                  <w:shd w:val="clear" w:color="auto" w:fill="007B85"/>
                                  <w:vAlign w:val="bottom"/>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Γ</w:t>
                                  </w:r>
                                  <w:r>
                                    <w:rPr>
                                      <w:rFonts w:ascii="Aptos" w:hAnsi="Aptos" w:eastAsia="Times New Roman" w:cs="Arial"/>
                                      <w:b/>
                                      <w:bCs/>
                                      <w:color w:val="FFFFFF" w:themeColor="background1"/>
                                      <w:kern w:val="24"/>
                                      <w:sz w:val="16"/>
                                      <w:szCs w:val="16"/>
                                      <w:lang w:eastAsia="el-GR"/>
                                      <w14:textFill>
                                        <w14:solidFill>
                                          <w14:schemeClr w14:val="bg1"/>
                                        </w14:solidFill>
                                      </w14:textFill>
                                    </w:rPr>
                                    <w:t xml:space="preserve">’ </w:t>
                                  </w:r>
                                  <w:r>
                                    <w:rPr>
                                      <w:rFonts w:ascii="Aptos" w:hAnsi="Aptos" w:eastAsia="Times New Roman" w:cs="Arial"/>
                                      <w:b/>
                                      <w:bCs/>
                                      <w:color w:val="FFFFFF" w:themeColor="background1"/>
                                      <w:kern w:val="24"/>
                                      <w:sz w:val="16"/>
                                      <w:szCs w:val="16"/>
                                      <w:lang w:val="en-US" w:eastAsia="el-GR"/>
                                      <w14:textFill>
                                        <w14:solidFill>
                                          <w14:schemeClr w14:val="bg1"/>
                                        </w14:solidFill>
                                      </w14:textFill>
                                    </w:rPr>
                                    <w:t>τρίμηνο</w:t>
                                  </w:r>
                                </w:p>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nil"/>
                                    <w:bottom w:val="dashSmallGap" w:color="00ADBF" w:sz="4" w:space="0"/>
                                    <w:right w:val="nil"/>
                                  </w:tcBorders>
                                  <w:shd w:val="clear" w:color="auto" w:fill="007B85"/>
                                  <w:tcMar>
                                    <w:top w:w="15" w:type="dxa"/>
                                    <w:left w:w="144" w:type="dxa"/>
                                    <w:bottom w:w="0" w:type="dxa"/>
                                    <w:right w:w="144" w:type="dxa"/>
                                  </w:tcMar>
                                  <w:vAlign w:val="bottom"/>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 (%)</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kern w:val="24"/>
                                      <w:sz w:val="16"/>
                                      <w:szCs w:val="16"/>
                                      <w:lang w:val="en-US" w:eastAsia="el-GR"/>
                                    </w:rPr>
                                  </w:pPr>
                                  <w:r>
                                    <w:rPr>
                                      <w:rFonts w:ascii="Aptos" w:hAnsi="Aptos"/>
                                      <w:sz w:val="16"/>
                                      <w:szCs w:val="16"/>
                                    </w:rPr>
                                    <w:t>Καθαρά έσοδα από τόκους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6"/>
                                      <w:szCs w:val="16"/>
                                      <w:lang w:val="en-US" w:eastAsia="el-GR"/>
                                    </w:rPr>
                                  </w:pPr>
                                  <w:r>
                                    <w:rPr>
                                      <w:rFonts w:ascii="Aptos" w:hAnsi="Aptos" w:eastAsia="Times New Roman" w:cs="Arial"/>
                                      <w:kern w:val="24"/>
                                      <w:sz w:val="16"/>
                                      <w:szCs w:val="16"/>
                                      <w:lang w:val="en-US" w:eastAsia="el-GR"/>
                                    </w:rPr>
                                    <w:t>2</w:t>
                                  </w:r>
                                  <w:r>
                                    <w:rPr>
                                      <w:rFonts w:ascii="Aptos" w:hAnsi="Aptos" w:eastAsia="Times New Roman" w:cs="Arial"/>
                                      <w:kern w:val="24"/>
                                      <w:sz w:val="16"/>
                                      <w:szCs w:val="16"/>
                                      <w:lang w:eastAsia="el-GR"/>
                                    </w:rPr>
                                    <w:t>.</w:t>
                                  </w:r>
                                  <w:r>
                                    <w:rPr>
                                      <w:rFonts w:ascii="Aptos" w:hAnsi="Aptos" w:eastAsia="Times New Roman" w:cs="Arial"/>
                                      <w:kern w:val="24"/>
                                      <w:sz w:val="16"/>
                                      <w:szCs w:val="16"/>
                                      <w:lang w:val="en-US" w:eastAsia="el-GR"/>
                                    </w:rPr>
                                    <w:t>263</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6"/>
                                      <w:szCs w:val="16"/>
                                      <w:lang w:val="en-US" w:eastAsia="el-GR"/>
                                    </w:rPr>
                                  </w:pPr>
                                  <w:r>
                                    <w:rPr>
                                      <w:rFonts w:ascii="Aptos" w:hAnsi="Aptos" w:eastAsia="Times New Roman" w:cs="Arial"/>
                                      <w:kern w:val="24"/>
                                      <w:sz w:val="16"/>
                                      <w:szCs w:val="16"/>
                                      <w:lang w:val="en-US" w:eastAsia="el-GR"/>
                                    </w:rPr>
                                    <w:t>1</w:t>
                                  </w:r>
                                  <w:r>
                                    <w:rPr>
                                      <w:rFonts w:ascii="Aptos" w:hAnsi="Aptos" w:eastAsia="Times New Roman" w:cs="Arial"/>
                                      <w:kern w:val="24"/>
                                      <w:sz w:val="16"/>
                                      <w:szCs w:val="16"/>
                                      <w:lang w:eastAsia="el-GR"/>
                                    </w:rPr>
                                    <w:t>.</w:t>
                                  </w:r>
                                  <w:r>
                                    <w:rPr>
                                      <w:rFonts w:ascii="Aptos" w:hAnsi="Aptos" w:eastAsia="Times New Roman" w:cs="Arial"/>
                                      <w:kern w:val="24"/>
                                      <w:sz w:val="16"/>
                                      <w:szCs w:val="16"/>
                                      <w:lang w:val="en-US" w:eastAsia="el-GR"/>
                                    </w:rPr>
                                    <w:t>369</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6"/>
                                      <w:szCs w:val="16"/>
                                      <w:lang w:val="en-US" w:eastAsia="el-GR"/>
                                    </w:rPr>
                                  </w:pPr>
                                  <w:r>
                                    <w:rPr>
                                      <w:rFonts w:ascii="Aptos" w:hAnsi="Aptos" w:eastAsia="Times New Roman" w:cs="Arial"/>
                                      <w:kern w:val="24"/>
                                      <w:sz w:val="16"/>
                                      <w:szCs w:val="16"/>
                                      <w:lang w:val="en-US" w:eastAsia="el-GR"/>
                                    </w:rPr>
                                    <w:t>+65%</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6"/>
                                      <w:szCs w:val="16"/>
                                      <w:lang w:val="en-US" w:eastAsia="el-GR"/>
                                    </w:rPr>
                                  </w:pPr>
                                  <w:r>
                                    <w:rPr>
                                      <w:rFonts w:ascii="Aptos" w:hAnsi="Aptos" w:eastAsia="Times New Roman" w:cs="Arial"/>
                                      <w:kern w:val="24"/>
                                      <w:sz w:val="16"/>
                                      <w:szCs w:val="16"/>
                                      <w:lang w:val="en-US" w:eastAsia="el-GR"/>
                                    </w:rPr>
                                    <w:t>623</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6"/>
                                      <w:szCs w:val="16"/>
                                      <w:lang w:val="en-US" w:eastAsia="el-GR"/>
                                    </w:rPr>
                                  </w:pPr>
                                  <w:r>
                                    <w:rPr>
                                      <w:rFonts w:ascii="Aptos" w:hAnsi="Aptos"/>
                                      <w:sz w:val="16"/>
                                      <w:szCs w:val="16"/>
                                    </w:rPr>
                                    <w:t>588</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5" w:type="dxa"/>
                                    <w:bottom w:w="0" w:type="dxa"/>
                                    <w:right w:w="144" w:type="dxa"/>
                                  </w:tcMar>
                                  <w:vAlign w:val="center"/>
                                </w:tcPr>
                                <w:p>
                                  <w:pPr>
                                    <w:jc w:val="right"/>
                                    <w:rPr>
                                      <w:rFonts w:ascii="Aptos" w:hAnsi="Aptos" w:eastAsia="Times New Roman" w:cs="Arial"/>
                                      <w:kern w:val="24"/>
                                      <w:sz w:val="16"/>
                                      <w:szCs w:val="16"/>
                                      <w:lang w:val="en-US" w:eastAsia="el-GR"/>
                                    </w:rPr>
                                  </w:pPr>
                                  <w:r>
                                    <w:rPr>
                                      <w:rFonts w:ascii="Aptos" w:hAnsi="Aptos" w:eastAsia="Times New Roman" w:cs="Arial"/>
                                      <w:kern w:val="24"/>
                                      <w:sz w:val="16"/>
                                      <w:szCs w:val="16"/>
                                      <w:lang w:eastAsia="el-GR"/>
                                    </w:rPr>
                                    <w:t>+6%</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sz w:val="16"/>
                                      <w:szCs w:val="16"/>
                                      <w:lang w:eastAsia="el-GR"/>
                                    </w:rPr>
                                  </w:pPr>
                                  <w:r>
                                    <w:rPr>
                                      <w:rFonts w:ascii="Aptos" w:hAnsi="Aptos"/>
                                      <w:sz w:val="16"/>
                                      <w:szCs w:val="16"/>
                                    </w:rPr>
                                    <w:t>Καθαρά έσοδα από προμήθειες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382</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347</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+10</w:t>
                                  </w:r>
                                  <w:r>
                                    <w:rPr>
                                      <w:rFonts w:ascii="Aptos" w:hAnsi="Aptos" w:eastAsia="Times New Roman" w:cs="Arial"/>
                                      <w:kern w:val="24"/>
                                      <w:sz w:val="16"/>
                                      <w:szCs w:val="16"/>
                                      <w:lang w:eastAsia="el-GR"/>
                                    </w:rPr>
                                    <w:t>%</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109</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6"/>
                                      <w:szCs w:val="16"/>
                                      <w:lang w:val="en-US" w:eastAsia="el-GR"/>
                                    </w:rPr>
                                  </w:pPr>
                                  <w:r>
                                    <w:rPr>
                                      <w:rFonts w:ascii="Aptos" w:hAnsi="Aptos"/>
                                      <w:sz w:val="16"/>
                                      <w:szCs w:val="16"/>
                                    </w:rPr>
                                    <w:t>95</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5"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+15%</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42" w:type="dxa"/>
                                    <w:bottom w:w="0" w:type="dxa"/>
                                    <w:right w:w="15" w:type="dxa"/>
                                  </w:tcMar>
                                  <w:vAlign w:val="center"/>
                                </w:tcPr>
                                <w:p>
                                  <w:pPr>
                                    <w:textAlignment w:val="center"/>
                                    <w:rPr>
                                      <w:rFonts w:ascii="Aptos" w:hAnsi="Aptos" w:eastAsia="Times New Roman" w:cs="Arial"/>
                                      <w:b/>
                                      <w:bCs/>
                                      <w:sz w:val="16"/>
                                      <w:szCs w:val="16"/>
                                      <w:lang w:eastAsia="el-GR"/>
                                    </w:rPr>
                                  </w:pPr>
                                  <w:r>
                                    <w:rPr>
                                      <w:rFonts w:ascii="Aptos" w:hAnsi="Aptos"/>
                                      <w:b/>
                                      <w:bCs/>
                                      <w:sz w:val="16"/>
                                      <w:szCs w:val="16"/>
                                    </w:rPr>
                                    <w:t>Οργανικά έσοδα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2</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645</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1</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717</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+54%</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732</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vAlign w:val="center"/>
                                </w:tcPr>
                                <w:p>
                                  <w:pPr>
                                    <w:jc w:val="right"/>
                                    <w:rPr>
                                      <w:rFonts w:ascii="Aptos" w:hAnsi="Aptos" w:eastAsia="Times New Roman" w:cs="Arial"/>
                                      <w:b/>
                                      <w:bCs/>
                                      <w:kern w:val="24"/>
                                      <w:sz w:val="16"/>
                                      <w:szCs w:val="16"/>
                                      <w:lang w:eastAsia="el-GR"/>
                                    </w:rPr>
                                  </w:pPr>
                                  <w:r>
                                    <w:rPr>
                                      <w:rFonts w:ascii="Aptos" w:hAnsi="Aptos"/>
                                      <w:b/>
                                      <w:bCs/>
                                      <w:sz w:val="16"/>
                                      <w:szCs w:val="16"/>
                                    </w:rPr>
                                    <w:t>683</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eastAsia="el-GR"/>
                                    </w:rPr>
                                    <w:t>+7</w:t>
                                  </w:r>
                                  <w:r>
                                    <w:rPr>
                                      <w:rFonts w:ascii="Aptos" w:hAnsi="Aptos" w:eastAsia="Times New Roman" w:cs="Arial"/>
                                      <w:b/>
                                      <w:bCs/>
                                      <w:kern w:val="24"/>
                                      <w:sz w:val="16"/>
                                      <w:szCs w:val="16"/>
                                      <w:lang w:val="en-US" w:eastAsia="el-GR"/>
                                    </w:rPr>
                                    <w:t>%</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sz w:val="16"/>
                                      <w:szCs w:val="16"/>
                                    </w:rPr>
                                  </w:pPr>
                                  <w:r>
                                    <w:rPr>
                                      <w:rFonts w:ascii="Aptos" w:hAnsi="Aptos"/>
                                      <w:sz w:val="16"/>
                                      <w:szCs w:val="16"/>
                                    </w:rPr>
                                    <w:t xml:space="preserve">Έσοδα από χρηματοοικονομικές πράξεις </w:t>
                                  </w:r>
                                </w:p>
                                <w:p>
                                  <w:pPr>
                                    <w:textAlignment w:val="center"/>
                                    <w:rPr>
                                      <w:rFonts w:ascii="Aptos" w:hAnsi="Aptos" w:eastAsia="Times New Roman" w:cs="Arial"/>
                                      <w:sz w:val="16"/>
                                      <w:szCs w:val="16"/>
                                      <w:lang w:eastAsia="el-GR"/>
                                    </w:rPr>
                                  </w:pPr>
                                  <w:r>
                                    <w:rPr>
                                      <w:rFonts w:ascii="Aptos" w:hAnsi="Aptos"/>
                                      <w:sz w:val="16"/>
                                      <w:szCs w:val="16"/>
                                    </w:rPr>
                                    <w:t>και λοιπά έσοδα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93</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344</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eastAsia="el-GR"/>
                                    </w:rPr>
                                    <w:t>-</w:t>
                                  </w:r>
                                  <w:r>
                                    <w:rPr>
                                      <w:rFonts w:ascii="Aptos" w:hAnsi="Aptos" w:eastAsia="Times New Roman" w:cs="Arial"/>
                                      <w:kern w:val="24"/>
                                      <w:sz w:val="16"/>
                                      <w:szCs w:val="16"/>
                                      <w:lang w:val="en-US" w:eastAsia="el-GR"/>
                                    </w:rPr>
                                    <w:t>73</w:t>
                                  </w:r>
                                  <w:r>
                                    <w:rPr>
                                      <w:rFonts w:ascii="Aptos" w:hAnsi="Aptos" w:eastAsia="Times New Roman" w:cs="Arial"/>
                                      <w:kern w:val="24"/>
                                      <w:sz w:val="16"/>
                                      <w:szCs w:val="16"/>
                                      <w:lang w:eastAsia="el-GR"/>
                                    </w:rPr>
                                    <w:t>%</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30</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6"/>
                                      <w:szCs w:val="16"/>
                                      <w:lang w:eastAsia="el-GR"/>
                                    </w:rPr>
                                  </w:pPr>
                                  <w:r>
                                    <w:rPr>
                                      <w:rFonts w:ascii="Aptos" w:hAnsi="Aptos"/>
                                      <w:sz w:val="16"/>
                                      <w:szCs w:val="16"/>
                                    </w:rPr>
                                    <w:t>7</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eastAsia="el-GR"/>
                                    </w:rPr>
                                    <w:t>&gt;100%</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b/>
                                      <w:bCs/>
                                      <w:sz w:val="16"/>
                                      <w:szCs w:val="16"/>
                                      <w:lang w:eastAsia="el-GR"/>
                                    </w:rPr>
                                  </w:pPr>
                                  <w:r>
                                    <w:rPr>
                                      <w:rFonts w:ascii="Aptos" w:hAnsi="Aptos"/>
                                      <w:b/>
                                      <w:bCs/>
                                      <w:sz w:val="16"/>
                                      <w:szCs w:val="16"/>
                                    </w:rPr>
                                    <w:t xml:space="preserve">Καθαρά λειτουργικά έσοδα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2</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73</w:t>
                                  </w:r>
                                  <w:r>
                                    <w:rPr>
                                      <w:rFonts w:ascii="Aptos" w:hAnsi="Aptos" w:eastAsia="Times New Roman" w:cs="Arial"/>
                                      <w:b/>
                                      <w:bCs/>
                                      <w:kern w:val="24"/>
                                      <w:sz w:val="16"/>
                                      <w:szCs w:val="16"/>
                                      <w:lang w:eastAsia="el-GR"/>
                                    </w:rPr>
                                    <w:t>9</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2</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060</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+33%</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762</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690</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w:t>
                                  </w:r>
                                  <w:r>
                                    <w:rPr>
                                      <w:rFonts w:ascii="Aptos" w:hAnsi="Aptos" w:eastAsia="Times New Roman" w:cs="Arial"/>
                                      <w:b/>
                                      <w:bCs/>
                                      <w:kern w:val="24"/>
                                      <w:sz w:val="16"/>
                                      <w:szCs w:val="16"/>
                                      <w:lang w:eastAsia="el-GR"/>
                                    </w:rPr>
                                    <w:t>10%</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b/>
                                      <w:bCs/>
                                      <w:sz w:val="16"/>
                                      <w:szCs w:val="16"/>
                                      <w:lang w:eastAsia="el-GR"/>
                                    </w:rPr>
                                  </w:pPr>
                                  <w:r>
                                    <w:rPr>
                                      <w:rFonts w:ascii="Aptos" w:hAnsi="Aptos"/>
                                      <w:b/>
                                      <w:bCs/>
                                      <w:sz w:val="16"/>
                                      <w:szCs w:val="16"/>
                                    </w:rPr>
                                    <w:t>Λειτουργικές δαπάνες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(835)</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(805)</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eastAsia="el-GR"/>
                                    </w:rPr>
                                    <w:t>+</w:t>
                                  </w:r>
                                  <w:r>
                                    <w:rPr>
                                      <w:rFonts w:ascii="Aptos" w:hAnsi="Aptos" w:eastAsia="Times New Roman" w:cs="Arial"/>
                                      <w:kern w:val="24"/>
                                      <w:sz w:val="16"/>
                                      <w:szCs w:val="16"/>
                                      <w:lang w:val="en-US" w:eastAsia="el-GR"/>
                                    </w:rPr>
                                    <w:t>4%</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(234)</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6"/>
                                      <w:szCs w:val="16"/>
                                      <w:lang w:val="en-US" w:eastAsia="el-GR"/>
                                    </w:rPr>
                                  </w:pPr>
                                  <w:r>
                                    <w:rPr>
                                      <w:rFonts w:ascii="Aptos" w:hAnsi="Aptos"/>
                                      <w:sz w:val="16"/>
                                      <w:szCs w:val="16"/>
                                    </w:rPr>
                                    <w:t>(202)</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w:t>
                                  </w:r>
                                  <w:r>
                                    <w:rPr>
                                      <w:rFonts w:ascii="Aptos" w:hAnsi="Aptos" w:eastAsia="Times New Roman" w:cs="Arial"/>
                                      <w:kern w:val="24"/>
                                      <w:sz w:val="16"/>
                                      <w:szCs w:val="16"/>
                                      <w:lang w:eastAsia="el-GR"/>
                                    </w:rPr>
                                    <w:t>1</w:t>
                                  </w:r>
                                  <w:r>
                                    <w:rPr>
                                      <w:rFonts w:ascii="Aptos" w:hAnsi="Aptos" w:eastAsia="Times New Roman" w:cs="Arial"/>
                                      <w:kern w:val="24"/>
                                      <w:sz w:val="16"/>
                                      <w:szCs w:val="16"/>
                                      <w:lang w:val="en-US" w:eastAsia="el-GR"/>
                                    </w:rPr>
                                    <w:t>6</w:t>
                                  </w:r>
                                  <w:r>
                                    <w:rPr>
                                      <w:rFonts w:ascii="Aptos" w:hAnsi="Aptos" w:eastAsia="Times New Roman" w:cs="Arial"/>
                                      <w:kern w:val="24"/>
                                      <w:sz w:val="16"/>
                                      <w:szCs w:val="16"/>
                                      <w:lang w:eastAsia="el-GR"/>
                                    </w:rPr>
                                    <w:t>%</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b/>
                                      <w:bCs/>
                                      <w:sz w:val="16"/>
                                      <w:szCs w:val="16"/>
                                      <w:lang w:eastAsia="el-GR"/>
                                    </w:rPr>
                                  </w:pPr>
                                  <w:r>
                                    <w:rPr>
                                      <w:rFonts w:ascii="Aptos" w:hAnsi="Aptos"/>
                                      <w:b/>
                                      <w:bCs/>
                                      <w:sz w:val="16"/>
                                      <w:szCs w:val="16"/>
                                    </w:rPr>
                                    <w:t xml:space="preserve">Οργανικά κέρδη / (ζημίες) προ προβλέψεων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1</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810</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912</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9</w:t>
                                  </w:r>
                                  <w:r>
                                    <w:rPr>
                                      <w:rFonts w:ascii="Aptos" w:hAnsi="Aptos" w:eastAsia="Times New Roman" w:cs="Arial"/>
                                      <w:b/>
                                      <w:bCs/>
                                      <w:kern w:val="24"/>
                                      <w:sz w:val="16"/>
                                      <w:szCs w:val="16"/>
                                      <w:lang w:eastAsia="el-GR"/>
                                    </w:rPr>
                                    <w:t>9</w:t>
                                  </w:r>
                                  <w:r>
                                    <w:rPr>
                                      <w:rFonts w:ascii="Aptos" w:hAnsi="Aptos" w:eastAsia="Times New Roman" w:cs="Arial"/>
                                      <w:b/>
                                      <w:bCs/>
                                      <w:kern w:val="24"/>
                                      <w:sz w:val="16"/>
                                      <w:szCs w:val="16"/>
                                      <w:lang w:val="en-US" w:eastAsia="el-GR"/>
                                    </w:rPr>
                                    <w:t>%</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499</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481</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w:t>
                                  </w:r>
                                  <w:r>
                                    <w:rPr>
                                      <w:rFonts w:ascii="Aptos" w:hAnsi="Aptos" w:eastAsia="Times New Roman" w:cs="Arial"/>
                                      <w:b/>
                                      <w:bCs/>
                                      <w:kern w:val="24"/>
                                      <w:sz w:val="16"/>
                                      <w:szCs w:val="16"/>
                                      <w:lang w:eastAsia="el-GR"/>
                                    </w:rPr>
                                    <w:t>4</w:t>
                                  </w:r>
                                  <w:r>
                                    <w:rPr>
                                      <w:rFonts w:ascii="Aptos" w:hAnsi="Aptos" w:eastAsia="Times New Roman" w:cs="Arial"/>
                                      <w:b/>
                                      <w:bCs/>
                                      <w:kern w:val="24"/>
                                      <w:sz w:val="16"/>
                                      <w:szCs w:val="16"/>
                                      <w:lang w:val="en-US" w:eastAsia="el-GR"/>
                                    </w:rPr>
                                    <w:t>%</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b/>
                                      <w:bCs/>
                                      <w:sz w:val="16"/>
                                      <w:szCs w:val="16"/>
                                      <w:lang w:eastAsia="el-GR"/>
                                    </w:rPr>
                                  </w:pPr>
                                  <w:r>
                                    <w:rPr>
                                      <w:rFonts w:ascii="Aptos" w:hAnsi="Aptos"/>
                                      <w:b/>
                                      <w:bCs/>
                                      <w:sz w:val="16"/>
                                      <w:szCs w:val="16"/>
                                    </w:rPr>
                                    <w:t>Κέρδη / (ζημίες) προ προβλέψεων</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1</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903</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1</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255</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+52%</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529</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488</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w:t>
                                  </w:r>
                                  <w:r>
                                    <w:rPr>
                                      <w:rFonts w:ascii="Aptos" w:hAnsi="Aptos" w:eastAsia="Times New Roman" w:cs="Arial"/>
                                      <w:b/>
                                      <w:bCs/>
                                      <w:kern w:val="24"/>
                                      <w:sz w:val="16"/>
                                      <w:szCs w:val="16"/>
                                      <w:lang w:eastAsia="el-GR"/>
                                    </w:rPr>
                                    <w:t>8</w:t>
                                  </w:r>
                                  <w:r>
                                    <w:rPr>
                                      <w:rFonts w:ascii="Aptos" w:hAnsi="Aptos" w:eastAsia="Times New Roman" w:cs="Arial"/>
                                      <w:b/>
                                      <w:bCs/>
                                      <w:kern w:val="24"/>
                                      <w:sz w:val="16"/>
                                      <w:szCs w:val="16"/>
                                      <w:lang w:val="en-US" w:eastAsia="el-GR"/>
                                    </w:rPr>
                                    <w:t>%</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sz w:val="16"/>
                                      <w:szCs w:val="16"/>
                                      <w:lang w:eastAsia="el-GR"/>
                                    </w:rPr>
                                  </w:pPr>
                                  <w:r>
                                    <w:rPr>
                                      <w:rFonts w:ascii="Aptos" w:hAnsi="Aptos"/>
                                      <w:sz w:val="16"/>
                                      <w:szCs w:val="16"/>
                                    </w:rPr>
                                    <w:t>Προβλέψεις για επισφαλή δάνεια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(2</w:t>
                                  </w:r>
                                  <w:r>
                                    <w:rPr>
                                      <w:rFonts w:ascii="Aptos" w:hAnsi="Aptos" w:eastAsia="Times New Roman" w:cs="Arial"/>
                                      <w:kern w:val="24"/>
                                      <w:sz w:val="16"/>
                                      <w:szCs w:val="16"/>
                                      <w:lang w:eastAsia="el-GR"/>
                                    </w:rPr>
                                    <w:t>41</w:t>
                                  </w:r>
                                  <w:r>
                                    <w:rPr>
                                      <w:rFonts w:ascii="Aptos" w:hAnsi="Aptos" w:eastAsia="Times New Roman" w:cs="Arial"/>
                                      <w:kern w:val="24"/>
                                      <w:sz w:val="16"/>
                                      <w:szCs w:val="16"/>
                                      <w:lang w:val="en-US" w:eastAsia="el-GR"/>
                                    </w:rPr>
                                    <w:t>)</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(280)</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eastAsia="el-GR"/>
                                    </w:rPr>
                                    <w:t>-14</w:t>
                                  </w:r>
                                  <w:r>
                                    <w:rPr>
                                      <w:rFonts w:ascii="Aptos" w:hAnsi="Aptos" w:eastAsia="Times New Roman" w:cs="Arial"/>
                                      <w:kern w:val="24"/>
                                      <w:sz w:val="16"/>
                                      <w:szCs w:val="16"/>
                                      <w:lang w:val="en-US" w:eastAsia="el-GR"/>
                                    </w:rPr>
                                    <w:t>%</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(66)</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6"/>
                                      <w:szCs w:val="16"/>
                                      <w:lang w:eastAsia="el-GR"/>
                                    </w:rPr>
                                  </w:pPr>
                                  <w:r>
                                    <w:rPr>
                                      <w:rFonts w:ascii="Aptos" w:hAnsi="Aptos"/>
                                      <w:sz w:val="16"/>
                                      <w:szCs w:val="16"/>
                                    </w:rPr>
                                    <w:t>(54)</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eastAsia="el-GR"/>
                                    </w:rPr>
                                    <w:t>+</w:t>
                                  </w:r>
                                  <w:r>
                                    <w:rPr>
                                      <w:rFonts w:ascii="Aptos" w:hAnsi="Aptos" w:eastAsia="Times New Roman" w:cs="Arial"/>
                                      <w:kern w:val="24"/>
                                      <w:sz w:val="16"/>
                                      <w:szCs w:val="16"/>
                                      <w:lang w:val="en-US" w:eastAsia="el-GR"/>
                                    </w:rPr>
                                    <w:t>22</w:t>
                                  </w:r>
                                  <w:r>
                                    <w:rPr>
                                      <w:rFonts w:ascii="Aptos" w:hAnsi="Aptos" w:eastAsia="Times New Roman" w:cs="Arial"/>
                                      <w:kern w:val="24"/>
                                      <w:sz w:val="16"/>
                                      <w:szCs w:val="16"/>
                                      <w:lang w:eastAsia="el-GR"/>
                                    </w:rPr>
                                    <w:t>%</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b/>
                                      <w:bCs/>
                                      <w:sz w:val="16"/>
                                      <w:szCs w:val="16"/>
                                      <w:lang w:eastAsia="el-GR"/>
                                    </w:rPr>
                                  </w:pPr>
                                  <w:r>
                                    <w:rPr>
                                      <w:rFonts w:ascii="Aptos" w:hAnsi="Aptos"/>
                                      <w:b/>
                                      <w:bCs/>
                                      <w:sz w:val="16"/>
                                      <w:szCs w:val="16"/>
                                    </w:rPr>
                                    <w:t>Οργανικά κέρδη / (ζημίες)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1</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5</w:t>
                                  </w:r>
                                  <w:r>
                                    <w:rPr>
                                      <w:rFonts w:ascii="Aptos" w:hAnsi="Aptos" w:eastAsia="Times New Roman" w:cs="Arial"/>
                                      <w:b/>
                                      <w:bCs/>
                                      <w:kern w:val="24"/>
                                      <w:sz w:val="16"/>
                                      <w:szCs w:val="16"/>
                                      <w:lang w:eastAsia="el-GR"/>
                                    </w:rPr>
                                    <w:t>69</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632</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&gt;100%</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eastAsia="el-GR"/>
                                    </w:rPr>
                                    <w:t>4</w:t>
                                  </w:r>
                                  <w:r>
                                    <w:rPr>
                                      <w:rFonts w:ascii="Aptos" w:hAnsi="Aptos" w:eastAsia="Times New Roman" w:cs="Arial"/>
                                      <w:b/>
                                      <w:bCs/>
                                      <w:kern w:val="24"/>
                                      <w:sz w:val="16"/>
                                      <w:szCs w:val="16"/>
                                      <w:lang w:val="en-US" w:eastAsia="el-GR"/>
                                    </w:rPr>
                                    <w:t>33</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427</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+1%</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b/>
                                      <w:bCs/>
                                      <w:sz w:val="16"/>
                                      <w:szCs w:val="16"/>
                                      <w:lang w:eastAsia="el-GR"/>
                                    </w:rPr>
                                  </w:pPr>
                                  <w:r>
                                    <w:rPr>
                                      <w:rFonts w:ascii="Aptos" w:hAnsi="Aptos"/>
                                      <w:b/>
                                      <w:bCs/>
                                      <w:sz w:val="16"/>
                                      <w:szCs w:val="16"/>
                                    </w:rPr>
                                    <w:t>Λειτουργικά κέρδη / (ζημίες)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1</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66</w:t>
                                  </w:r>
                                  <w:r>
                                    <w:rPr>
                                      <w:rFonts w:ascii="Aptos" w:hAnsi="Aptos" w:eastAsia="Times New Roman" w:cs="Arial"/>
                                      <w:b/>
                                      <w:bCs/>
                                      <w:kern w:val="24"/>
                                      <w:sz w:val="16"/>
                                      <w:szCs w:val="16"/>
                                      <w:lang w:eastAsia="el-GR"/>
                                    </w:rPr>
                                    <w:t>2</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975</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7</w:t>
                                  </w:r>
                                  <w:r>
                                    <w:rPr>
                                      <w:rFonts w:ascii="Aptos" w:hAnsi="Aptos" w:eastAsia="Times New Roman" w:cs="Arial"/>
                                      <w:b/>
                                      <w:bCs/>
                                      <w:kern w:val="24"/>
                                      <w:sz w:val="16"/>
                                      <w:szCs w:val="16"/>
                                      <w:lang w:eastAsia="el-GR"/>
                                    </w:rPr>
                                    <w:t>1%</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eastAsia="el-GR"/>
                                    </w:rPr>
                                    <w:t>4</w:t>
                                  </w:r>
                                  <w:r>
                                    <w:rPr>
                                      <w:rFonts w:ascii="Aptos" w:hAnsi="Aptos" w:eastAsia="Times New Roman" w:cs="Arial"/>
                                      <w:b/>
                                      <w:bCs/>
                                      <w:kern w:val="24"/>
                                      <w:sz w:val="16"/>
                                      <w:szCs w:val="16"/>
                                      <w:lang w:val="en-US" w:eastAsia="el-GR"/>
                                    </w:rPr>
                                    <w:t>63</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434</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w:t>
                                  </w:r>
                                  <w:r>
                                    <w:rPr>
                                      <w:rFonts w:ascii="Aptos" w:hAnsi="Aptos" w:eastAsia="Times New Roman" w:cs="Arial"/>
                                      <w:b/>
                                      <w:bCs/>
                                      <w:kern w:val="24"/>
                                      <w:sz w:val="16"/>
                                      <w:szCs w:val="16"/>
                                      <w:lang w:eastAsia="el-GR"/>
                                    </w:rPr>
                                    <w:t>7</w:t>
                                  </w:r>
                                  <w:r>
                                    <w:rPr>
                                      <w:rFonts w:ascii="Aptos" w:hAnsi="Aptos" w:eastAsia="Times New Roman" w:cs="Arial"/>
                                      <w:b/>
                                      <w:bCs/>
                                      <w:kern w:val="24"/>
                                      <w:sz w:val="16"/>
                                      <w:szCs w:val="16"/>
                                      <w:lang w:val="en-US" w:eastAsia="el-GR"/>
                                    </w:rPr>
                                    <w:t>%</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sz w:val="16"/>
                                      <w:szCs w:val="16"/>
                                      <w:lang w:eastAsia="el-GR"/>
                                    </w:rPr>
                                  </w:pPr>
                                  <w:r>
                                    <w:rPr>
                                      <w:rFonts w:ascii="Aptos" w:hAnsi="Aptos"/>
                                      <w:sz w:val="16"/>
                                      <w:szCs w:val="16"/>
                                    </w:rPr>
                                    <w:t xml:space="preserve">Φόροι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(37</w:t>
                                  </w:r>
                                  <w:r>
                                    <w:rPr>
                                      <w:rFonts w:ascii="Aptos" w:hAnsi="Aptos" w:eastAsia="Times New Roman" w:cs="Arial"/>
                                      <w:kern w:val="24"/>
                                      <w:sz w:val="16"/>
                                      <w:szCs w:val="16"/>
                                      <w:lang w:eastAsia="el-GR"/>
                                    </w:rPr>
                                    <w:t>0</w:t>
                                  </w:r>
                                  <w:r>
                                    <w:rPr>
                                      <w:rFonts w:ascii="Aptos" w:hAnsi="Aptos" w:eastAsia="Times New Roman" w:cs="Arial"/>
                                      <w:kern w:val="24"/>
                                      <w:sz w:val="16"/>
                                      <w:szCs w:val="16"/>
                                      <w:lang w:val="en-US" w:eastAsia="el-GR"/>
                                    </w:rPr>
                                    <w:t>)</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(157)</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&gt;100%</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(88)</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6"/>
                                      <w:szCs w:val="16"/>
                                      <w:lang w:eastAsia="el-GR"/>
                                    </w:rPr>
                                  </w:pPr>
                                  <w:r>
                                    <w:rPr>
                                      <w:rFonts w:ascii="Aptos" w:hAnsi="Aptos"/>
                                      <w:sz w:val="16"/>
                                      <w:szCs w:val="16"/>
                                    </w:rPr>
                                    <w:t>(81)</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eastAsia="el-GR"/>
                                    </w:rPr>
                                    <w:t>+</w:t>
                                  </w:r>
                                  <w:r>
                                    <w:rPr>
                                      <w:rFonts w:ascii="Aptos" w:hAnsi="Aptos" w:eastAsia="Times New Roman" w:cs="Arial"/>
                                      <w:kern w:val="24"/>
                                      <w:sz w:val="16"/>
                                      <w:szCs w:val="16"/>
                                      <w:lang w:val="en-US" w:eastAsia="el-GR"/>
                                    </w:rPr>
                                    <w:t>8%</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42" w:type="dxa"/>
                                    <w:bottom w:w="0" w:type="dxa"/>
                                    <w:right w:w="15" w:type="dxa"/>
                                  </w:tcMar>
                                  <w:vAlign w:val="center"/>
                                </w:tcPr>
                                <w:p>
                                  <w:pPr>
                                    <w:textAlignment w:val="center"/>
                                    <w:rPr>
                                      <w:rFonts w:ascii="Aptos" w:hAnsi="Aptos" w:eastAsia="Times New Roman" w:cs="Arial"/>
                                      <w:b/>
                                      <w:bCs/>
                                      <w:sz w:val="16"/>
                                      <w:szCs w:val="16"/>
                                      <w:lang w:eastAsia="el-GR"/>
                                    </w:rPr>
                                  </w:pPr>
                                  <w:r>
                                    <w:rPr>
                                      <w:rFonts w:ascii="Aptos" w:hAnsi="Aptos"/>
                                      <w:b/>
                                      <w:bCs/>
                                      <w:sz w:val="16"/>
                                      <w:szCs w:val="16"/>
                                    </w:rPr>
                                    <w:t>Οργανικά κέρδη / (ζημίες) μετά από φόρους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1</w:t>
                                  </w:r>
                                  <w:r>
                                    <w:rPr>
                                      <w:rFonts w:ascii="Aptos" w:hAnsi="Aptos" w:eastAsia="Times New Roman" w:cs="Arial"/>
                                      <w:b/>
                                      <w:bCs/>
                                      <w:kern w:val="24"/>
                                      <w:sz w:val="16"/>
                                      <w:szCs w:val="16"/>
                                      <w:lang w:eastAsia="el-GR"/>
                                    </w:rPr>
                                    <w:t>.200</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474</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&gt;100%</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eastAsia="el-GR"/>
                                    </w:rPr>
                                    <w:t>3</w:t>
                                  </w:r>
                                  <w:r>
                                    <w:rPr>
                                      <w:rFonts w:ascii="Aptos" w:hAnsi="Aptos" w:eastAsia="Times New Roman" w:cs="Arial"/>
                                      <w:b/>
                                      <w:bCs/>
                                      <w:kern w:val="24"/>
                                      <w:sz w:val="16"/>
                                      <w:szCs w:val="16"/>
                                      <w:lang w:val="en-US" w:eastAsia="el-GR"/>
                                    </w:rPr>
                                    <w:t>45</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vAlign w:val="center"/>
                                </w:tcPr>
                                <w:p>
                                  <w:pPr>
                                    <w:jc w:val="right"/>
                                    <w:rPr>
                                      <w:rFonts w:ascii="Aptos" w:hAnsi="Aptos" w:eastAsia="Times New Roman" w:cs="Arial"/>
                                      <w:b/>
                                      <w:bCs/>
                                      <w:kern w:val="24"/>
                                      <w:sz w:val="16"/>
                                      <w:szCs w:val="16"/>
                                      <w:lang w:eastAsia="el-GR"/>
                                    </w:rPr>
                                  </w:pPr>
                                  <w:r>
                                    <w:rPr>
                                      <w:rFonts w:ascii="Aptos" w:hAnsi="Aptos"/>
                                      <w:b/>
                                      <w:bCs/>
                                      <w:sz w:val="16"/>
                                      <w:szCs w:val="16"/>
                                    </w:rPr>
                                    <w:t>346</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0%</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b/>
                                      <w:bCs/>
                                      <w:sz w:val="16"/>
                                      <w:szCs w:val="16"/>
                                      <w:lang w:eastAsia="el-GR"/>
                                    </w:rPr>
                                  </w:pPr>
                                  <w:r>
                                    <w:rPr>
                                      <w:rFonts w:ascii="Aptos" w:hAnsi="Aptos"/>
                                      <w:b/>
                                      <w:bCs/>
                                      <w:sz w:val="16"/>
                                      <w:szCs w:val="16"/>
                                    </w:rPr>
                                    <w:t>Κέρδη / (ζημίες) μετά από φόρους που αναλογούν στους μετόχους της Τράπεζας</w:t>
                                  </w:r>
                                </w:p>
                              </w:tc>
                              <w:tc>
                                <w:tcPr>
                                  <w:tcW w:w="1152" w:type="dxa"/>
                                  <w:tcBorders>
                                    <w:top w:val="dashSmallGap" w:color="00ADBF" w:sz="4" w:space="0"/>
                                    <w:left w:val="dashSmallGap" w:color="FF7415" w:sz="12" w:space="0"/>
                                    <w:bottom w:val="dashSmallGap" w:color="FF7415" w:sz="12"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1</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1</w:t>
                                  </w:r>
                                  <w:r>
                                    <w:rPr>
                                      <w:rFonts w:ascii="Aptos" w:hAnsi="Aptos" w:eastAsia="Times New Roman" w:cs="Arial"/>
                                      <w:b/>
                                      <w:bCs/>
                                      <w:kern w:val="24"/>
                                      <w:sz w:val="16"/>
                                      <w:szCs w:val="16"/>
                                      <w:lang w:eastAsia="el-GR"/>
                                    </w:rPr>
                                    <w:t>06</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1</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120</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 xml:space="preserve"> -1%</w:t>
                                  </w:r>
                                </w:p>
                              </w:tc>
                              <w:tc>
                                <w:tcPr>
                                  <w:tcW w:w="1152" w:type="dxa"/>
                                  <w:tcBorders>
                                    <w:top w:val="dashSmallGap" w:color="00ADBF" w:sz="4" w:space="0"/>
                                    <w:left w:val="dashSmallGap" w:color="FF7415" w:sz="12" w:space="0"/>
                                    <w:bottom w:val="dashSmallGap" w:color="FF7415" w:sz="12"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315</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val="en-US" w:eastAsia="el-GR"/>
                                    </w:rPr>
                                  </w:pPr>
                                  <w:r>
                                    <w:rPr>
                                      <w:rFonts w:ascii="Aptos" w:hAnsi="Aptos" w:eastAsia="Times New Roman" w:cs="Arial"/>
                                      <w:b/>
                                      <w:bCs/>
                                      <w:kern w:val="24"/>
                                      <w:sz w:val="16"/>
                                      <w:szCs w:val="16"/>
                                      <w:lang w:val="en-US" w:eastAsia="el-GR"/>
                                    </w:rPr>
                                    <w:t>261</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eastAsia="el-GR"/>
                                    </w:rPr>
                                    <w:t>+2</w:t>
                                  </w:r>
                                  <w:r>
                                    <w:rPr>
                                      <w:rFonts w:ascii="Aptos" w:hAnsi="Aptos" w:eastAsia="Times New Roman" w:cs="Arial"/>
                                      <w:b/>
                                      <w:bCs/>
                                      <w:kern w:val="24"/>
                                      <w:sz w:val="16"/>
                                      <w:szCs w:val="16"/>
                                      <w:lang w:val="en-US" w:eastAsia="el-GR"/>
                                    </w:rPr>
                                    <w:t>0</w:t>
                                  </w:r>
                                  <w:r>
                                    <w:rPr>
                                      <w:rFonts w:ascii="Aptos" w:hAnsi="Aptos" w:eastAsia="Times New Roman" w:cs="Arial"/>
                                      <w:b/>
                                      <w:bCs/>
                                      <w:kern w:val="24"/>
                                      <w:sz w:val="16"/>
                                      <w:szCs w:val="16"/>
                                      <w:lang w:eastAsia="el-GR"/>
                                    </w:rPr>
                                    <w:t>%</w:t>
                                  </w:r>
                                </w:p>
                              </w:tc>
                            </w:tr>
                          </w:tbl>
                          <w:p>
                            <w:pPr>
                              <w:jc w:val="both"/>
                              <w:rPr>
                                <w:rFonts w:ascii="Aptos" w:hAnsi="Aptos" w:cs="Segoe UI"/>
                                <w:b/>
                                <w:color w:val="595959"/>
                                <w:sz w:val="20"/>
                                <w:szCs w:val="20"/>
                              </w:rPr>
                            </w:pPr>
                          </w:p>
                          <w:tbl>
                            <w:tblPr>
                              <w:tblStyle w:val="4"/>
                              <w:tblW w:w="9936" w:type="dxa"/>
                              <w:tblInd w:w="0" w:type="dxa"/>
                              <w:tblLayout w:type="autofit"/>
                              <w:tblCellMar>
                                <w:top w:w="0" w:type="dxa"/>
                                <w:left w:w="0" w:type="dxa"/>
                                <w:bottom w:w="0" w:type="dxa"/>
                                <w:right w:w="0" w:type="dxa"/>
                              </w:tblCellMar>
                            </w:tblPr>
                            <w:tblGrid>
                              <w:gridCol w:w="3024"/>
                              <w:gridCol w:w="1152"/>
                              <w:gridCol w:w="1152"/>
                              <w:gridCol w:w="1152"/>
                              <w:gridCol w:w="1152"/>
                              <w:gridCol w:w="1152"/>
                              <w:gridCol w:w="1152"/>
                            </w:tblGrid>
                            <w:tr>
                              <w:tblPrEx>
                                <w:tblCellMar>
                                  <w:top w:w="0" w:type="dxa"/>
                                  <w:left w:w="0" w:type="dxa"/>
                                  <w:bottom w:w="0" w:type="dxa"/>
                                  <w:right w:w="0" w:type="dxa"/>
                                </w:tblCellMar>
                              </w:tblPrEx>
                              <w:trPr>
                                <w:trHeight w:val="288" w:hRule="atLeast"/>
                              </w:trPr>
                              <w:tc>
                                <w:tcPr>
                                  <w:tcW w:w="3024" w:type="dxa"/>
                                  <w:tcBorders>
                                    <w:top w:val="nil"/>
                                    <w:left w:val="nil"/>
                                    <w:bottom w:val="dashSmallGap" w:color="00ADBF" w:sz="4" w:space="0"/>
                                    <w:right w:val="dashSmallGap" w:color="FF7415" w:sz="12" w:space="0"/>
                                  </w:tcBorders>
                                  <w:shd w:val="clear" w:color="auto" w:fill="007B85"/>
                                  <w:tcMar>
                                    <w:top w:w="15" w:type="dxa"/>
                                    <w:left w:w="144" w:type="dxa"/>
                                    <w:bottom w:w="0" w:type="dxa"/>
                                    <w:right w:w="144" w:type="dxa"/>
                                  </w:tcMar>
                                  <w:vAlign w:val="center"/>
                                </w:tcPr>
                                <w:p>
                                  <w:pPr>
                                    <w:rPr>
                                      <w:rFonts w:ascii="Aptos" w:hAnsi="Aptos" w:eastAsia="Times New Roman" w:cs="Arial"/>
                                      <w:color w:val="FFFFFF" w:themeColor="background1"/>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eastAsia="el-GR"/>
                                      <w14:textFill>
                                        <w14:solidFill>
                                          <w14:schemeClr w14:val="bg1"/>
                                        </w14:solidFill>
                                      </w14:textFill>
                                    </w:rPr>
                                    <w:t>Κατάσταση Χρηματοοικονομικής Θέσης</w:t>
                                  </w:r>
                                  <w:r>
                                    <w:rPr>
                                      <w:rFonts w:ascii="Aptos" w:hAnsi="Aptos" w:eastAsia="Times New Roman" w:cs="Arial"/>
                                      <w:b/>
                                      <w:bCs/>
                                      <w:color w:val="FFFFFF" w:themeColor="background1"/>
                                      <w:kern w:val="24"/>
                                      <w:sz w:val="16"/>
                                      <w:szCs w:val="16"/>
                                      <w:vertAlign w:val="superscript"/>
                                      <w:lang w:eastAsia="el-GR"/>
                                      <w14:textFill>
                                        <w14:solidFill>
                                          <w14:schemeClr w14:val="bg1"/>
                                        </w14:solidFill>
                                      </w14:textFill>
                                    </w:rPr>
                                    <w:t>1</w:t>
                                  </w:r>
                                  <w:r>
                                    <w:rPr>
                                      <w:rFonts w:ascii="Aptos" w:hAnsi="Aptos" w:eastAsia="Times New Roman" w:cs="Arial"/>
                                      <w:b/>
                                      <w:bCs/>
                                      <w:color w:val="FFFFFF" w:themeColor="background1"/>
                                      <w:kern w:val="24"/>
                                      <w:sz w:val="16"/>
                                      <w:szCs w:val="16"/>
                                      <w:lang w:eastAsia="el-GR"/>
                                      <w14:textFill>
                                        <w14:solidFill>
                                          <w14:schemeClr w14:val="bg1"/>
                                        </w14:solidFill>
                                      </w14:textFill>
                                    </w:rPr>
                                    <w:t xml:space="preserve"> | Όμιλος (€ εκατ.)</w:t>
                                  </w:r>
                                </w:p>
                              </w:tc>
                              <w:tc>
                                <w:tcPr>
                                  <w:tcW w:w="1152" w:type="dxa"/>
                                  <w:tcBorders>
                                    <w:top w:val="dashSmallGap" w:color="FF7415" w:sz="12" w:space="0"/>
                                    <w:left w:val="dashSmallGap" w:color="FF7415" w:sz="12" w:space="0"/>
                                    <w:bottom w:val="dashSmallGap" w:color="00ADBF" w:sz="4" w:space="0"/>
                                    <w:right w:val="dashSmallGap" w:color="FF7415" w:sz="12" w:space="0"/>
                                  </w:tcBorders>
                                  <w:shd w:val="clear" w:color="auto" w:fill="007B85"/>
                                  <w:tcMar>
                                    <w:top w:w="15" w:type="dxa"/>
                                    <w:left w:w="144" w:type="dxa"/>
                                    <w:bottom w:w="0" w:type="dxa"/>
                                    <w:right w:w="144" w:type="dxa"/>
                                  </w:tcMar>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w:t>
                                  </w:r>
                                  <w:r>
                                    <w:rPr>
                                      <w:rFonts w:ascii="Aptos" w:hAnsi="Aptos" w:eastAsia="Times New Roman" w:cs="Arial"/>
                                      <w:b/>
                                      <w:bCs/>
                                      <w:color w:val="FFFFFF" w:themeColor="background1"/>
                                      <w:kern w:val="24"/>
                                      <w:sz w:val="16"/>
                                      <w:szCs w:val="16"/>
                                      <w:lang w:eastAsia="el-GR"/>
                                      <w14:textFill>
                                        <w14:solidFill>
                                          <w14:schemeClr w14:val="bg1"/>
                                        </w14:solidFill>
                                      </w14:textFill>
                                    </w:rPr>
                                    <w:t xml:space="preserve">’ </w:t>
                                  </w:r>
                                  <w:r>
                                    <w:rPr>
                                      <w:rFonts w:ascii="Aptos" w:hAnsi="Aptos" w:eastAsia="Times New Roman" w:cs="Arial"/>
                                      <w:b/>
                                      <w:bCs/>
                                      <w:color w:val="FFFFFF" w:themeColor="background1"/>
                                      <w:kern w:val="24"/>
                                      <w:sz w:val="16"/>
                                      <w:szCs w:val="16"/>
                                      <w:lang w:val="en-US" w:eastAsia="el-GR"/>
                                      <w14:textFill>
                                        <w14:solidFill>
                                          <w14:schemeClr w14:val="bg1"/>
                                        </w14:solidFill>
                                      </w14:textFill>
                                    </w:rPr>
                                    <w:t>τρίμηνο 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dashSmallGap" w:color="FF7415" w:sz="12" w:space="0"/>
                                    <w:bottom w:val="dashSmallGap" w:color="00ADBF" w:sz="4" w:space="0"/>
                                    <w:right w:val="nil"/>
                                  </w:tcBorders>
                                  <w:shd w:val="clear" w:color="auto" w:fill="007B85"/>
                                  <w:tcMar>
                                    <w:top w:w="15" w:type="dxa"/>
                                    <w:left w:w="144" w:type="dxa"/>
                                    <w:bottom w:w="0" w:type="dxa"/>
                                    <w:right w:w="144" w:type="dxa"/>
                                  </w:tcMar>
                                </w:tcPr>
                                <w:p>
                                  <w:pPr>
                                    <w:jc w:val="right"/>
                                    <w:rPr>
                                      <w:rFonts w:ascii="Aptos" w:hAnsi="Aptos" w:eastAsia="Times New Roman" w:cs="Arial"/>
                                      <w:b/>
                                      <w:bCs/>
                                      <w:color w:val="FFFFFF" w:themeColor="background1"/>
                                      <w:kern w:val="24"/>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Γ</w:t>
                                  </w:r>
                                  <w:r>
                                    <w:rPr>
                                      <w:rFonts w:ascii="Aptos" w:hAnsi="Aptos" w:eastAsia="Times New Roman" w:cs="Arial"/>
                                      <w:b/>
                                      <w:bCs/>
                                      <w:color w:val="FFFFFF" w:themeColor="background1"/>
                                      <w:kern w:val="24"/>
                                      <w:sz w:val="16"/>
                                      <w:szCs w:val="16"/>
                                      <w:lang w:eastAsia="el-GR"/>
                                      <w14:textFill>
                                        <w14:solidFill>
                                          <w14:schemeClr w14:val="bg1"/>
                                        </w14:solidFill>
                                      </w14:textFill>
                                    </w:rPr>
                                    <w:t xml:space="preserve">’ </w:t>
                                  </w:r>
                                  <w:r>
                                    <w:rPr>
                                      <w:rFonts w:ascii="Aptos" w:hAnsi="Aptos" w:eastAsia="Times New Roman" w:cs="Arial"/>
                                      <w:b/>
                                      <w:bCs/>
                                      <w:color w:val="FFFFFF" w:themeColor="background1"/>
                                      <w:kern w:val="24"/>
                                      <w:sz w:val="16"/>
                                      <w:szCs w:val="16"/>
                                      <w:lang w:val="en-US" w:eastAsia="el-GR"/>
                                      <w14:textFill>
                                        <w14:solidFill>
                                          <w14:schemeClr w14:val="bg1"/>
                                        </w14:solidFill>
                                      </w14:textFill>
                                    </w:rPr>
                                    <w:t>τρίμηνο 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nil"/>
                                    <w:bottom w:val="dashSmallGap" w:color="00ADBF" w:sz="4" w:space="0"/>
                                    <w:right w:val="nil"/>
                                  </w:tcBorders>
                                  <w:shd w:val="clear" w:color="auto" w:fill="007B85"/>
                                  <w:tcMar>
                                    <w:top w:w="15" w:type="dxa"/>
                                    <w:left w:w="144" w:type="dxa"/>
                                    <w:bottom w:w="0" w:type="dxa"/>
                                    <w:right w:w="144" w:type="dxa"/>
                                  </w:tcMar>
                                </w:tcPr>
                                <w:p>
                                  <w:pPr>
                                    <w:jc w:val="right"/>
                                    <w:rPr>
                                      <w:rFonts w:ascii="Aptos" w:hAnsi="Aptos" w:eastAsia="Times New Roman" w:cs="Arial"/>
                                      <w:b/>
                                      <w:bCs/>
                                      <w:color w:val="FFFFFF" w:themeColor="background1"/>
                                      <w:kern w:val="24"/>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Β</w:t>
                                  </w:r>
                                  <w:r>
                                    <w:rPr>
                                      <w:rFonts w:ascii="Aptos" w:hAnsi="Aptos" w:eastAsia="Times New Roman" w:cs="Arial"/>
                                      <w:b/>
                                      <w:bCs/>
                                      <w:color w:val="FFFFFF" w:themeColor="background1"/>
                                      <w:kern w:val="24"/>
                                      <w:sz w:val="16"/>
                                      <w:szCs w:val="16"/>
                                      <w:lang w:eastAsia="el-GR"/>
                                      <w14:textFill>
                                        <w14:solidFill>
                                          <w14:schemeClr w14:val="bg1"/>
                                        </w14:solidFill>
                                      </w14:textFill>
                                    </w:rPr>
                                    <w:t>’</w:t>
                                  </w:r>
                                  <w:r>
                                    <w:rPr>
                                      <w:rFonts w:ascii="Aptos" w:hAnsi="Aptos" w:eastAsia="Times New Roman" w:cs="Arial"/>
                                      <w:b/>
                                      <w:bCs/>
                                      <w:color w:val="FFFFFF" w:themeColor="background1"/>
                                      <w:kern w:val="24"/>
                                      <w:sz w:val="16"/>
                                      <w:szCs w:val="16"/>
                                      <w:lang w:val="en-US" w:eastAsia="el-GR"/>
                                      <w14:textFill>
                                        <w14:solidFill>
                                          <w14:schemeClr w14:val="bg1"/>
                                        </w14:solidFill>
                                      </w14:textFill>
                                    </w:rPr>
                                    <w:t xml:space="preserve"> τρίμηνο 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nil"/>
                                    <w:bottom w:val="dashSmallGap" w:color="00ADBF" w:sz="4" w:space="0"/>
                                    <w:right w:val="nil"/>
                                  </w:tcBorders>
                                  <w:shd w:val="clear" w:color="auto" w:fill="007B85"/>
                                  <w:tcMar>
                                    <w:top w:w="15" w:type="dxa"/>
                                    <w:left w:w="144" w:type="dxa"/>
                                    <w:bottom w:w="0" w:type="dxa"/>
                                    <w:right w:w="144" w:type="dxa"/>
                                  </w:tcMar>
                                </w:tcPr>
                                <w:p>
                                  <w:pPr>
                                    <w:jc w:val="right"/>
                                    <w:rPr>
                                      <w:rFonts w:ascii="Aptos" w:hAnsi="Aptos" w:eastAsia="Times New Roman" w:cs="Arial"/>
                                      <w:b/>
                                      <w:bCs/>
                                      <w:color w:val="FFFFFF" w:themeColor="background1"/>
                                      <w:kern w:val="24"/>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Α</w:t>
                                  </w:r>
                                  <w:r>
                                    <w:rPr>
                                      <w:rFonts w:ascii="Aptos" w:hAnsi="Aptos" w:eastAsia="Times New Roman" w:cs="Arial"/>
                                      <w:b/>
                                      <w:bCs/>
                                      <w:color w:val="FFFFFF" w:themeColor="background1"/>
                                      <w:kern w:val="24"/>
                                      <w:sz w:val="16"/>
                                      <w:szCs w:val="16"/>
                                      <w:lang w:eastAsia="el-GR"/>
                                      <w14:textFill>
                                        <w14:solidFill>
                                          <w14:schemeClr w14:val="bg1"/>
                                        </w14:solidFill>
                                      </w14:textFill>
                                    </w:rPr>
                                    <w:t>’</w:t>
                                  </w:r>
                                  <w:r>
                                    <w:rPr>
                                      <w:rFonts w:ascii="Aptos" w:hAnsi="Aptos" w:eastAsia="Times New Roman" w:cs="Arial"/>
                                      <w:b/>
                                      <w:bCs/>
                                      <w:color w:val="FFFFFF" w:themeColor="background1"/>
                                      <w:kern w:val="24"/>
                                      <w:sz w:val="16"/>
                                      <w:szCs w:val="16"/>
                                      <w:lang w:val="en-US" w:eastAsia="el-GR"/>
                                      <w14:textFill>
                                        <w14:solidFill>
                                          <w14:schemeClr w14:val="bg1"/>
                                        </w14:solidFill>
                                      </w14:textFill>
                                    </w:rPr>
                                    <w:t xml:space="preserve"> τρίμηνο 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nil"/>
                                    <w:bottom w:val="dashSmallGap" w:color="00ADBF" w:sz="4" w:space="0"/>
                                    <w:right w:val="nil"/>
                                  </w:tcBorders>
                                  <w:shd w:val="clear" w:color="auto" w:fill="007B85"/>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w:t>
                                  </w:r>
                                  <w:r>
                                    <w:rPr>
                                      <w:rFonts w:ascii="Aptos" w:hAnsi="Aptos" w:eastAsia="Times New Roman" w:cs="Arial"/>
                                      <w:b/>
                                      <w:bCs/>
                                      <w:color w:val="FFFFFF" w:themeColor="background1"/>
                                      <w:kern w:val="24"/>
                                      <w:sz w:val="16"/>
                                      <w:szCs w:val="16"/>
                                      <w:lang w:eastAsia="el-GR"/>
                                      <w14:textFill>
                                        <w14:solidFill>
                                          <w14:schemeClr w14:val="bg1"/>
                                        </w14:solidFill>
                                      </w14:textFill>
                                    </w:rPr>
                                    <w:t>’</w:t>
                                  </w:r>
                                  <w:r>
                                    <w:rPr>
                                      <w:rFonts w:ascii="Aptos" w:hAnsi="Aptos" w:eastAsia="Times New Roman" w:cs="Arial"/>
                                      <w:b/>
                                      <w:bCs/>
                                      <w:color w:val="FFFFFF" w:themeColor="background1"/>
                                      <w:kern w:val="24"/>
                                      <w:sz w:val="16"/>
                                      <w:szCs w:val="16"/>
                                      <w:lang w:val="en-US" w:eastAsia="el-GR"/>
                                      <w14:textFill>
                                        <w14:solidFill>
                                          <w14:schemeClr w14:val="bg1"/>
                                        </w14:solidFill>
                                      </w14:textFill>
                                    </w:rPr>
                                    <w:t xml:space="preserve"> τρίμηνο</w:t>
                                  </w:r>
                                </w:p>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202</w:t>
                                  </w:r>
                                  <w:r>
                                    <w:rPr>
                                      <w:rFonts w:ascii="Aptos" w:hAnsi="Aptos" w:eastAsia="Times New Roman" w:cs="Arial"/>
                                      <w:b/>
                                      <w:bCs/>
                                      <w:color w:val="FFFFFF" w:themeColor="background1"/>
                                      <w:kern w:val="24"/>
                                      <w:sz w:val="16"/>
                                      <w:szCs w:val="16"/>
                                      <w:lang w:eastAsia="el-GR"/>
                                      <w14:textFill>
                                        <w14:solidFill>
                                          <w14:schemeClr w14:val="bg1"/>
                                        </w14:solidFill>
                                      </w14:textFill>
                                    </w:rPr>
                                    <w:t>2</w:t>
                                  </w:r>
                                </w:p>
                              </w:tc>
                              <w:tc>
                                <w:tcPr>
                                  <w:tcW w:w="1152" w:type="dxa"/>
                                  <w:tcBorders>
                                    <w:top w:val="nil"/>
                                    <w:left w:val="nil"/>
                                    <w:bottom w:val="dashSmallGap" w:color="00ADBF" w:sz="4" w:space="0"/>
                                    <w:right w:val="nil"/>
                                  </w:tcBorders>
                                  <w:shd w:val="clear" w:color="auto" w:fill="007B85"/>
                                  <w:tcMar>
                                    <w:top w:w="15" w:type="dxa"/>
                                    <w:left w:w="144" w:type="dxa"/>
                                    <w:bottom w:w="0" w:type="dxa"/>
                                    <w:right w:w="144" w:type="dxa"/>
                                  </w:tcMar>
                                  <w:vAlign w:val="center"/>
                                </w:tcPr>
                                <w:p>
                                  <w:pPr>
                                    <w:jc w:val="right"/>
                                    <w:rPr>
                                      <w:rFonts w:ascii="Aptos" w:hAnsi="Aptos" w:eastAsia="Times New Roman" w:cs="Arial"/>
                                      <w:b/>
                                      <w:bCs/>
                                      <w:color w:val="FFFFFF" w:themeColor="background1"/>
                                      <w:kern w:val="24"/>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Γ</w:t>
                                  </w:r>
                                  <w:r>
                                    <w:rPr>
                                      <w:rFonts w:ascii="Aptos" w:hAnsi="Aptos" w:eastAsia="Times New Roman" w:cs="Arial"/>
                                      <w:b/>
                                      <w:bCs/>
                                      <w:color w:val="FFFFFF" w:themeColor="background1"/>
                                      <w:kern w:val="24"/>
                                      <w:sz w:val="16"/>
                                      <w:szCs w:val="16"/>
                                      <w:lang w:eastAsia="el-GR"/>
                                      <w14:textFill>
                                        <w14:solidFill>
                                          <w14:schemeClr w14:val="bg1"/>
                                        </w14:solidFill>
                                      </w14:textFill>
                                    </w:rPr>
                                    <w:t>’</w:t>
                                  </w:r>
                                  <w:r>
                                    <w:rPr>
                                      <w:rFonts w:ascii="Aptos" w:hAnsi="Aptos" w:eastAsia="Times New Roman" w:cs="Arial"/>
                                      <w:b/>
                                      <w:bCs/>
                                      <w:color w:val="FFFFFF" w:themeColor="background1"/>
                                      <w:kern w:val="24"/>
                                      <w:sz w:val="16"/>
                                      <w:szCs w:val="16"/>
                                      <w:lang w:val="en-US" w:eastAsia="el-GR"/>
                                      <w14:textFill>
                                        <w14:solidFill>
                                          <w14:schemeClr w14:val="bg1"/>
                                        </w14:solidFill>
                                      </w14:textFill>
                                    </w:rPr>
                                    <w:t xml:space="preserve"> τρίμηνο 202</w:t>
                                  </w:r>
                                  <w:r>
                                    <w:rPr>
                                      <w:rFonts w:ascii="Aptos" w:hAnsi="Aptos" w:eastAsia="Times New Roman" w:cs="Arial"/>
                                      <w:b/>
                                      <w:bCs/>
                                      <w:color w:val="FFFFFF" w:themeColor="background1"/>
                                      <w:kern w:val="24"/>
                                      <w:sz w:val="16"/>
                                      <w:szCs w:val="16"/>
                                      <w:lang w:eastAsia="el-GR"/>
                                      <w14:textFill>
                                        <w14:solidFill>
                                          <w14:schemeClr w14:val="bg1"/>
                                        </w14:solidFill>
                                      </w14:textFill>
                                    </w:rPr>
                                    <w:t>2</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kern w:val="24"/>
                                      <w:sz w:val="16"/>
                                      <w:szCs w:val="16"/>
                                      <w:lang w:val="en-US" w:eastAsia="el-GR"/>
                                    </w:rPr>
                                  </w:pPr>
                                  <w:r>
                                    <w:rPr>
                                      <w:rFonts w:ascii="Aptos" w:hAnsi="Aptos"/>
                                      <w:sz w:val="16"/>
                                      <w:szCs w:val="16"/>
                                    </w:rPr>
                                    <w:t xml:space="preserve">Σύνολο Ενεργητικού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6"/>
                                      <w:szCs w:val="16"/>
                                      <w:lang w:val="en-US" w:eastAsia="el-GR"/>
                                    </w:rPr>
                                  </w:pPr>
                                  <w:r>
                                    <w:rPr>
                                      <w:rFonts w:ascii="Aptos" w:hAnsi="Aptos"/>
                                      <w:sz w:val="16"/>
                                      <w:szCs w:val="16"/>
                                    </w:rPr>
                                    <w:t xml:space="preserve">74.584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6"/>
                                      <w:szCs w:val="16"/>
                                      <w:lang w:val="en-US" w:eastAsia="el-GR"/>
                                    </w:rPr>
                                  </w:pPr>
                                  <w:r>
                                    <w:rPr>
                                      <w:rFonts w:ascii="Aptos" w:hAnsi="Aptos"/>
                                      <w:sz w:val="16"/>
                                      <w:szCs w:val="16"/>
                                    </w:rPr>
                                    <w:t xml:space="preserve">73.924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6"/>
                                      <w:szCs w:val="16"/>
                                      <w:lang w:val="en-US" w:eastAsia="el-GR"/>
                                    </w:rPr>
                                  </w:pPr>
                                  <w:r>
                                    <w:rPr>
                                      <w:rFonts w:ascii="Aptos" w:hAnsi="Aptos"/>
                                      <w:sz w:val="16"/>
                                      <w:szCs w:val="16"/>
                                    </w:rPr>
                                    <w:t xml:space="preserve">72.849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6"/>
                                      <w:szCs w:val="16"/>
                                      <w:lang w:val="en-US" w:eastAsia="el-GR"/>
                                    </w:rPr>
                                  </w:pPr>
                                  <w:r>
                                    <w:rPr>
                                      <w:rFonts w:ascii="Aptos" w:hAnsi="Aptos"/>
                                      <w:sz w:val="16"/>
                                      <w:szCs w:val="16"/>
                                    </w:rPr>
                                    <w:t xml:space="preserve">75.248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6"/>
                                      <w:szCs w:val="16"/>
                                      <w:lang w:val="en-US" w:eastAsia="el-GR"/>
                                    </w:rPr>
                                  </w:pPr>
                                  <w:r>
                                    <w:rPr>
                                      <w:rFonts w:ascii="Aptos" w:hAnsi="Aptos"/>
                                      <w:sz w:val="16"/>
                                      <w:szCs w:val="16"/>
                                    </w:rPr>
                                    <w:t xml:space="preserve">78.113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5" w:type="dxa"/>
                                    <w:bottom w:w="0" w:type="dxa"/>
                                    <w:right w:w="144" w:type="dxa"/>
                                  </w:tcMar>
                                  <w:vAlign w:val="center"/>
                                </w:tcPr>
                                <w:p>
                                  <w:pPr>
                                    <w:jc w:val="right"/>
                                    <w:rPr>
                                      <w:rFonts w:ascii="Aptos" w:hAnsi="Aptos" w:eastAsia="Times New Roman" w:cs="Arial"/>
                                      <w:kern w:val="24"/>
                                      <w:sz w:val="16"/>
                                      <w:szCs w:val="16"/>
                                      <w:lang w:val="en-US" w:eastAsia="el-GR"/>
                                    </w:rPr>
                                  </w:pPr>
                                  <w:r>
                                    <w:rPr>
                                      <w:rFonts w:ascii="Aptos" w:hAnsi="Aptos"/>
                                      <w:sz w:val="16"/>
                                      <w:szCs w:val="16"/>
                                    </w:rPr>
                                    <w:t xml:space="preserve">80.878 </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kern w:val="24"/>
                                      <w:sz w:val="16"/>
                                      <w:szCs w:val="16"/>
                                      <w:lang w:val="en-US" w:eastAsia="el-GR"/>
                                    </w:rPr>
                                  </w:pPr>
                                  <w:r>
                                    <w:rPr>
                                      <w:rFonts w:ascii="Aptos" w:hAnsi="Aptos"/>
                                      <w:sz w:val="16"/>
                                      <w:szCs w:val="16"/>
                                    </w:rPr>
                                    <w:t>Δάνεια (προ προβλέψεων)</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35.306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36.419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36.404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36,780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6"/>
                                      <w:szCs w:val="16"/>
                                      <w:lang w:val="en-US" w:eastAsia="el-GR"/>
                                    </w:rPr>
                                  </w:pPr>
                                  <w:r>
                                    <w:rPr>
                                      <w:rFonts w:ascii="Aptos" w:hAnsi="Aptos"/>
                                      <w:sz w:val="16"/>
                                      <w:szCs w:val="16"/>
                                    </w:rPr>
                                    <w:t xml:space="preserve">37.054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5"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36.092 </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kern w:val="24"/>
                                      <w:sz w:val="16"/>
                                      <w:szCs w:val="16"/>
                                      <w:lang w:val="en-US" w:eastAsia="el-GR"/>
                                    </w:rPr>
                                  </w:pPr>
                                  <w:r>
                                    <w:rPr>
                                      <w:rFonts w:ascii="Aptos" w:hAnsi="Aptos"/>
                                      <w:sz w:val="16"/>
                                      <w:szCs w:val="16"/>
                                    </w:rPr>
                                    <w:t xml:space="preserve">Σωρευμένες προβλέψεις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(1.083)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(1.100)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(1.428)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(1.494)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eastAsia="el-GR"/>
                                    </w:rPr>
                                  </w:pPr>
                                  <w:r>
                                    <w:rPr>
                                      <w:rFonts w:ascii="Aptos" w:hAnsi="Aptos"/>
                                      <w:sz w:val="16"/>
                                      <w:szCs w:val="16"/>
                                    </w:rPr>
                                    <w:t xml:space="preserve">(1.493)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(1,594) </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b/>
                                      <w:bCs/>
                                      <w:kern w:val="24"/>
                                      <w:sz w:val="16"/>
                                      <w:szCs w:val="16"/>
                                      <w:lang w:val="en-US" w:eastAsia="el-GR"/>
                                    </w:rPr>
                                  </w:pPr>
                                  <w:r>
                                    <w:rPr>
                                      <w:rFonts w:ascii="Aptos" w:hAnsi="Aptos"/>
                                      <w:b/>
                                      <w:bCs/>
                                      <w:sz w:val="16"/>
                                      <w:szCs w:val="16"/>
                                    </w:rPr>
                                    <w:t>Δάνεια (μετά από προβλέψεις)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6"/>
                                      <w:szCs w:val="16"/>
                                      <w:lang w:eastAsia="el-GR"/>
                                    </w:rPr>
                                  </w:pPr>
                                  <w:r>
                                    <w:rPr>
                                      <w:rFonts w:ascii="Aptos" w:hAnsi="Aptos"/>
                                      <w:b/>
                                      <w:bCs/>
                                      <w:sz w:val="16"/>
                                      <w:szCs w:val="16"/>
                                    </w:rPr>
                                    <w:t xml:space="preserve">34.223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6"/>
                                      <w:szCs w:val="16"/>
                                      <w:lang w:eastAsia="el-GR"/>
                                    </w:rPr>
                                  </w:pPr>
                                  <w:r>
                                    <w:rPr>
                                      <w:rFonts w:ascii="Aptos" w:hAnsi="Aptos"/>
                                      <w:b/>
                                      <w:bCs/>
                                      <w:sz w:val="16"/>
                                      <w:szCs w:val="16"/>
                                    </w:rPr>
                                    <w:t xml:space="preserve">35.319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6"/>
                                      <w:szCs w:val="16"/>
                                      <w:lang w:eastAsia="el-GR"/>
                                    </w:rPr>
                                  </w:pPr>
                                  <w:r>
                                    <w:rPr>
                                      <w:rFonts w:ascii="Aptos" w:hAnsi="Aptos"/>
                                      <w:b/>
                                      <w:bCs/>
                                      <w:sz w:val="16"/>
                                      <w:szCs w:val="16"/>
                                    </w:rPr>
                                    <w:t xml:space="preserve">34.976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6"/>
                                      <w:szCs w:val="16"/>
                                      <w:lang w:eastAsia="el-GR"/>
                                    </w:rPr>
                                  </w:pPr>
                                  <w:r>
                                    <w:rPr>
                                      <w:rFonts w:ascii="Aptos" w:hAnsi="Aptos"/>
                                      <w:b/>
                                      <w:bCs/>
                                      <w:sz w:val="16"/>
                                      <w:szCs w:val="16"/>
                                    </w:rPr>
                                    <w:t xml:space="preserve">35.287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eastAsia="el-GR"/>
                                    </w:rPr>
                                  </w:pPr>
                                  <w:r>
                                    <w:rPr>
                                      <w:rFonts w:ascii="Aptos" w:hAnsi="Aptos"/>
                                      <w:b/>
                                      <w:bCs/>
                                      <w:sz w:val="16"/>
                                      <w:szCs w:val="16"/>
                                    </w:rPr>
                                    <w:t xml:space="preserve">35.561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6"/>
                                      <w:szCs w:val="16"/>
                                      <w:lang w:eastAsia="el-GR"/>
                                    </w:rPr>
                                  </w:pPr>
                                  <w:r>
                                    <w:rPr>
                                      <w:rFonts w:ascii="Aptos" w:hAnsi="Aptos"/>
                                      <w:b/>
                                      <w:bCs/>
                                      <w:sz w:val="16"/>
                                      <w:szCs w:val="16"/>
                                    </w:rPr>
                                    <w:t xml:space="preserve">34.498 </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b/>
                                      <w:bCs/>
                                      <w:kern w:val="24"/>
                                      <w:sz w:val="16"/>
                                      <w:szCs w:val="16"/>
                                      <w:lang w:val="en-US" w:eastAsia="el-GR"/>
                                    </w:rPr>
                                  </w:pPr>
                                  <w:r>
                                    <w:rPr>
                                      <w:rFonts w:ascii="Aptos" w:hAnsi="Aptos"/>
                                      <w:b/>
                                      <w:bCs/>
                                      <w:sz w:val="16"/>
                                      <w:szCs w:val="16"/>
                                    </w:rPr>
                                    <w:t>Εξυπηρετούμενα δάνεια</w:t>
                                  </w:r>
                                  <w:r>
                                    <w:rPr>
                                      <w:rFonts w:ascii="Aptos" w:hAnsi="Aptos"/>
                                      <w:b/>
                                      <w:bCs/>
                                      <w:sz w:val="16"/>
                                      <w:szCs w:val="16"/>
                                      <w:vertAlign w:val="superscript"/>
                                    </w:rPr>
                                    <w:t>1</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6"/>
                                      <w:szCs w:val="16"/>
                                      <w:lang w:eastAsia="el-GR"/>
                                    </w:rPr>
                                  </w:pPr>
                                  <w:r>
                                    <w:rPr>
                                      <w:rFonts w:ascii="Aptos" w:hAnsi="Aptos"/>
                                      <w:b/>
                                      <w:bCs/>
                                      <w:sz w:val="16"/>
                                      <w:szCs w:val="16"/>
                                    </w:rPr>
                                    <w:t>3</w:t>
                                  </w:r>
                                  <w:r>
                                    <w:rPr>
                                      <w:rFonts w:ascii="Aptos" w:hAnsi="Aptos"/>
                                      <w:b/>
                                      <w:bCs/>
                                      <w:sz w:val="16"/>
                                      <w:szCs w:val="16"/>
                                      <w:lang w:val="en-US"/>
                                    </w:rPr>
                                    <w:t>0</w:t>
                                  </w:r>
                                  <w:r>
                                    <w:rPr>
                                      <w:rFonts w:ascii="Aptos" w:hAnsi="Aptos"/>
                                      <w:b/>
                                      <w:bCs/>
                                      <w:sz w:val="16"/>
                                      <w:szCs w:val="16"/>
                                    </w:rPr>
                                    <w:t>.</w:t>
                                  </w:r>
                                  <w:r>
                                    <w:rPr>
                                      <w:rFonts w:ascii="Aptos" w:hAnsi="Aptos"/>
                                      <w:b/>
                                      <w:bCs/>
                                      <w:sz w:val="16"/>
                                      <w:szCs w:val="16"/>
                                      <w:lang w:val="en-US"/>
                                    </w:rPr>
                                    <w:t>468</w:t>
                                  </w:r>
                                  <w:r>
                                    <w:rPr>
                                      <w:rFonts w:ascii="Aptos" w:hAnsi="Aptos"/>
                                      <w:b/>
                                      <w:bCs/>
                                      <w:sz w:val="16"/>
                                      <w:szCs w:val="16"/>
                                    </w:rPr>
                                    <w:t xml:space="preserve">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6"/>
                                      <w:szCs w:val="16"/>
                                      <w:lang w:eastAsia="el-GR"/>
                                    </w:rPr>
                                  </w:pPr>
                                  <w:r>
                                    <w:rPr>
                                      <w:rFonts w:ascii="Aptos" w:hAnsi="Aptos"/>
                                      <w:b/>
                                      <w:bCs/>
                                      <w:sz w:val="16"/>
                                      <w:szCs w:val="16"/>
                                    </w:rPr>
                                    <w:t xml:space="preserve">29.588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6"/>
                                      <w:szCs w:val="16"/>
                                      <w:lang w:eastAsia="el-GR"/>
                                    </w:rPr>
                                  </w:pPr>
                                  <w:r>
                                    <w:rPr>
                                      <w:rFonts w:ascii="Aptos" w:hAnsi="Aptos"/>
                                      <w:b/>
                                      <w:bCs/>
                                      <w:sz w:val="16"/>
                                      <w:szCs w:val="16"/>
                                    </w:rPr>
                                    <w:t xml:space="preserve">28.975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6"/>
                                      <w:szCs w:val="16"/>
                                      <w:lang w:eastAsia="el-GR"/>
                                    </w:rPr>
                                  </w:pPr>
                                  <w:r>
                                    <w:rPr>
                                      <w:rFonts w:ascii="Aptos" w:hAnsi="Aptos"/>
                                      <w:b/>
                                      <w:bCs/>
                                      <w:sz w:val="16"/>
                                      <w:szCs w:val="16"/>
                                    </w:rPr>
                                    <w:t>29.105</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 xml:space="preserve">29.154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6"/>
                                      <w:szCs w:val="16"/>
                                      <w:lang w:eastAsia="el-GR"/>
                                    </w:rPr>
                                  </w:pPr>
                                  <w:r>
                                    <w:rPr>
                                      <w:rFonts w:ascii="Aptos" w:hAnsi="Aptos"/>
                                      <w:b/>
                                      <w:bCs/>
                                      <w:sz w:val="16"/>
                                      <w:szCs w:val="16"/>
                                    </w:rPr>
                                    <w:t xml:space="preserve">28.056 </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kern w:val="24"/>
                                      <w:sz w:val="16"/>
                                      <w:szCs w:val="16"/>
                                      <w:lang w:val="en-US" w:eastAsia="el-GR"/>
                                    </w:rPr>
                                  </w:pPr>
                                  <w:r>
                                    <w:rPr>
                                      <w:rFonts w:ascii="Aptos" w:hAnsi="Aptos"/>
                                      <w:sz w:val="16"/>
                                      <w:szCs w:val="16"/>
                                    </w:rPr>
                                    <w:t>Χαρτοφυλάκιο επενδύσεων</w:t>
                                  </w:r>
                                  <w:r>
                                    <w:rPr>
                                      <w:rFonts w:ascii="Aptos" w:hAnsi="Aptos"/>
                                      <w:sz w:val="16"/>
                                      <w:szCs w:val="16"/>
                                      <w:vertAlign w:val="superscript"/>
                                    </w:rPr>
                                    <w:t>2</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17.201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15.712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15.832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15.144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6"/>
                                      <w:szCs w:val="16"/>
                                      <w:lang w:val="en-US" w:eastAsia="el-GR"/>
                                    </w:rPr>
                                  </w:pPr>
                                  <w:r>
                                    <w:rPr>
                                      <w:rFonts w:ascii="Aptos" w:hAnsi="Aptos"/>
                                      <w:sz w:val="16"/>
                                      <w:szCs w:val="16"/>
                                    </w:rPr>
                                    <w:t xml:space="preserve">13.585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13.439 </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kern w:val="24"/>
                                      <w:sz w:val="16"/>
                                      <w:szCs w:val="16"/>
                                      <w:lang w:val="en-US" w:eastAsia="el-GR"/>
                                    </w:rPr>
                                  </w:pPr>
                                  <w:r>
                                    <w:rPr>
                                      <w:rFonts w:ascii="Aptos" w:hAnsi="Aptos"/>
                                      <w:sz w:val="16"/>
                                      <w:szCs w:val="16"/>
                                    </w:rPr>
                                    <w:t>Καταθέσεις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57.126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56.292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55.671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54.775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val="en-US" w:eastAsia="el-GR"/>
                                    </w:rPr>
                                  </w:pPr>
                                  <w:r>
                                    <w:rPr>
                                      <w:rFonts w:ascii="Aptos" w:hAnsi="Aptos"/>
                                      <w:sz w:val="16"/>
                                      <w:szCs w:val="16"/>
                                    </w:rPr>
                                    <w:t xml:space="preserve">55,192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55.679 </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b/>
                                      <w:bCs/>
                                      <w:kern w:val="24"/>
                                      <w:sz w:val="16"/>
                                      <w:szCs w:val="16"/>
                                      <w:lang w:val="en-US" w:eastAsia="el-GR"/>
                                    </w:rPr>
                                  </w:pPr>
                                  <w:r>
                                    <w:rPr>
                                      <w:rFonts w:ascii="Aptos" w:hAnsi="Aptos"/>
                                      <w:b/>
                                      <w:bCs/>
                                      <w:sz w:val="16"/>
                                      <w:szCs w:val="16"/>
                                    </w:rPr>
                                    <w:t xml:space="preserve">Ενσώματα ίδια κεφάλαια </w:t>
                                  </w:r>
                                </w:p>
                              </w:tc>
                              <w:tc>
                                <w:tcPr>
                                  <w:tcW w:w="1152" w:type="dxa"/>
                                  <w:tcBorders>
                                    <w:top w:val="dashSmallGap" w:color="00ADBF" w:sz="4" w:space="0"/>
                                    <w:left w:val="dashSmallGap" w:color="FF7415" w:sz="12" w:space="0"/>
                                    <w:bottom w:val="dashSmallGap" w:color="FF7415" w:sz="12"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 xml:space="preserve">7.102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 xml:space="preserve">6.763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 xml:space="preserve">6.553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 xml:space="preserve">6.292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 xml:space="preserve">6.021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 xml:space="preserve">5.591 </w:t>
                                  </w:r>
                                </w:p>
                              </w:tc>
                            </w:tr>
                          </w:tbl>
                          <w:p>
                            <w:pPr>
                              <w:textAlignment w:val="baseline"/>
                              <w:rPr>
                                <w:rFonts w:ascii="Aptos" w:hAnsi="Aptos" w:cs="Segoe UI"/>
                                <w:bCs/>
                                <w:color w:val="595959"/>
                                <w:sz w:val="12"/>
                                <w:szCs w:val="12"/>
                              </w:rPr>
                            </w:pPr>
                            <w:r>
                              <w:rPr>
                                <w:rFonts w:ascii="Aptos" w:hAnsi="Aptos" w:cs="Segoe UI"/>
                                <w:bCs/>
                                <w:color w:val="595959"/>
                                <w:sz w:val="12"/>
                                <w:szCs w:val="12"/>
                              </w:rPr>
                              <w:t>1 Περιλαμβάνει τη σύμβαση αγοράς &amp; επαναπώλησης χρεογράφου σύντομης διάρκειας (€1 δισ.) και τα ομόλογα υψηλής εξασφάλισης Frontier (€2.6 δισ.) | 2 Περιλαμβάνει το χαρτοφυλάκιο επενδύσεων και τα χρηματοοικονομικά περιουσιακή στοιχεία  στην εύλογη αξία μέσω αποτελεσμάτων</w:t>
                            </w:r>
                          </w:p>
                          <w:p>
                            <w:pPr>
                              <w:textAlignment w:val="baseline"/>
                              <w:rPr>
                                <w:rFonts w:ascii="Aptos" w:hAnsi="Aptos" w:cs="Segoe UI"/>
                                <w:bCs/>
                                <w:color w:val="595959"/>
                                <w:sz w:val="18"/>
                                <w:szCs w:val="18"/>
                              </w:rPr>
                            </w:pPr>
                          </w:p>
                          <w:tbl>
                            <w:tblPr>
                              <w:tblStyle w:val="4"/>
                              <w:tblW w:w="9932" w:type="dxa"/>
                              <w:tblInd w:w="0" w:type="dxa"/>
                              <w:tblLayout w:type="autofit"/>
                              <w:tblCellMar>
                                <w:top w:w="0" w:type="dxa"/>
                                <w:left w:w="0" w:type="dxa"/>
                                <w:bottom w:w="0" w:type="dxa"/>
                                <w:right w:w="0" w:type="dxa"/>
                              </w:tblCellMar>
                            </w:tblPr>
                            <w:tblGrid>
                              <w:gridCol w:w="3020"/>
                              <w:gridCol w:w="1152"/>
                              <w:gridCol w:w="1152"/>
                              <w:gridCol w:w="1152"/>
                              <w:gridCol w:w="1152"/>
                              <w:gridCol w:w="1152"/>
                              <w:gridCol w:w="1152"/>
                            </w:tblGrid>
                            <w:tr>
                              <w:tblPrEx>
                                <w:tblCellMar>
                                  <w:top w:w="0" w:type="dxa"/>
                                  <w:left w:w="0" w:type="dxa"/>
                                  <w:bottom w:w="0" w:type="dxa"/>
                                  <w:right w:w="0" w:type="dxa"/>
                                </w:tblCellMar>
                              </w:tblPrEx>
                              <w:trPr>
                                <w:trHeight w:val="288" w:hRule="atLeast"/>
                              </w:trPr>
                              <w:tc>
                                <w:tcPr>
                                  <w:tcW w:w="3020" w:type="dxa"/>
                                  <w:tcBorders>
                                    <w:top w:val="nil"/>
                                    <w:left w:val="nil"/>
                                    <w:bottom w:val="dashSmallGap" w:color="00ADBF" w:sz="4" w:space="0"/>
                                    <w:right w:val="dashSmallGap" w:color="FF7415" w:sz="12" w:space="0"/>
                                  </w:tcBorders>
                                  <w:shd w:val="clear" w:color="auto" w:fill="007B85"/>
                                  <w:tcMar>
                                    <w:top w:w="15" w:type="dxa"/>
                                    <w:left w:w="144" w:type="dxa"/>
                                    <w:bottom w:w="0" w:type="dxa"/>
                                    <w:right w:w="144" w:type="dxa"/>
                                  </w:tcMar>
                                  <w:vAlign w:val="center"/>
                                </w:tcPr>
                                <w:p>
                                  <w:pPr>
                                    <w:rPr>
                                      <w:rFonts w:ascii="Aptos" w:hAnsi="Aptos" w:eastAsia="Times New Roman" w:cs="Arial"/>
                                      <w:color w:val="FFFFFF" w:themeColor="background1"/>
                                      <w:sz w:val="18"/>
                                      <w:szCs w:val="18"/>
                                      <w:lang w:eastAsia="el-GR"/>
                                      <w14:textFill>
                                        <w14:solidFill>
                                          <w14:schemeClr w14:val="bg1"/>
                                        </w14:solidFill>
                                      </w14:textFill>
                                    </w:rPr>
                                  </w:pPr>
                                  <w:r>
                                    <w:rPr>
                                      <w:rFonts w:ascii="Aptos" w:hAnsi="Aptos" w:eastAsia="Times New Roman" w:cs="Arial"/>
                                      <w:b/>
                                      <w:bCs/>
                                      <w:color w:val="FFFFFF" w:themeColor="background1"/>
                                      <w:kern w:val="24"/>
                                      <w:sz w:val="18"/>
                                      <w:szCs w:val="18"/>
                                      <w:lang w:val="en-GB" w:eastAsia="el-GR"/>
                                      <w14:textFill>
                                        <w14:solidFill>
                                          <w14:schemeClr w14:val="bg1"/>
                                        </w14:solidFill>
                                      </w14:textFill>
                                    </w:rPr>
                                    <w:t>Κύριοι Δείκτες | Όμιλος</w:t>
                                  </w:r>
                                </w:p>
                              </w:tc>
                              <w:tc>
                                <w:tcPr>
                                  <w:tcW w:w="1152" w:type="dxa"/>
                                  <w:tcBorders>
                                    <w:top w:val="dashSmallGap" w:color="FF7415" w:sz="12" w:space="0"/>
                                    <w:left w:val="dashSmallGap" w:color="FF7415" w:sz="12" w:space="0"/>
                                    <w:bottom w:val="dashSmallGap" w:color="00ADBF" w:sz="4" w:space="0"/>
                                    <w:right w:val="dashSmallGap" w:color="FF7415" w:sz="12" w:space="0"/>
                                  </w:tcBorders>
                                  <w:shd w:val="clear" w:color="auto" w:fill="007B85"/>
                                  <w:tcMar>
                                    <w:top w:w="15" w:type="dxa"/>
                                    <w:left w:w="144" w:type="dxa"/>
                                    <w:bottom w:w="0" w:type="dxa"/>
                                    <w:right w:w="144" w:type="dxa"/>
                                  </w:tcMar>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 τρίμηνο 2023</w:t>
                                  </w:r>
                                </w:p>
                              </w:tc>
                              <w:tc>
                                <w:tcPr>
                                  <w:tcW w:w="1152" w:type="dxa"/>
                                  <w:tcBorders>
                                    <w:top w:val="nil"/>
                                    <w:left w:val="dashSmallGap" w:color="FF7415" w:sz="12" w:space="0"/>
                                    <w:bottom w:val="dashSmallGap" w:color="00ADBF" w:sz="4" w:space="0"/>
                                    <w:right w:val="nil"/>
                                  </w:tcBorders>
                                  <w:shd w:val="clear" w:color="auto" w:fill="007B85"/>
                                  <w:tcMar>
                                    <w:top w:w="15" w:type="dxa"/>
                                    <w:left w:w="144" w:type="dxa"/>
                                    <w:bottom w:w="0" w:type="dxa"/>
                                    <w:right w:w="144" w:type="dxa"/>
                                  </w:tcMar>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Γ’ τρίμηνο 2023</w:t>
                                  </w:r>
                                </w:p>
                              </w:tc>
                              <w:tc>
                                <w:tcPr>
                                  <w:tcW w:w="1152" w:type="dxa"/>
                                  <w:tcBorders>
                                    <w:top w:val="nil"/>
                                    <w:left w:val="nil"/>
                                    <w:bottom w:val="dashSmallGap" w:color="00ADBF" w:sz="4" w:space="0"/>
                                    <w:right w:val="nil"/>
                                  </w:tcBorders>
                                  <w:shd w:val="clear" w:color="auto" w:fill="007B85"/>
                                  <w:tcMar>
                                    <w:top w:w="15" w:type="dxa"/>
                                    <w:left w:w="144" w:type="dxa"/>
                                    <w:bottom w:w="0" w:type="dxa"/>
                                    <w:right w:w="144" w:type="dxa"/>
                                  </w:tcMar>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Β’ τρίμηνο 2023</w:t>
                                  </w:r>
                                </w:p>
                              </w:tc>
                              <w:tc>
                                <w:tcPr>
                                  <w:tcW w:w="1152" w:type="dxa"/>
                                  <w:tcBorders>
                                    <w:top w:val="nil"/>
                                    <w:left w:val="nil"/>
                                    <w:bottom w:val="dashSmallGap" w:color="00ADBF" w:sz="4" w:space="0"/>
                                    <w:right w:val="nil"/>
                                  </w:tcBorders>
                                  <w:shd w:val="clear" w:color="auto" w:fill="007B85"/>
                                  <w:tcMar>
                                    <w:top w:w="15" w:type="dxa"/>
                                    <w:left w:w="144" w:type="dxa"/>
                                    <w:bottom w:w="0" w:type="dxa"/>
                                    <w:right w:w="144" w:type="dxa"/>
                                  </w:tcMar>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Α’ τρίμηνο 2023</w:t>
                                  </w:r>
                                </w:p>
                              </w:tc>
                              <w:tc>
                                <w:tcPr>
                                  <w:tcW w:w="1152" w:type="dxa"/>
                                  <w:tcBorders>
                                    <w:top w:val="nil"/>
                                    <w:left w:val="nil"/>
                                    <w:bottom w:val="dashSmallGap" w:color="00ADBF" w:sz="4" w:space="0"/>
                                    <w:right w:val="nil"/>
                                  </w:tcBorders>
                                  <w:shd w:val="clear" w:color="auto" w:fill="007B85"/>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 τρίμηνο</w:t>
                                  </w:r>
                                </w:p>
                                <w:p>
                                  <w:pPr>
                                    <w:jc w:val="right"/>
                                    <w:rPr>
                                      <w:rFonts w:ascii="Aptos" w:hAnsi="Aptos" w:eastAsia="Times New Roman" w:cs="Arial"/>
                                      <w:b/>
                                      <w:bCs/>
                                      <w:color w:val="FFFFFF" w:themeColor="background1"/>
                                      <w:kern w:val="24"/>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eastAsia="el-GR"/>
                                      <w14:textFill>
                                        <w14:solidFill>
                                          <w14:schemeClr w14:val="bg1"/>
                                        </w14:solidFill>
                                      </w14:textFill>
                                    </w:rPr>
                                    <w:t>2022</w:t>
                                  </w:r>
                                </w:p>
                              </w:tc>
                              <w:tc>
                                <w:tcPr>
                                  <w:tcW w:w="1152" w:type="dxa"/>
                                  <w:tcBorders>
                                    <w:top w:val="nil"/>
                                    <w:left w:val="nil"/>
                                    <w:bottom w:val="dashSmallGap" w:color="00ADBF" w:sz="4" w:space="0"/>
                                    <w:right w:val="nil"/>
                                  </w:tcBorders>
                                  <w:shd w:val="clear" w:color="auto" w:fill="007B85"/>
                                  <w:tcMar>
                                    <w:top w:w="15" w:type="dxa"/>
                                    <w:left w:w="144" w:type="dxa"/>
                                    <w:bottom w:w="0" w:type="dxa"/>
                                    <w:right w:w="144" w:type="dxa"/>
                                  </w:tcMar>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eastAsia="el-GR"/>
                                      <w14:textFill>
                                        <w14:solidFill>
                                          <w14:schemeClr w14:val="bg1"/>
                                        </w14:solidFill>
                                      </w14:textFill>
                                    </w:rPr>
                                    <w:t>Γ</w:t>
                                  </w:r>
                                  <w:r>
                                    <w:rPr>
                                      <w:rFonts w:ascii="Aptos" w:hAnsi="Aptos" w:eastAsia="Times New Roman" w:cs="Arial"/>
                                      <w:b/>
                                      <w:bCs/>
                                      <w:color w:val="FFFFFF" w:themeColor="background1"/>
                                      <w:kern w:val="24"/>
                                      <w:sz w:val="16"/>
                                      <w:szCs w:val="16"/>
                                      <w:lang w:val="en-US" w:eastAsia="el-GR"/>
                                      <w14:textFill>
                                        <w14:solidFill>
                                          <w14:schemeClr w14:val="bg1"/>
                                        </w14:solidFill>
                                      </w14:textFill>
                                    </w:rPr>
                                    <w:t>’ τρίμηνο 202</w:t>
                                  </w:r>
                                  <w:r>
                                    <w:rPr>
                                      <w:rFonts w:ascii="Aptos" w:hAnsi="Aptos" w:eastAsia="Times New Roman" w:cs="Arial"/>
                                      <w:b/>
                                      <w:bCs/>
                                      <w:color w:val="FFFFFF" w:themeColor="background1"/>
                                      <w:kern w:val="24"/>
                                      <w:sz w:val="16"/>
                                      <w:szCs w:val="16"/>
                                      <w:lang w:eastAsia="el-GR"/>
                                      <w14:textFill>
                                        <w14:solidFill>
                                          <w14:schemeClr w14:val="bg1"/>
                                        </w14:solidFill>
                                      </w14:textFill>
                                    </w:rPr>
                                    <w:t>2</w:t>
                                  </w:r>
                                </w:p>
                              </w:tc>
                            </w:tr>
                            <w:tr>
                              <w:tblPrEx>
                                <w:tblCellMar>
                                  <w:top w:w="0" w:type="dxa"/>
                                  <w:left w:w="0" w:type="dxa"/>
                                  <w:bottom w:w="0" w:type="dxa"/>
                                  <w:right w:w="0" w:type="dxa"/>
                                </w:tblCellMar>
                              </w:tblPrEx>
                              <w:trPr>
                                <w:trHeight w:val="144"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42" w:type="dxa"/>
                                    <w:bottom w:w="0" w:type="dxa"/>
                                    <w:right w:w="15" w:type="dxa"/>
                                  </w:tcMar>
                                  <w:vAlign w:val="center"/>
                                </w:tcPr>
                                <w:p>
                                  <w:pPr>
                                    <w:textAlignment w:val="center"/>
                                    <w:rPr>
                                      <w:rFonts w:ascii="Aptos" w:hAnsi="Aptos"/>
                                      <w:b/>
                                      <w:bCs/>
                                      <w:sz w:val="16"/>
                                      <w:szCs w:val="16"/>
                                    </w:rPr>
                                  </w:pPr>
                                  <w:r>
                                    <w:rPr>
                                      <w:rFonts w:ascii="Aptos" w:hAnsi="Aptos"/>
                                      <w:b/>
                                      <w:bCs/>
                                      <w:sz w:val="16"/>
                                      <w:szCs w:val="16"/>
                                    </w:rPr>
                                    <w:t>Ρευστότητα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p>
                              </w:tc>
                              <w:tc>
                                <w:tcPr>
                                  <w:tcW w:w="1152" w:type="dxa"/>
                                  <w:tcBorders>
                                    <w:top w:val="dashSmallGap" w:color="00ADBF" w:sz="4" w:space="0"/>
                                    <w:left w:val="dashSmallGap" w:color="FF7415" w:sz="12"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p>
                              </w:tc>
                              <w:tc>
                                <w:tcPr>
                                  <w:tcW w:w="1152" w:type="dxa"/>
                                  <w:tcBorders>
                                    <w:top w:val="dashSmallGap" w:color="00ADBF" w:sz="4"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p>
                              </w:tc>
                              <w:tc>
                                <w:tcPr>
                                  <w:tcW w:w="1152" w:type="dxa"/>
                                  <w:tcBorders>
                                    <w:top w:val="dashSmallGap" w:color="00ADBF" w:sz="4"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p>
                              </w:tc>
                              <w:tc>
                                <w:tcPr>
                                  <w:tcW w:w="1152" w:type="dxa"/>
                                  <w:tcBorders>
                                    <w:top w:val="dashSmallGap" w:color="00ADBF" w:sz="4" w:space="0"/>
                                    <w:bottom w:val="dashSmallGap" w:color="00ADBF" w:sz="4" w:space="0"/>
                                  </w:tcBorders>
                                  <w:shd w:val="clear" w:color="auto" w:fill="F5F9F6"/>
                                  <w:vAlign w:val="center"/>
                                </w:tcPr>
                                <w:p>
                                  <w:pPr>
                                    <w:jc w:val="right"/>
                                    <w:rPr>
                                      <w:rFonts w:ascii="Aptos" w:hAnsi="Aptos" w:eastAsia="Times New Roman" w:cs="Arial"/>
                                      <w:kern w:val="24"/>
                                      <w:sz w:val="18"/>
                                      <w:szCs w:val="18"/>
                                      <w:lang w:val="en-US" w:eastAsia="el-GR"/>
                                    </w:rPr>
                                  </w:pPr>
                                </w:p>
                              </w:tc>
                              <w:tc>
                                <w:tcPr>
                                  <w:tcW w:w="1152" w:type="dxa"/>
                                  <w:tcBorders>
                                    <w:top w:val="dashSmallGap" w:color="00ADBF" w:sz="4" w:space="0"/>
                                    <w:bottom w:val="dashSmallGap" w:color="00ADBF" w:sz="4" w:space="0"/>
                                    <w:right w:val="dashSmallGap" w:color="00ADBF" w:sz="4" w:space="0"/>
                                  </w:tcBorders>
                                  <w:shd w:val="clear" w:color="auto" w:fill="F5F9F6"/>
                                  <w:tcMar>
                                    <w:top w:w="15" w:type="dxa"/>
                                    <w:left w:w="15" w:type="dxa"/>
                                    <w:bottom w:w="0" w:type="dxa"/>
                                    <w:right w:w="144" w:type="dxa"/>
                                  </w:tcMar>
                                  <w:vAlign w:val="center"/>
                                </w:tcPr>
                                <w:p>
                                  <w:pPr>
                                    <w:jc w:val="right"/>
                                    <w:rPr>
                                      <w:rFonts w:ascii="Aptos" w:hAnsi="Aptos" w:eastAsia="Times New Roman" w:cs="Arial"/>
                                      <w:kern w:val="24"/>
                                      <w:sz w:val="18"/>
                                      <w:szCs w:val="18"/>
                                      <w:lang w:val="en-US" w:eastAsia="el-GR"/>
                                    </w:rPr>
                                  </w:pP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sz w:val="16"/>
                                      <w:szCs w:val="16"/>
                                    </w:rPr>
                                  </w:pPr>
                                  <w:r>
                                    <w:rPr>
                                      <w:rFonts w:ascii="Aptos" w:hAnsi="Aptos"/>
                                      <w:sz w:val="16"/>
                                      <w:szCs w:val="16"/>
                                    </w:rPr>
                                    <w:t>Δάνεια (μετά από προβλέψεις) προς καταθέσεις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5</w:t>
                                  </w:r>
                                  <w:r>
                                    <w:rPr>
                                      <w:rFonts w:ascii="Aptos" w:hAnsi="Aptos"/>
                                      <w:sz w:val="18"/>
                                      <w:szCs w:val="18"/>
                                      <w:lang w:val="en-US"/>
                                    </w:rPr>
                                    <w:t>8</w:t>
                                  </w:r>
                                  <w:r>
                                    <w:rPr>
                                      <w:rFonts w:ascii="Aptos" w:hAnsi="Aptos"/>
                                      <w:sz w:val="18"/>
                                      <w:szCs w:val="18"/>
                                    </w:rPr>
                                    <w:t>%</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57%</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57%</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58%</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59%</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5"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56%</w:t>
                                  </w: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sz w:val="16"/>
                                      <w:szCs w:val="16"/>
                                    </w:rPr>
                                  </w:pPr>
                                  <w:r>
                                    <w:rPr>
                                      <w:rFonts w:ascii="Aptos" w:hAnsi="Aptos"/>
                                      <w:sz w:val="16"/>
                                      <w:szCs w:val="16"/>
                                    </w:rPr>
                                    <w:t>Δείκτης Κάλυψης Ρευστότητας (LCR)</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2</w:t>
                                  </w:r>
                                  <w:r>
                                    <w:rPr>
                                      <w:rFonts w:ascii="Aptos" w:hAnsi="Aptos"/>
                                      <w:sz w:val="18"/>
                                      <w:szCs w:val="18"/>
                                      <w:lang w:val="en-US"/>
                                    </w:rPr>
                                    <w:t>6</w:t>
                                  </w:r>
                                  <w:r>
                                    <w:rPr>
                                      <w:rFonts w:ascii="Aptos" w:hAnsi="Aptos"/>
                                      <w:sz w:val="18"/>
                                      <w:szCs w:val="18"/>
                                    </w:rPr>
                                    <w:t>2%</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252%</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254%</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269%</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eastAsia="el-GR"/>
                                    </w:rPr>
                                  </w:pPr>
                                  <w:r>
                                    <w:rPr>
                                      <w:rFonts w:ascii="Aptos" w:hAnsi="Aptos"/>
                                      <w:sz w:val="18"/>
                                      <w:szCs w:val="18"/>
                                    </w:rPr>
                                    <w:t>259%</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249%</w:t>
                                  </w:r>
                                </w:p>
                              </w:tc>
                            </w:tr>
                            <w:tr>
                              <w:tblPrEx>
                                <w:tblCellMar>
                                  <w:top w:w="0" w:type="dxa"/>
                                  <w:left w:w="0" w:type="dxa"/>
                                  <w:bottom w:w="0" w:type="dxa"/>
                                  <w:right w:w="0" w:type="dxa"/>
                                </w:tblCellMar>
                              </w:tblPrEx>
                              <w:trPr>
                                <w:trHeight w:val="144"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42" w:type="dxa"/>
                                    <w:bottom w:w="0" w:type="dxa"/>
                                    <w:right w:w="15" w:type="dxa"/>
                                  </w:tcMar>
                                  <w:vAlign w:val="center"/>
                                </w:tcPr>
                                <w:p>
                                  <w:pPr>
                                    <w:textAlignment w:val="center"/>
                                    <w:rPr>
                                      <w:rFonts w:ascii="Aptos" w:hAnsi="Aptos"/>
                                      <w:b/>
                                      <w:bCs/>
                                      <w:sz w:val="16"/>
                                      <w:szCs w:val="16"/>
                                    </w:rPr>
                                  </w:pPr>
                                  <w:r>
                                    <w:rPr>
                                      <w:rFonts w:ascii="Aptos" w:hAnsi="Aptos"/>
                                      <w:b/>
                                      <w:bCs/>
                                      <w:sz w:val="16"/>
                                      <w:szCs w:val="16"/>
                                    </w:rPr>
                                    <w:t>Κερδοφορία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8"/>
                                      <w:szCs w:val="18"/>
                                      <w:lang w:eastAsia="el-GR"/>
                                    </w:rPr>
                                  </w:pPr>
                                </w:p>
                              </w:tc>
                              <w:tc>
                                <w:tcPr>
                                  <w:tcW w:w="1152" w:type="dxa"/>
                                  <w:tcBorders>
                                    <w:top w:val="dashSmallGap" w:color="00ADBF" w:sz="4" w:space="0"/>
                                    <w:left w:val="dashSmallGap" w:color="FF7415" w:sz="12"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8"/>
                                      <w:szCs w:val="18"/>
                                      <w:lang w:eastAsia="el-GR"/>
                                    </w:rPr>
                                  </w:pPr>
                                </w:p>
                              </w:tc>
                              <w:tc>
                                <w:tcPr>
                                  <w:tcW w:w="1152" w:type="dxa"/>
                                  <w:tcBorders>
                                    <w:top w:val="dashSmallGap" w:color="00ADBF" w:sz="4"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8"/>
                                      <w:szCs w:val="18"/>
                                      <w:lang w:eastAsia="el-GR"/>
                                    </w:rPr>
                                  </w:pPr>
                                </w:p>
                              </w:tc>
                              <w:tc>
                                <w:tcPr>
                                  <w:tcW w:w="1152" w:type="dxa"/>
                                  <w:tcBorders>
                                    <w:top w:val="dashSmallGap" w:color="00ADBF" w:sz="4"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8"/>
                                      <w:szCs w:val="18"/>
                                      <w:lang w:eastAsia="el-GR"/>
                                    </w:rPr>
                                  </w:pPr>
                                </w:p>
                              </w:tc>
                              <w:tc>
                                <w:tcPr>
                                  <w:tcW w:w="1152" w:type="dxa"/>
                                  <w:tcBorders>
                                    <w:top w:val="dashSmallGap" w:color="00ADBF" w:sz="4" w:space="0"/>
                                    <w:bottom w:val="dashSmallGap" w:color="00ADBF" w:sz="4" w:space="0"/>
                                  </w:tcBorders>
                                  <w:shd w:val="clear" w:color="auto" w:fill="F5F9F6"/>
                                  <w:vAlign w:val="center"/>
                                </w:tcPr>
                                <w:p>
                                  <w:pPr>
                                    <w:jc w:val="right"/>
                                    <w:rPr>
                                      <w:rFonts w:ascii="Aptos" w:hAnsi="Aptos" w:eastAsia="Times New Roman" w:cs="Arial"/>
                                      <w:kern w:val="24"/>
                                      <w:sz w:val="18"/>
                                      <w:szCs w:val="18"/>
                                      <w:lang w:eastAsia="el-GR"/>
                                    </w:rPr>
                                  </w:pPr>
                                </w:p>
                              </w:tc>
                              <w:tc>
                                <w:tcPr>
                                  <w:tcW w:w="1152" w:type="dxa"/>
                                  <w:tcBorders>
                                    <w:top w:val="dashSmallGap" w:color="00ADBF" w:sz="4"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8"/>
                                      <w:szCs w:val="18"/>
                                      <w:lang w:eastAsia="el-GR"/>
                                    </w:rPr>
                                  </w:pP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sz w:val="16"/>
                                      <w:szCs w:val="16"/>
                                    </w:rPr>
                                  </w:pPr>
                                  <w:r>
                                    <w:rPr>
                                      <w:rFonts w:ascii="Aptos" w:hAnsi="Aptos"/>
                                      <w:sz w:val="16"/>
                                      <w:szCs w:val="16"/>
                                    </w:rPr>
                                    <w:t>Καθαρό επιτοκιακό περιθώριο (μ.β.)</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val="en-US" w:eastAsia="el-GR"/>
                                    </w:rPr>
                                  </w:pPr>
                                  <w:r>
                                    <w:rPr>
                                      <w:rFonts w:ascii="Aptos" w:hAnsi="Aptos"/>
                                      <w:sz w:val="18"/>
                                      <w:szCs w:val="18"/>
                                      <w:lang w:val="en-US"/>
                                    </w:rPr>
                                    <w:t>337</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val="en-US" w:eastAsia="el-GR"/>
                                    </w:rPr>
                                  </w:pPr>
                                  <w:r>
                                    <w:rPr>
                                      <w:rFonts w:ascii="Aptos" w:hAnsi="Aptos"/>
                                      <w:sz w:val="18"/>
                                      <w:szCs w:val="18"/>
                                    </w:rPr>
                                    <w:t>32</w:t>
                                  </w:r>
                                  <w:r>
                                    <w:rPr>
                                      <w:rFonts w:ascii="Aptos" w:hAnsi="Aptos"/>
                                      <w:sz w:val="18"/>
                                      <w:szCs w:val="18"/>
                                      <w:lang w:val="en-US"/>
                                    </w:rPr>
                                    <w:t>2</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297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260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212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173 </w:t>
                                  </w: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sz w:val="16"/>
                                      <w:szCs w:val="16"/>
                                    </w:rPr>
                                  </w:pPr>
                                  <w:r>
                                    <w:rPr>
                                      <w:rFonts w:ascii="Aptos" w:hAnsi="Aptos"/>
                                      <w:sz w:val="16"/>
                                      <w:szCs w:val="16"/>
                                    </w:rPr>
                                    <w:t xml:space="preserve">Δείκτης κόστους προς οργανικά έσοδα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3</w:t>
                                  </w:r>
                                  <w:r>
                                    <w:rPr>
                                      <w:rFonts w:ascii="Aptos" w:hAnsi="Aptos"/>
                                      <w:sz w:val="18"/>
                                      <w:szCs w:val="18"/>
                                      <w:lang w:val="en-US"/>
                                    </w:rPr>
                                    <w:t>2</w:t>
                                  </w:r>
                                  <w:r>
                                    <w:rPr>
                                      <w:rFonts w:ascii="Aptos" w:hAnsi="Aptos"/>
                                      <w:sz w:val="18"/>
                                      <w:szCs w:val="18"/>
                                    </w:rPr>
                                    <w:t>%</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30%</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31%</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34%</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43%</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45%</w:t>
                                  </w: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sz w:val="16"/>
                                      <w:szCs w:val="16"/>
                                    </w:rPr>
                                  </w:pPr>
                                  <w:r>
                                    <w:rPr>
                                      <w:rFonts w:ascii="Aptos" w:hAnsi="Aptos"/>
                                      <w:sz w:val="16"/>
                                      <w:szCs w:val="16"/>
                                    </w:rPr>
                                    <w:t>Kόστος πιστωτικού κινδύνου</w:t>
                                  </w:r>
                                  <w:r>
                                    <w:rPr>
                                      <w:rFonts w:ascii="Aptos" w:hAnsi="Aptos"/>
                                      <w:sz w:val="16"/>
                                      <w:szCs w:val="16"/>
                                      <w:vertAlign w:val="superscript"/>
                                    </w:rPr>
                                    <w:t>1</w:t>
                                  </w:r>
                                  <w:r>
                                    <w:rPr>
                                      <w:rFonts w:ascii="Aptos" w:hAnsi="Aptos"/>
                                      <w:sz w:val="16"/>
                                      <w:szCs w:val="16"/>
                                    </w:rPr>
                                    <w:t xml:space="preserve"> (μ.β.)</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sz w:val="16"/>
                                      <w:szCs w:val="16"/>
                                    </w:rPr>
                                  </w:pPr>
                                  <w:r>
                                    <w:rPr>
                                      <w:rFonts w:ascii="Aptos" w:hAnsi="Aptos"/>
                                      <w:sz w:val="16"/>
                                      <w:szCs w:val="16"/>
                                    </w:rPr>
                                    <w:t>58</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sz w:val="16"/>
                                      <w:szCs w:val="16"/>
                                    </w:rPr>
                                  </w:pPr>
                                  <w:r>
                                    <w:rPr>
                                      <w:rFonts w:ascii="Aptos" w:hAnsi="Aptos"/>
                                      <w:sz w:val="16"/>
                                      <w:szCs w:val="16"/>
                                    </w:rPr>
                                    <w:t>63</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sz w:val="16"/>
                                      <w:szCs w:val="16"/>
                                    </w:rPr>
                                  </w:pPr>
                                  <w:r>
                                    <w:rPr>
                                      <w:rFonts w:ascii="Aptos" w:hAnsi="Aptos"/>
                                      <w:sz w:val="16"/>
                                      <w:szCs w:val="16"/>
                                    </w:rPr>
                                    <w:t xml:space="preserve">66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sz w:val="16"/>
                                      <w:szCs w:val="16"/>
                                    </w:rPr>
                                  </w:pPr>
                                  <w:r>
                                    <w:rPr>
                                      <w:rFonts w:ascii="Aptos" w:hAnsi="Aptos"/>
                                      <w:sz w:val="16"/>
                                      <w:szCs w:val="16"/>
                                    </w:rPr>
                                    <w:t xml:space="preserve">70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sz w:val="16"/>
                                      <w:szCs w:val="16"/>
                                    </w:rPr>
                                  </w:pPr>
                                  <w:r>
                                    <w:rPr>
                                      <w:rFonts w:ascii="Aptos" w:hAnsi="Aptos"/>
                                      <w:sz w:val="16"/>
                                      <w:szCs w:val="16"/>
                                    </w:rPr>
                                    <w:t xml:space="preserve">72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sz w:val="16"/>
                                      <w:szCs w:val="16"/>
                                    </w:rPr>
                                  </w:pPr>
                                  <w:r>
                                    <w:rPr>
                                      <w:rFonts w:ascii="Aptos" w:hAnsi="Aptos"/>
                                      <w:sz w:val="16"/>
                                      <w:szCs w:val="16"/>
                                    </w:rPr>
                                    <w:t xml:space="preserve">71 </w:t>
                                  </w: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sz w:val="16"/>
                                      <w:szCs w:val="16"/>
                                    </w:rPr>
                                  </w:pPr>
                                  <w:r>
                                    <w:rPr>
                                      <w:rFonts w:ascii="Aptos" w:hAnsi="Aptos"/>
                                      <w:sz w:val="16"/>
                                      <w:szCs w:val="16"/>
                                    </w:rPr>
                                    <w:t>Περιθώριο οργανικού κέρδους μετά φόρων (μ.β.)</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sz w:val="16"/>
                                      <w:szCs w:val="16"/>
                                    </w:rPr>
                                  </w:pPr>
                                  <w:r>
                                    <w:rPr>
                                      <w:rFonts w:ascii="Aptos" w:hAnsi="Aptos"/>
                                      <w:sz w:val="16"/>
                                      <w:szCs w:val="16"/>
                                    </w:rPr>
                                    <w:t>421</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sz w:val="16"/>
                                      <w:szCs w:val="16"/>
                                    </w:rPr>
                                  </w:pPr>
                                  <w:r>
                                    <w:rPr>
                                      <w:rFonts w:ascii="Aptos" w:hAnsi="Aptos"/>
                                      <w:sz w:val="16"/>
                                      <w:szCs w:val="16"/>
                                    </w:rPr>
                                    <w:t>431</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sz w:val="16"/>
                                      <w:szCs w:val="16"/>
                                    </w:rPr>
                                  </w:pPr>
                                  <w:r>
                                    <w:rPr>
                                      <w:rFonts w:ascii="Aptos" w:hAnsi="Aptos"/>
                                      <w:sz w:val="16"/>
                                      <w:szCs w:val="16"/>
                                    </w:rPr>
                                    <w:t xml:space="preserve">360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sz w:val="16"/>
                                      <w:szCs w:val="16"/>
                                    </w:rPr>
                                  </w:pPr>
                                  <w:r>
                                    <w:rPr>
                                      <w:rFonts w:ascii="Aptos" w:hAnsi="Aptos"/>
                                      <w:sz w:val="16"/>
                                      <w:szCs w:val="16"/>
                                    </w:rPr>
                                    <w:t xml:space="preserve">273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sz w:val="16"/>
                                      <w:szCs w:val="16"/>
                                    </w:rPr>
                                  </w:pPr>
                                  <w:r>
                                    <w:rPr>
                                      <w:rFonts w:ascii="Aptos" w:hAnsi="Aptos"/>
                                      <w:sz w:val="16"/>
                                      <w:szCs w:val="16"/>
                                    </w:rPr>
                                    <w:t>239</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sz w:val="16"/>
                                      <w:szCs w:val="16"/>
                                    </w:rPr>
                                  </w:pPr>
                                  <w:r>
                                    <w:rPr>
                                      <w:rFonts w:ascii="Aptos" w:hAnsi="Aptos"/>
                                      <w:sz w:val="16"/>
                                      <w:szCs w:val="16"/>
                                    </w:rPr>
                                    <w:t>181</w:t>
                                  </w: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sz w:val="16"/>
                                      <w:szCs w:val="16"/>
                                    </w:rPr>
                                  </w:pPr>
                                  <w:r>
                                    <w:rPr>
                                      <w:rFonts w:ascii="Aptos" w:hAnsi="Aptos"/>
                                      <w:sz w:val="16"/>
                                      <w:szCs w:val="16"/>
                                    </w:rPr>
                                    <w:t>Απόδοση ιδίων κεφαλαίων</w:t>
                                  </w:r>
                                  <w:r>
                                    <w:rPr>
                                      <w:rFonts w:ascii="Aptos" w:hAnsi="Aptos"/>
                                      <w:sz w:val="16"/>
                                      <w:szCs w:val="16"/>
                                      <w:vertAlign w:val="superscript"/>
                                    </w:rPr>
                                    <w:t>2</w:t>
                                  </w:r>
                                  <w:r>
                                    <w:rPr>
                                      <w:rFonts w:ascii="Aptos" w:hAnsi="Aptos"/>
                                      <w:sz w:val="16"/>
                                      <w:szCs w:val="16"/>
                                    </w:rPr>
                                    <w:t xml:space="preserve">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6"/>
                                      <w:szCs w:val="16"/>
                                      <w:lang w:eastAsia="el-GR"/>
                                    </w:rPr>
                                  </w:pPr>
                                  <w:r>
                                    <w:rPr>
                                      <w:rFonts w:ascii="Aptos" w:hAnsi="Aptos"/>
                                      <w:sz w:val="16"/>
                                      <w:szCs w:val="16"/>
                                    </w:rPr>
                                    <w:t>19,9%</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6"/>
                                      <w:szCs w:val="16"/>
                                      <w:lang w:val="en-US" w:eastAsia="el-GR"/>
                                    </w:rPr>
                                  </w:pPr>
                                  <w:r>
                                    <w:rPr>
                                      <w:rFonts w:ascii="Aptos" w:hAnsi="Aptos"/>
                                      <w:sz w:val="16"/>
                                      <w:szCs w:val="16"/>
                                    </w:rPr>
                                    <w:t>20,8%</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6"/>
                                      <w:szCs w:val="16"/>
                                      <w:lang w:val="en-US" w:eastAsia="el-GR"/>
                                    </w:rPr>
                                  </w:pPr>
                                  <w:r>
                                    <w:rPr>
                                      <w:rFonts w:ascii="Aptos" w:hAnsi="Aptos"/>
                                      <w:sz w:val="16"/>
                                      <w:szCs w:val="16"/>
                                    </w:rPr>
                                    <w:t>18,0%</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6"/>
                                      <w:szCs w:val="16"/>
                                      <w:lang w:val="en-US" w:eastAsia="el-GR"/>
                                    </w:rPr>
                                  </w:pPr>
                                  <w:r>
                                    <w:rPr>
                                      <w:rFonts w:ascii="Aptos" w:hAnsi="Aptos"/>
                                      <w:sz w:val="16"/>
                                      <w:szCs w:val="16"/>
                                    </w:rPr>
                                    <w:t>14,3%</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val="en-US" w:eastAsia="el-GR"/>
                                    </w:rPr>
                                  </w:pPr>
                                  <w:r>
                                    <w:rPr>
                                      <w:rFonts w:ascii="Aptos" w:hAnsi="Aptos"/>
                                      <w:sz w:val="16"/>
                                      <w:szCs w:val="16"/>
                                    </w:rPr>
                                    <w:t>13,1%</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6"/>
                                      <w:szCs w:val="16"/>
                                      <w:lang w:val="en-US" w:eastAsia="el-GR"/>
                                    </w:rPr>
                                  </w:pPr>
                                  <w:r>
                                    <w:rPr>
                                      <w:rFonts w:ascii="Aptos" w:hAnsi="Aptos"/>
                                      <w:sz w:val="16"/>
                                      <w:szCs w:val="16"/>
                                    </w:rPr>
                                    <w:t>10,2%</w:t>
                                  </w:r>
                                </w:p>
                              </w:tc>
                            </w:tr>
                            <w:tr>
                              <w:tblPrEx>
                                <w:tblCellMar>
                                  <w:top w:w="0" w:type="dxa"/>
                                  <w:left w:w="0" w:type="dxa"/>
                                  <w:bottom w:w="0" w:type="dxa"/>
                                  <w:right w:w="0" w:type="dxa"/>
                                </w:tblCellMar>
                              </w:tblPrEx>
                              <w:trPr>
                                <w:trHeight w:val="144"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42" w:type="dxa"/>
                                    <w:bottom w:w="0" w:type="dxa"/>
                                    <w:right w:w="15" w:type="dxa"/>
                                  </w:tcMar>
                                  <w:vAlign w:val="center"/>
                                </w:tcPr>
                                <w:p>
                                  <w:pPr>
                                    <w:textAlignment w:val="center"/>
                                    <w:rPr>
                                      <w:rFonts w:ascii="Aptos" w:hAnsi="Aptos"/>
                                      <w:b/>
                                      <w:bCs/>
                                      <w:sz w:val="16"/>
                                      <w:szCs w:val="16"/>
                                    </w:rPr>
                                  </w:pPr>
                                  <w:r>
                                    <w:rPr>
                                      <w:rFonts w:ascii="Aptos" w:hAnsi="Aptos"/>
                                      <w:b/>
                                      <w:bCs/>
                                      <w:sz w:val="16"/>
                                      <w:szCs w:val="16"/>
                                    </w:rPr>
                                    <w:t>Ποιότητα δανειακού χαρτοφυλακίου</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p>
                              </w:tc>
                              <w:tc>
                                <w:tcPr>
                                  <w:tcW w:w="1152" w:type="dxa"/>
                                  <w:tcBorders>
                                    <w:top w:val="dashSmallGap" w:color="00ADBF" w:sz="4" w:space="0"/>
                                    <w:left w:val="dashSmallGap" w:color="FF7415" w:sz="12"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p>
                              </w:tc>
                              <w:tc>
                                <w:tcPr>
                                  <w:tcW w:w="1152" w:type="dxa"/>
                                  <w:tcBorders>
                                    <w:top w:val="dashSmallGap" w:color="00ADBF" w:sz="4"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p>
                              </w:tc>
                              <w:tc>
                                <w:tcPr>
                                  <w:tcW w:w="1152" w:type="dxa"/>
                                  <w:tcBorders>
                                    <w:top w:val="dashSmallGap" w:color="00ADBF" w:sz="4"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p>
                              </w:tc>
                              <w:tc>
                                <w:tcPr>
                                  <w:tcW w:w="1152" w:type="dxa"/>
                                  <w:tcBorders>
                                    <w:top w:val="dashSmallGap" w:color="00ADBF" w:sz="4" w:space="0"/>
                                    <w:bottom w:val="dashSmallGap" w:color="00ADBF" w:sz="4" w:space="0"/>
                                  </w:tcBorders>
                                  <w:shd w:val="clear" w:color="auto" w:fill="F5F9F6"/>
                                  <w:vAlign w:val="center"/>
                                </w:tcPr>
                                <w:p>
                                  <w:pPr>
                                    <w:jc w:val="right"/>
                                    <w:rPr>
                                      <w:rFonts w:ascii="Aptos" w:hAnsi="Aptos" w:eastAsia="Times New Roman" w:cs="Arial"/>
                                      <w:b/>
                                      <w:bCs/>
                                      <w:kern w:val="24"/>
                                      <w:sz w:val="18"/>
                                      <w:szCs w:val="18"/>
                                      <w:lang w:val="en-US" w:eastAsia="el-GR"/>
                                    </w:rPr>
                                  </w:pPr>
                                </w:p>
                              </w:tc>
                              <w:tc>
                                <w:tcPr>
                                  <w:tcW w:w="1152" w:type="dxa"/>
                                  <w:tcBorders>
                                    <w:top w:val="dashSmallGap" w:color="00ADBF" w:sz="4"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sz w:val="16"/>
                                      <w:szCs w:val="16"/>
                                    </w:rPr>
                                  </w:pPr>
                                  <w:r>
                                    <w:rPr>
                                      <w:rFonts w:ascii="Aptos" w:hAnsi="Aptos"/>
                                      <w:sz w:val="16"/>
                                      <w:szCs w:val="16"/>
                                    </w:rPr>
                                    <w:t>Δείκτης Μη Εξυπηρετούμενων Ανοιγμάτων</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3,7%</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3,7%</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5,4%</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5,2%</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5,2%</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6,1%</w:t>
                                  </w: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sz w:val="16"/>
                                      <w:szCs w:val="16"/>
                                    </w:rPr>
                                  </w:pPr>
                                  <w:r>
                                    <w:rPr>
                                      <w:rFonts w:ascii="Aptos" w:hAnsi="Aptos"/>
                                      <w:sz w:val="16"/>
                                      <w:szCs w:val="16"/>
                                    </w:rPr>
                                    <w:t>Δείκτης κάλυψης Μη Εξυπηρετούμενων Ανοιγμάτων</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lang w:val="en-US"/>
                                    </w:rPr>
                                    <w:t>87</w:t>
                                  </w:r>
                                  <w:r>
                                    <w:rPr>
                                      <w:rFonts w:ascii="Aptos" w:hAnsi="Aptos"/>
                                      <w:sz w:val="18"/>
                                      <w:szCs w:val="18"/>
                                    </w:rPr>
                                    <w:t>,</w:t>
                                  </w:r>
                                  <w:r>
                                    <w:rPr>
                                      <w:rFonts w:ascii="Aptos" w:hAnsi="Aptos"/>
                                      <w:sz w:val="18"/>
                                      <w:szCs w:val="18"/>
                                      <w:lang w:val="en-US"/>
                                    </w:rPr>
                                    <w:t>5</w:t>
                                  </w:r>
                                  <w:r>
                                    <w:rPr>
                                      <w:rFonts w:ascii="Aptos" w:hAnsi="Aptos"/>
                                      <w:sz w:val="18"/>
                                      <w:szCs w:val="18"/>
                                    </w:rPr>
                                    <w:t>%</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93,1%</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82,1%</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87,6%</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87,3%</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82,1%</w:t>
                                  </w:r>
                                </w:p>
                              </w:tc>
                            </w:tr>
                            <w:tr>
                              <w:tblPrEx>
                                <w:tblCellMar>
                                  <w:top w:w="0" w:type="dxa"/>
                                  <w:left w:w="0" w:type="dxa"/>
                                  <w:bottom w:w="0" w:type="dxa"/>
                                  <w:right w:w="0" w:type="dxa"/>
                                </w:tblCellMar>
                              </w:tblPrEx>
                              <w:trPr>
                                <w:trHeight w:val="144"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42" w:type="dxa"/>
                                    <w:bottom w:w="0" w:type="dxa"/>
                                    <w:right w:w="15" w:type="dxa"/>
                                  </w:tcMar>
                                  <w:vAlign w:val="center"/>
                                </w:tcPr>
                                <w:p>
                                  <w:pPr>
                                    <w:textAlignment w:val="center"/>
                                    <w:rPr>
                                      <w:rFonts w:ascii="Aptos" w:hAnsi="Aptos"/>
                                      <w:b/>
                                      <w:bCs/>
                                      <w:sz w:val="16"/>
                                      <w:szCs w:val="16"/>
                                    </w:rPr>
                                  </w:pPr>
                                  <w:r>
                                    <w:rPr>
                                      <w:rFonts w:ascii="Aptos" w:hAnsi="Aptos"/>
                                      <w:b/>
                                      <w:bCs/>
                                      <w:sz w:val="16"/>
                                      <w:szCs w:val="16"/>
                                    </w:rPr>
                                    <w:t>Κεφαλαιακή επάρκεια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p>
                              </w:tc>
                              <w:tc>
                                <w:tcPr>
                                  <w:tcW w:w="1152" w:type="dxa"/>
                                  <w:tcBorders>
                                    <w:top w:val="dashSmallGap" w:color="00ADBF" w:sz="4" w:space="0"/>
                                    <w:left w:val="dashSmallGap" w:color="FF7415" w:sz="12"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p>
                              </w:tc>
                              <w:tc>
                                <w:tcPr>
                                  <w:tcW w:w="1152" w:type="dxa"/>
                                  <w:tcBorders>
                                    <w:top w:val="dashSmallGap" w:color="00ADBF" w:sz="4"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p>
                              </w:tc>
                              <w:tc>
                                <w:tcPr>
                                  <w:tcW w:w="1152" w:type="dxa"/>
                                  <w:tcBorders>
                                    <w:top w:val="dashSmallGap" w:color="00ADBF" w:sz="4"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p>
                              </w:tc>
                              <w:tc>
                                <w:tcPr>
                                  <w:tcW w:w="1152" w:type="dxa"/>
                                  <w:tcBorders>
                                    <w:top w:val="dashSmallGap" w:color="00ADBF" w:sz="4" w:space="0"/>
                                    <w:bottom w:val="dashSmallGap" w:color="00ADBF" w:sz="4" w:space="0"/>
                                  </w:tcBorders>
                                  <w:shd w:val="clear" w:color="auto" w:fill="F5F9F6"/>
                                  <w:vAlign w:val="center"/>
                                </w:tcPr>
                                <w:p>
                                  <w:pPr>
                                    <w:jc w:val="right"/>
                                    <w:rPr>
                                      <w:rFonts w:ascii="Aptos" w:hAnsi="Aptos" w:eastAsia="Times New Roman" w:cs="Arial"/>
                                      <w:b/>
                                      <w:bCs/>
                                      <w:kern w:val="24"/>
                                      <w:sz w:val="18"/>
                                      <w:szCs w:val="18"/>
                                      <w:lang w:val="en-US" w:eastAsia="el-GR"/>
                                    </w:rPr>
                                  </w:pPr>
                                </w:p>
                              </w:tc>
                              <w:tc>
                                <w:tcPr>
                                  <w:tcW w:w="1152" w:type="dxa"/>
                                  <w:tcBorders>
                                    <w:top w:val="dashSmallGap" w:color="00ADBF" w:sz="4"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sz w:val="16"/>
                                      <w:szCs w:val="16"/>
                                    </w:rPr>
                                  </w:pPr>
                                  <w:r>
                                    <w:rPr>
                                      <w:rFonts w:ascii="Aptos" w:hAnsi="Aptos"/>
                                      <w:sz w:val="16"/>
                                      <w:szCs w:val="16"/>
                                    </w:rPr>
                                    <w:t>Συνολικός Δείκτης Κεφαλ/κής Επάρκειας</w:t>
                                  </w:r>
                                  <w:r>
                                    <w:rPr>
                                      <w:rFonts w:ascii="Aptos" w:hAnsi="Aptos"/>
                                      <w:sz w:val="16"/>
                                      <w:szCs w:val="16"/>
                                      <w:vertAlign w:val="superscript"/>
                                    </w:rPr>
                                    <w:t>3</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20,</w:t>
                                  </w:r>
                                  <w:r>
                                    <w:rPr>
                                      <w:rFonts w:ascii="Aptos" w:hAnsi="Aptos"/>
                                      <w:sz w:val="18"/>
                                      <w:szCs w:val="18"/>
                                      <w:lang w:val="en-US"/>
                                    </w:rPr>
                                    <w:t>2</w:t>
                                  </w:r>
                                  <w:r>
                                    <w:rPr>
                                      <w:rFonts w:ascii="Aptos" w:hAnsi="Aptos"/>
                                      <w:sz w:val="18"/>
                                      <w:szCs w:val="18"/>
                                    </w:rPr>
                                    <w:t>%</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20,3%</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18,3%</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17,6%</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sz w:val="18"/>
                                      <w:szCs w:val="18"/>
                                    </w:rPr>
                                    <w:t>16,8%</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16,3%</w:t>
                                  </w: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sz w:val="16"/>
                                      <w:szCs w:val="16"/>
                                      <w:lang w:val="en-US"/>
                                    </w:rPr>
                                  </w:pPr>
                                  <w:r>
                                    <w:rPr>
                                      <w:rFonts w:ascii="Aptos" w:hAnsi="Aptos"/>
                                      <w:sz w:val="16"/>
                                      <w:szCs w:val="16"/>
                                    </w:rPr>
                                    <w:t>Δείκτης CET1</w:t>
                                  </w:r>
                                  <w:r>
                                    <w:rPr>
                                      <w:rFonts w:ascii="Aptos" w:hAnsi="Aptos"/>
                                      <w:sz w:val="16"/>
                                      <w:szCs w:val="16"/>
                                      <w:vertAlign w:val="superscript"/>
                                    </w:rPr>
                                    <w:t>3</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17,</w:t>
                                  </w:r>
                                  <w:r>
                                    <w:rPr>
                                      <w:rFonts w:ascii="Aptos" w:hAnsi="Aptos"/>
                                      <w:sz w:val="18"/>
                                      <w:szCs w:val="18"/>
                                      <w:lang w:val="en-US"/>
                                    </w:rPr>
                                    <w:t>8</w:t>
                                  </w:r>
                                  <w:r>
                                    <w:rPr>
                                      <w:rFonts w:ascii="Aptos" w:hAnsi="Aptos"/>
                                      <w:sz w:val="18"/>
                                      <w:szCs w:val="18"/>
                                    </w:rPr>
                                    <w:t>%</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17,9%</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17,3%</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16,5%</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sz w:val="18"/>
                                      <w:szCs w:val="18"/>
                                    </w:rPr>
                                    <w:t>15,7%</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15,2%</w:t>
                                  </w: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kern w:val="24"/>
                                      <w:sz w:val="18"/>
                                      <w:szCs w:val="18"/>
                                      <w:lang w:val="en-US" w:eastAsia="el-GR"/>
                                    </w:rPr>
                                  </w:pPr>
                                  <w:r>
                                    <w:rPr>
                                      <w:rFonts w:ascii="Aptos" w:hAnsi="Aptos"/>
                                      <w:sz w:val="16"/>
                                      <w:szCs w:val="16"/>
                                    </w:rPr>
                                    <w:t>Σταθμισμένα στοιχεία ενεργητικού</w:t>
                                  </w:r>
                                  <w:r>
                                    <w:rPr>
                                      <w:rFonts w:ascii="Aptos" w:hAnsi="Aptos"/>
                                      <w:sz w:val="16"/>
                                      <w:szCs w:val="16"/>
                                      <w:vertAlign w:val="superscript"/>
                                    </w:rPr>
                                    <w:t>3</w:t>
                                  </w:r>
                                  <w:r>
                                    <w:rPr>
                                      <w:rFonts w:ascii="Aptos" w:hAnsi="Aptos"/>
                                      <w:sz w:val="16"/>
                                      <w:szCs w:val="16"/>
                                    </w:rPr>
                                    <w:t xml:space="preserve"> (€ δισ.)</w:t>
                                  </w:r>
                                </w:p>
                              </w:tc>
                              <w:tc>
                                <w:tcPr>
                                  <w:tcW w:w="1152" w:type="dxa"/>
                                  <w:tcBorders>
                                    <w:top w:val="dashSmallGap" w:color="00ADBF" w:sz="4" w:space="0"/>
                                    <w:left w:val="dashSmallGap" w:color="FF7415" w:sz="12" w:space="0"/>
                                    <w:bottom w:val="dashSmallGap" w:color="FF7415" w:sz="12"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3</w:t>
                                  </w:r>
                                  <w:r>
                                    <w:rPr>
                                      <w:rFonts w:ascii="Aptos" w:hAnsi="Aptos"/>
                                      <w:sz w:val="18"/>
                                      <w:szCs w:val="18"/>
                                      <w:lang w:val="en-US"/>
                                    </w:rPr>
                                    <w:t>7,7</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36</w:t>
                                  </w:r>
                                  <w:r>
                                    <w:rPr>
                                      <w:rFonts w:ascii="Aptos" w:hAnsi="Aptos"/>
                                      <w:sz w:val="18"/>
                                      <w:szCs w:val="18"/>
                                      <w:lang w:val="en-US"/>
                                    </w:rPr>
                                    <w:t>,</w:t>
                                  </w:r>
                                  <w:r>
                                    <w:rPr>
                                      <w:rFonts w:ascii="Aptos" w:hAnsi="Aptos"/>
                                      <w:sz w:val="18"/>
                                      <w:szCs w:val="18"/>
                                    </w:rPr>
                                    <w:t>6</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36</w:t>
                                  </w:r>
                                  <w:r>
                                    <w:rPr>
                                      <w:rFonts w:ascii="Aptos" w:hAnsi="Aptos"/>
                                      <w:sz w:val="18"/>
                                      <w:szCs w:val="18"/>
                                      <w:lang w:val="en-US"/>
                                    </w:rPr>
                                    <w:t>,</w:t>
                                  </w:r>
                                  <w:r>
                                    <w:rPr>
                                      <w:rFonts w:ascii="Aptos" w:hAnsi="Aptos"/>
                                      <w:sz w:val="18"/>
                                      <w:szCs w:val="18"/>
                                    </w:rPr>
                                    <w:t>7</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36</w:t>
                                  </w:r>
                                  <w:r>
                                    <w:rPr>
                                      <w:rFonts w:ascii="Aptos" w:hAnsi="Aptos"/>
                                      <w:sz w:val="18"/>
                                      <w:szCs w:val="18"/>
                                      <w:lang w:val="en-US"/>
                                    </w:rPr>
                                    <w:t>,</w:t>
                                  </w:r>
                                  <w:r>
                                    <w:rPr>
                                      <w:rFonts w:ascii="Aptos" w:hAnsi="Aptos"/>
                                      <w:sz w:val="18"/>
                                      <w:szCs w:val="18"/>
                                    </w:rPr>
                                    <w:t>5</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sz w:val="18"/>
                                      <w:szCs w:val="18"/>
                                    </w:rPr>
                                    <w:t>36</w:t>
                                  </w:r>
                                  <w:r>
                                    <w:rPr>
                                      <w:rFonts w:ascii="Aptos" w:hAnsi="Aptos"/>
                                      <w:sz w:val="18"/>
                                      <w:szCs w:val="18"/>
                                      <w:lang w:val="en-US"/>
                                    </w:rPr>
                                    <w:t>,</w:t>
                                  </w:r>
                                  <w:r>
                                    <w:rPr>
                                      <w:rFonts w:ascii="Aptos" w:hAnsi="Aptos"/>
                                      <w:sz w:val="18"/>
                                      <w:szCs w:val="18"/>
                                    </w:rPr>
                                    <w:t xml:space="preserve">2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34</w:t>
                                  </w:r>
                                  <w:r>
                                    <w:rPr>
                                      <w:rFonts w:ascii="Aptos" w:hAnsi="Aptos"/>
                                      <w:sz w:val="18"/>
                                      <w:szCs w:val="18"/>
                                      <w:lang w:val="en-US"/>
                                    </w:rPr>
                                    <w:t>,</w:t>
                                  </w:r>
                                  <w:r>
                                    <w:rPr>
                                      <w:rFonts w:ascii="Aptos" w:hAnsi="Aptos"/>
                                      <w:sz w:val="18"/>
                                      <w:szCs w:val="18"/>
                                    </w:rPr>
                                    <w:t xml:space="preserve">9 </w:t>
                                  </w:r>
                                </w:p>
                              </w:tc>
                            </w:tr>
                          </w:tbl>
                          <w:p>
                            <w:pPr>
                              <w:jc w:val="both"/>
                              <w:rPr>
                                <w:rFonts w:ascii="Aptos Light" w:hAnsi="Aptos Light" w:eastAsiaTheme="minorEastAsia"/>
                                <w:kern w:val="24"/>
                                <w:sz w:val="16"/>
                                <w:szCs w:val="16"/>
                                <w:lang w:eastAsia="en-GB"/>
                              </w:rPr>
                            </w:pPr>
                            <w:r>
                              <w:rPr>
                                <w:rFonts w:ascii="Aptos" w:hAnsi="Aptos" w:cs="Segoe UI"/>
                                <w:bCs/>
                                <w:color w:val="595959"/>
                                <w:sz w:val="12"/>
                                <w:szCs w:val="12"/>
                              </w:rPr>
                              <w:t>1 Σε συγκρίσιμη βάση | 2 Οργανικά κέρδη μετά φόρων προς μέσο όρο ενσώματων ιδίων κεφαλαίων, συμπεριλαμβανομένων των κεφαλαίων CET1 άνω των εποπτικών ορίων | 3 Με πλήρη εφαρμογή του ΔΠΧΑ9. Οι δείκτες κεφαλαιακής επάρκειας περιλαμβάνουν τα κέρδη της περιόδου και πρόβλεψη 90μ.β. για διανομή μερίσματος 30% επί των κερδών, στο διάστημα μεταξύ Δ’ τριμήνου 2022 και Δ’ τριμήνου 2023</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top:-2.45pt;height:758.25pt;width:509.7pt;mso-position-horizontal:right;mso-position-horizontal-relative:margin;z-index:251691008;mso-width-relative:page;mso-height-relative:page;" fillcolor="#F5F9F6" filled="t" stroked="f" coordsize="21600,21600" o:gfxdata="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TQK9sAAAAJAQAADwAAAAAAAAABACAAAAAiAAAAZHJzL2Rvd25yZXYueG1sUEsBAhQAFAAA&#10;AAgAh07iQGKnKh0lAgAARwQAAA4AAAAAAAAAAQAgAAAAKgEAAGRycy9lMm9Eb2MueG1sUEsFBgAA&#10;AAAGAAYAWQEAAMEFAAAAAA==&#10;">
                <v:fill on="t" focussize="0,0"/>
                <v:stroke on="f"/>
                <v:imagedata o:title=""/>
                <o:lock v:ext="edit" aspectratio="f"/>
                <v:textbox>
                  <w:txbxContent>
                    <w:tbl>
                      <w:tblPr>
                        <w:tblStyle w:val="4"/>
                        <w:tblW w:w="9936" w:type="dxa"/>
                        <w:tblInd w:w="0" w:type="dxa"/>
                        <w:tblLayout w:type="fixed"/>
                        <w:tblCellMar>
                          <w:top w:w="0" w:type="dxa"/>
                          <w:left w:w="0" w:type="dxa"/>
                          <w:bottom w:w="0" w:type="dxa"/>
                          <w:right w:w="0" w:type="dxa"/>
                        </w:tblCellMar>
                      </w:tblPr>
                      <w:tblGrid>
                        <w:gridCol w:w="3024"/>
                        <w:gridCol w:w="1152"/>
                        <w:gridCol w:w="1152"/>
                        <w:gridCol w:w="1152"/>
                        <w:gridCol w:w="1152"/>
                        <w:gridCol w:w="1152"/>
                        <w:gridCol w:w="1152"/>
                      </w:tblGrid>
                      <w:tr>
                        <w:tblPrEx>
                          <w:tblCellMar>
                            <w:top w:w="0" w:type="dxa"/>
                            <w:left w:w="0" w:type="dxa"/>
                            <w:bottom w:w="0" w:type="dxa"/>
                            <w:right w:w="0" w:type="dxa"/>
                          </w:tblCellMar>
                        </w:tblPrEx>
                        <w:trPr>
                          <w:trHeight w:val="288" w:hRule="atLeast"/>
                        </w:trPr>
                        <w:tc>
                          <w:tcPr>
                            <w:tcW w:w="3024" w:type="dxa"/>
                            <w:tcBorders>
                              <w:top w:val="nil"/>
                              <w:left w:val="nil"/>
                              <w:bottom w:val="dashSmallGap" w:color="00ADBF" w:sz="4" w:space="0"/>
                              <w:right w:val="dashSmallGap" w:color="FF7415" w:sz="12" w:space="0"/>
                            </w:tcBorders>
                            <w:shd w:val="clear" w:color="auto" w:fill="007B85"/>
                            <w:tcMar>
                              <w:top w:w="15" w:type="dxa"/>
                              <w:left w:w="144" w:type="dxa"/>
                              <w:bottom w:w="0" w:type="dxa"/>
                              <w:right w:w="144" w:type="dxa"/>
                            </w:tcMar>
                            <w:vAlign w:val="center"/>
                          </w:tcPr>
                          <w:p>
                            <w:pPr>
                              <w:rPr>
                                <w:rFonts w:ascii="Aptos" w:hAnsi="Aptos" w:eastAsia="Times New Roman" w:cs="Arial"/>
                                <w:b/>
                                <w:bCs/>
                                <w:color w:val="FFFFFF" w:themeColor="background1"/>
                                <w:kern w:val="24"/>
                                <w:sz w:val="18"/>
                                <w:szCs w:val="18"/>
                                <w:lang w:val="en-GB" w:eastAsia="el-GR"/>
                                <w14:textFill>
                                  <w14:solidFill>
                                    <w14:schemeClr w14:val="bg1"/>
                                  </w14:solidFill>
                                </w14:textFill>
                              </w:rPr>
                            </w:pPr>
                            <w:r>
                              <w:rPr>
                                <w:rFonts w:ascii="Aptos" w:hAnsi="Aptos" w:eastAsia="Times New Roman" w:cs="Arial"/>
                                <w:b/>
                                <w:bCs/>
                                <w:color w:val="FFFFFF" w:themeColor="background1"/>
                                <w:kern w:val="24"/>
                                <w:sz w:val="18"/>
                                <w:szCs w:val="18"/>
                                <w:lang w:val="en-GB" w:eastAsia="el-GR"/>
                                <w14:textFill>
                                  <w14:solidFill>
                                    <w14:schemeClr w14:val="bg1"/>
                                  </w14:solidFill>
                                </w14:textFill>
                              </w:rPr>
                              <w:t xml:space="preserve">Κατάσταση Αποτελεσμάτων | </w:t>
                            </w:r>
                          </w:p>
                          <w:p>
                            <w:pPr>
                              <w:rPr>
                                <w:rFonts w:ascii="Aptos" w:hAnsi="Aptos" w:eastAsia="Times New Roman" w:cs="Arial"/>
                                <w:color w:val="FFFFFF" w:themeColor="background1"/>
                                <w:sz w:val="18"/>
                                <w:szCs w:val="18"/>
                                <w:lang w:eastAsia="el-GR"/>
                                <w14:textFill>
                                  <w14:solidFill>
                                    <w14:schemeClr w14:val="bg1"/>
                                  </w14:solidFill>
                                </w14:textFill>
                              </w:rPr>
                            </w:pPr>
                            <w:r>
                              <w:rPr>
                                <w:rFonts w:ascii="Aptos" w:hAnsi="Aptos" w:eastAsia="Times New Roman" w:cs="Arial"/>
                                <w:b/>
                                <w:bCs/>
                                <w:color w:val="FFFFFF" w:themeColor="background1"/>
                                <w:kern w:val="24"/>
                                <w:sz w:val="18"/>
                                <w:szCs w:val="18"/>
                                <w:lang w:val="en-GB" w:eastAsia="el-GR"/>
                                <w14:textFill>
                                  <w14:solidFill>
                                    <w14:schemeClr w14:val="bg1"/>
                                  </w14:solidFill>
                                </w14:textFill>
                              </w:rPr>
                              <w:t xml:space="preserve">Όμιλος </w:t>
                            </w:r>
                            <w:r>
                              <w:rPr>
                                <w:rFonts w:ascii="Aptos" w:hAnsi="Aptos" w:eastAsia="Times New Roman" w:cs="Arial"/>
                                <w:b/>
                                <w:bCs/>
                                <w:color w:val="FFFFFF" w:themeColor="background1"/>
                                <w:kern w:val="24"/>
                                <w:sz w:val="18"/>
                                <w:szCs w:val="18"/>
                                <w:lang w:val="en-US" w:eastAsia="el-GR"/>
                                <w14:textFill>
                                  <w14:solidFill>
                                    <w14:schemeClr w14:val="bg1"/>
                                  </w14:solidFill>
                                </w14:textFill>
                              </w:rPr>
                              <w:t>(</w:t>
                            </w:r>
                            <w:r>
                              <w:rPr>
                                <w:rFonts w:ascii="Aptos" w:hAnsi="Aptos" w:eastAsia="Times New Roman" w:cs="Arial"/>
                                <w:b/>
                                <w:bCs/>
                                <w:color w:val="FFFFFF" w:themeColor="background1"/>
                                <w:kern w:val="24"/>
                                <w:sz w:val="18"/>
                                <w:szCs w:val="18"/>
                                <w:lang w:val="en-GB" w:eastAsia="el-GR"/>
                                <w14:textFill>
                                  <w14:solidFill>
                                    <w14:schemeClr w14:val="bg1"/>
                                  </w14:solidFill>
                                </w14:textFill>
                              </w:rPr>
                              <w:t xml:space="preserve">€ </w:t>
                            </w:r>
                            <w:r>
                              <w:rPr>
                                <w:rFonts w:ascii="Aptos" w:hAnsi="Aptos" w:eastAsia="Times New Roman" w:cs="Arial"/>
                                <w:b/>
                                <w:bCs/>
                                <w:color w:val="FFFFFF" w:themeColor="background1"/>
                                <w:kern w:val="24"/>
                                <w:sz w:val="18"/>
                                <w:szCs w:val="18"/>
                                <w:lang w:eastAsia="el-GR"/>
                                <w14:textFill>
                                  <w14:solidFill>
                                    <w14:schemeClr w14:val="bg1"/>
                                  </w14:solidFill>
                                </w14:textFill>
                              </w:rPr>
                              <w:t>εκατ.</w:t>
                            </w:r>
                            <w:r>
                              <w:rPr>
                                <w:rFonts w:ascii="Aptos" w:hAnsi="Aptos" w:eastAsia="Times New Roman" w:cs="Arial"/>
                                <w:b/>
                                <w:bCs/>
                                <w:color w:val="FFFFFF" w:themeColor="background1"/>
                                <w:kern w:val="24"/>
                                <w:sz w:val="18"/>
                                <w:szCs w:val="18"/>
                                <w:lang w:val="en-GB" w:eastAsia="el-GR"/>
                                <w14:textFill>
                                  <w14:solidFill>
                                    <w14:schemeClr w14:val="bg1"/>
                                  </w14:solidFill>
                                </w14:textFill>
                              </w:rPr>
                              <w:t>)</w:t>
                            </w:r>
                          </w:p>
                        </w:tc>
                        <w:tc>
                          <w:tcPr>
                            <w:tcW w:w="1152" w:type="dxa"/>
                            <w:tcBorders>
                              <w:top w:val="dashSmallGap" w:color="FF7415" w:sz="12" w:space="0"/>
                              <w:left w:val="dashSmallGap" w:color="FF7415" w:sz="12" w:space="0"/>
                              <w:bottom w:val="dashSmallGap" w:color="00ADBF" w:sz="4" w:space="0"/>
                              <w:right w:val="dashSmallGap" w:color="FF7415" w:sz="12" w:space="0"/>
                            </w:tcBorders>
                            <w:shd w:val="clear" w:color="auto" w:fill="007B85"/>
                            <w:tcMar>
                              <w:top w:w="15" w:type="dxa"/>
                              <w:left w:w="144" w:type="dxa"/>
                              <w:bottom w:w="0" w:type="dxa"/>
                              <w:right w:w="144" w:type="dxa"/>
                            </w:tcMar>
                            <w:vAlign w:val="bottom"/>
                          </w:tcPr>
                          <w:p>
                            <w:pPr>
                              <w:jc w:val="right"/>
                              <w:rPr>
                                <w:rFonts w:ascii="Aptos" w:hAnsi="Aptos" w:eastAsia="Times New Roman" w:cs="Arial"/>
                                <w:b/>
                                <w:bCs/>
                                <w:color w:val="FFFFFF" w:themeColor="background1"/>
                                <w:kern w:val="24"/>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Οικονομικό Έτος 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dashSmallGap" w:color="FF7415" w:sz="12" w:space="0"/>
                              <w:bottom w:val="dashSmallGap" w:color="00ADBF" w:sz="4" w:space="0"/>
                              <w:right w:val="nil"/>
                            </w:tcBorders>
                            <w:shd w:val="clear" w:color="auto" w:fill="007B85"/>
                            <w:tcMar>
                              <w:top w:w="15" w:type="dxa"/>
                              <w:left w:w="144" w:type="dxa"/>
                              <w:bottom w:w="0" w:type="dxa"/>
                              <w:right w:w="144" w:type="dxa"/>
                            </w:tcMar>
                            <w:vAlign w:val="bottom"/>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Οικονομικό Έτος 202</w:t>
                            </w:r>
                            <w:r>
                              <w:rPr>
                                <w:rFonts w:ascii="Aptos" w:hAnsi="Aptos" w:eastAsia="Times New Roman" w:cs="Arial"/>
                                <w:b/>
                                <w:bCs/>
                                <w:color w:val="FFFFFF" w:themeColor="background1"/>
                                <w:kern w:val="24"/>
                                <w:sz w:val="16"/>
                                <w:szCs w:val="16"/>
                                <w:lang w:eastAsia="el-GR"/>
                                <w14:textFill>
                                  <w14:solidFill>
                                    <w14:schemeClr w14:val="bg1"/>
                                  </w14:solidFill>
                                </w14:textFill>
                              </w:rPr>
                              <w:t>2</w:t>
                            </w:r>
                          </w:p>
                        </w:tc>
                        <w:tc>
                          <w:tcPr>
                            <w:tcW w:w="1152" w:type="dxa"/>
                            <w:tcBorders>
                              <w:top w:val="nil"/>
                              <w:left w:val="nil"/>
                              <w:bottom w:val="dashSmallGap" w:color="00ADBF" w:sz="4" w:space="0"/>
                              <w:right w:val="dashSmallGap" w:color="FF7415" w:sz="12" w:space="0"/>
                            </w:tcBorders>
                            <w:shd w:val="clear" w:color="auto" w:fill="007B85"/>
                            <w:tcMar>
                              <w:top w:w="15" w:type="dxa"/>
                              <w:left w:w="144" w:type="dxa"/>
                              <w:bottom w:w="0" w:type="dxa"/>
                              <w:right w:w="144" w:type="dxa"/>
                            </w:tcMar>
                            <w:vAlign w:val="bottom"/>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 (%)</w:t>
                            </w:r>
                          </w:p>
                        </w:tc>
                        <w:tc>
                          <w:tcPr>
                            <w:tcW w:w="1152" w:type="dxa"/>
                            <w:tcBorders>
                              <w:top w:val="dashSmallGap" w:color="FF7415" w:sz="12" w:space="0"/>
                              <w:left w:val="dashSmallGap" w:color="FF7415" w:sz="12" w:space="0"/>
                              <w:bottom w:val="dashSmallGap" w:color="00ADBF" w:sz="4" w:space="0"/>
                              <w:right w:val="dashSmallGap" w:color="FF7415" w:sz="12" w:space="0"/>
                            </w:tcBorders>
                            <w:shd w:val="clear" w:color="auto" w:fill="007B85"/>
                            <w:tcMar>
                              <w:top w:w="15" w:type="dxa"/>
                              <w:left w:w="144" w:type="dxa"/>
                              <w:bottom w:w="0" w:type="dxa"/>
                              <w:right w:w="144" w:type="dxa"/>
                            </w:tcMar>
                            <w:vAlign w:val="bottom"/>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w:t>
                            </w:r>
                            <w:r>
                              <w:rPr>
                                <w:rFonts w:ascii="Aptos" w:hAnsi="Aptos" w:eastAsia="Times New Roman" w:cs="Arial"/>
                                <w:b/>
                                <w:bCs/>
                                <w:color w:val="FFFFFF" w:themeColor="background1"/>
                                <w:kern w:val="24"/>
                                <w:sz w:val="16"/>
                                <w:szCs w:val="16"/>
                                <w:lang w:eastAsia="el-GR"/>
                                <w14:textFill>
                                  <w14:solidFill>
                                    <w14:schemeClr w14:val="bg1"/>
                                  </w14:solidFill>
                                </w14:textFill>
                              </w:rPr>
                              <w:t xml:space="preserve">’ </w:t>
                            </w:r>
                            <w:r>
                              <w:rPr>
                                <w:rFonts w:ascii="Aptos" w:hAnsi="Aptos" w:eastAsia="Times New Roman" w:cs="Arial"/>
                                <w:b/>
                                <w:bCs/>
                                <w:color w:val="FFFFFF" w:themeColor="background1"/>
                                <w:kern w:val="24"/>
                                <w:sz w:val="16"/>
                                <w:szCs w:val="16"/>
                                <w:lang w:val="en-US" w:eastAsia="el-GR"/>
                                <w14:textFill>
                                  <w14:solidFill>
                                    <w14:schemeClr w14:val="bg1"/>
                                  </w14:solidFill>
                                </w14:textFill>
                              </w:rPr>
                              <w:t>τρίμηνο 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dashSmallGap" w:color="FF7415" w:sz="12" w:space="0"/>
                              <w:bottom w:val="dashSmallGap" w:color="00ADBF" w:sz="4" w:space="0"/>
                              <w:right w:val="nil"/>
                            </w:tcBorders>
                            <w:shd w:val="clear" w:color="auto" w:fill="007B85"/>
                            <w:vAlign w:val="bottom"/>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Γ</w:t>
                            </w:r>
                            <w:r>
                              <w:rPr>
                                <w:rFonts w:ascii="Aptos" w:hAnsi="Aptos" w:eastAsia="Times New Roman" w:cs="Arial"/>
                                <w:b/>
                                <w:bCs/>
                                <w:color w:val="FFFFFF" w:themeColor="background1"/>
                                <w:kern w:val="24"/>
                                <w:sz w:val="16"/>
                                <w:szCs w:val="16"/>
                                <w:lang w:eastAsia="el-GR"/>
                                <w14:textFill>
                                  <w14:solidFill>
                                    <w14:schemeClr w14:val="bg1"/>
                                  </w14:solidFill>
                                </w14:textFill>
                              </w:rPr>
                              <w:t xml:space="preserve">’ </w:t>
                            </w:r>
                            <w:r>
                              <w:rPr>
                                <w:rFonts w:ascii="Aptos" w:hAnsi="Aptos" w:eastAsia="Times New Roman" w:cs="Arial"/>
                                <w:b/>
                                <w:bCs/>
                                <w:color w:val="FFFFFF" w:themeColor="background1"/>
                                <w:kern w:val="24"/>
                                <w:sz w:val="16"/>
                                <w:szCs w:val="16"/>
                                <w:lang w:val="en-US" w:eastAsia="el-GR"/>
                                <w14:textFill>
                                  <w14:solidFill>
                                    <w14:schemeClr w14:val="bg1"/>
                                  </w14:solidFill>
                                </w14:textFill>
                              </w:rPr>
                              <w:t>τρίμηνο</w:t>
                            </w:r>
                          </w:p>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nil"/>
                              <w:bottom w:val="dashSmallGap" w:color="00ADBF" w:sz="4" w:space="0"/>
                              <w:right w:val="nil"/>
                            </w:tcBorders>
                            <w:shd w:val="clear" w:color="auto" w:fill="007B85"/>
                            <w:tcMar>
                              <w:top w:w="15" w:type="dxa"/>
                              <w:left w:w="144" w:type="dxa"/>
                              <w:bottom w:w="0" w:type="dxa"/>
                              <w:right w:w="144" w:type="dxa"/>
                            </w:tcMar>
                            <w:vAlign w:val="bottom"/>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 (%)</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kern w:val="24"/>
                                <w:sz w:val="16"/>
                                <w:szCs w:val="16"/>
                                <w:lang w:val="en-US" w:eastAsia="el-GR"/>
                              </w:rPr>
                            </w:pPr>
                            <w:r>
                              <w:rPr>
                                <w:rFonts w:ascii="Aptos" w:hAnsi="Aptos"/>
                                <w:sz w:val="16"/>
                                <w:szCs w:val="16"/>
                              </w:rPr>
                              <w:t>Καθαρά έσοδα από τόκους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6"/>
                                <w:szCs w:val="16"/>
                                <w:lang w:val="en-US" w:eastAsia="el-GR"/>
                              </w:rPr>
                            </w:pPr>
                            <w:r>
                              <w:rPr>
                                <w:rFonts w:ascii="Aptos" w:hAnsi="Aptos" w:eastAsia="Times New Roman" w:cs="Arial"/>
                                <w:kern w:val="24"/>
                                <w:sz w:val="16"/>
                                <w:szCs w:val="16"/>
                                <w:lang w:val="en-US" w:eastAsia="el-GR"/>
                              </w:rPr>
                              <w:t>2</w:t>
                            </w:r>
                            <w:r>
                              <w:rPr>
                                <w:rFonts w:ascii="Aptos" w:hAnsi="Aptos" w:eastAsia="Times New Roman" w:cs="Arial"/>
                                <w:kern w:val="24"/>
                                <w:sz w:val="16"/>
                                <w:szCs w:val="16"/>
                                <w:lang w:eastAsia="el-GR"/>
                              </w:rPr>
                              <w:t>.</w:t>
                            </w:r>
                            <w:r>
                              <w:rPr>
                                <w:rFonts w:ascii="Aptos" w:hAnsi="Aptos" w:eastAsia="Times New Roman" w:cs="Arial"/>
                                <w:kern w:val="24"/>
                                <w:sz w:val="16"/>
                                <w:szCs w:val="16"/>
                                <w:lang w:val="en-US" w:eastAsia="el-GR"/>
                              </w:rPr>
                              <w:t>263</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6"/>
                                <w:szCs w:val="16"/>
                                <w:lang w:val="en-US" w:eastAsia="el-GR"/>
                              </w:rPr>
                            </w:pPr>
                            <w:r>
                              <w:rPr>
                                <w:rFonts w:ascii="Aptos" w:hAnsi="Aptos" w:eastAsia="Times New Roman" w:cs="Arial"/>
                                <w:kern w:val="24"/>
                                <w:sz w:val="16"/>
                                <w:szCs w:val="16"/>
                                <w:lang w:val="en-US" w:eastAsia="el-GR"/>
                              </w:rPr>
                              <w:t>1</w:t>
                            </w:r>
                            <w:r>
                              <w:rPr>
                                <w:rFonts w:ascii="Aptos" w:hAnsi="Aptos" w:eastAsia="Times New Roman" w:cs="Arial"/>
                                <w:kern w:val="24"/>
                                <w:sz w:val="16"/>
                                <w:szCs w:val="16"/>
                                <w:lang w:eastAsia="el-GR"/>
                              </w:rPr>
                              <w:t>.</w:t>
                            </w:r>
                            <w:r>
                              <w:rPr>
                                <w:rFonts w:ascii="Aptos" w:hAnsi="Aptos" w:eastAsia="Times New Roman" w:cs="Arial"/>
                                <w:kern w:val="24"/>
                                <w:sz w:val="16"/>
                                <w:szCs w:val="16"/>
                                <w:lang w:val="en-US" w:eastAsia="el-GR"/>
                              </w:rPr>
                              <w:t>369</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6"/>
                                <w:szCs w:val="16"/>
                                <w:lang w:val="en-US" w:eastAsia="el-GR"/>
                              </w:rPr>
                            </w:pPr>
                            <w:r>
                              <w:rPr>
                                <w:rFonts w:ascii="Aptos" w:hAnsi="Aptos" w:eastAsia="Times New Roman" w:cs="Arial"/>
                                <w:kern w:val="24"/>
                                <w:sz w:val="16"/>
                                <w:szCs w:val="16"/>
                                <w:lang w:val="en-US" w:eastAsia="el-GR"/>
                              </w:rPr>
                              <w:t>+65%</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6"/>
                                <w:szCs w:val="16"/>
                                <w:lang w:val="en-US" w:eastAsia="el-GR"/>
                              </w:rPr>
                            </w:pPr>
                            <w:r>
                              <w:rPr>
                                <w:rFonts w:ascii="Aptos" w:hAnsi="Aptos" w:eastAsia="Times New Roman" w:cs="Arial"/>
                                <w:kern w:val="24"/>
                                <w:sz w:val="16"/>
                                <w:szCs w:val="16"/>
                                <w:lang w:val="en-US" w:eastAsia="el-GR"/>
                              </w:rPr>
                              <w:t>623</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6"/>
                                <w:szCs w:val="16"/>
                                <w:lang w:val="en-US" w:eastAsia="el-GR"/>
                              </w:rPr>
                            </w:pPr>
                            <w:r>
                              <w:rPr>
                                <w:rFonts w:ascii="Aptos" w:hAnsi="Aptos"/>
                                <w:sz w:val="16"/>
                                <w:szCs w:val="16"/>
                              </w:rPr>
                              <w:t>588</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5" w:type="dxa"/>
                              <w:bottom w:w="0" w:type="dxa"/>
                              <w:right w:w="144" w:type="dxa"/>
                            </w:tcMar>
                            <w:vAlign w:val="center"/>
                          </w:tcPr>
                          <w:p>
                            <w:pPr>
                              <w:jc w:val="right"/>
                              <w:rPr>
                                <w:rFonts w:ascii="Aptos" w:hAnsi="Aptos" w:eastAsia="Times New Roman" w:cs="Arial"/>
                                <w:kern w:val="24"/>
                                <w:sz w:val="16"/>
                                <w:szCs w:val="16"/>
                                <w:lang w:val="en-US" w:eastAsia="el-GR"/>
                              </w:rPr>
                            </w:pPr>
                            <w:r>
                              <w:rPr>
                                <w:rFonts w:ascii="Aptos" w:hAnsi="Aptos" w:eastAsia="Times New Roman" w:cs="Arial"/>
                                <w:kern w:val="24"/>
                                <w:sz w:val="16"/>
                                <w:szCs w:val="16"/>
                                <w:lang w:eastAsia="el-GR"/>
                              </w:rPr>
                              <w:t>+6%</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sz w:val="16"/>
                                <w:szCs w:val="16"/>
                                <w:lang w:eastAsia="el-GR"/>
                              </w:rPr>
                            </w:pPr>
                            <w:r>
                              <w:rPr>
                                <w:rFonts w:ascii="Aptos" w:hAnsi="Aptos"/>
                                <w:sz w:val="16"/>
                                <w:szCs w:val="16"/>
                              </w:rPr>
                              <w:t>Καθαρά έσοδα από προμήθειες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382</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347</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+10</w:t>
                            </w:r>
                            <w:r>
                              <w:rPr>
                                <w:rFonts w:ascii="Aptos" w:hAnsi="Aptos" w:eastAsia="Times New Roman" w:cs="Arial"/>
                                <w:kern w:val="24"/>
                                <w:sz w:val="16"/>
                                <w:szCs w:val="16"/>
                                <w:lang w:eastAsia="el-GR"/>
                              </w:rPr>
                              <w:t>%</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109</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6"/>
                                <w:szCs w:val="16"/>
                                <w:lang w:val="en-US" w:eastAsia="el-GR"/>
                              </w:rPr>
                            </w:pPr>
                            <w:r>
                              <w:rPr>
                                <w:rFonts w:ascii="Aptos" w:hAnsi="Aptos"/>
                                <w:sz w:val="16"/>
                                <w:szCs w:val="16"/>
                              </w:rPr>
                              <w:t>95</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5"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+15%</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42" w:type="dxa"/>
                              <w:bottom w:w="0" w:type="dxa"/>
                              <w:right w:w="15" w:type="dxa"/>
                            </w:tcMar>
                            <w:vAlign w:val="center"/>
                          </w:tcPr>
                          <w:p>
                            <w:pPr>
                              <w:textAlignment w:val="center"/>
                              <w:rPr>
                                <w:rFonts w:ascii="Aptos" w:hAnsi="Aptos" w:eastAsia="Times New Roman" w:cs="Arial"/>
                                <w:b/>
                                <w:bCs/>
                                <w:sz w:val="16"/>
                                <w:szCs w:val="16"/>
                                <w:lang w:eastAsia="el-GR"/>
                              </w:rPr>
                            </w:pPr>
                            <w:r>
                              <w:rPr>
                                <w:rFonts w:ascii="Aptos" w:hAnsi="Aptos"/>
                                <w:b/>
                                <w:bCs/>
                                <w:sz w:val="16"/>
                                <w:szCs w:val="16"/>
                              </w:rPr>
                              <w:t>Οργανικά έσοδα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2</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645</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1</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717</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+54%</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732</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vAlign w:val="center"/>
                          </w:tcPr>
                          <w:p>
                            <w:pPr>
                              <w:jc w:val="right"/>
                              <w:rPr>
                                <w:rFonts w:ascii="Aptos" w:hAnsi="Aptos" w:eastAsia="Times New Roman" w:cs="Arial"/>
                                <w:b/>
                                <w:bCs/>
                                <w:kern w:val="24"/>
                                <w:sz w:val="16"/>
                                <w:szCs w:val="16"/>
                                <w:lang w:eastAsia="el-GR"/>
                              </w:rPr>
                            </w:pPr>
                            <w:r>
                              <w:rPr>
                                <w:rFonts w:ascii="Aptos" w:hAnsi="Aptos"/>
                                <w:b/>
                                <w:bCs/>
                                <w:sz w:val="16"/>
                                <w:szCs w:val="16"/>
                              </w:rPr>
                              <w:t>683</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eastAsia="el-GR"/>
                              </w:rPr>
                              <w:t>+7</w:t>
                            </w:r>
                            <w:r>
                              <w:rPr>
                                <w:rFonts w:ascii="Aptos" w:hAnsi="Aptos" w:eastAsia="Times New Roman" w:cs="Arial"/>
                                <w:b/>
                                <w:bCs/>
                                <w:kern w:val="24"/>
                                <w:sz w:val="16"/>
                                <w:szCs w:val="16"/>
                                <w:lang w:val="en-US" w:eastAsia="el-GR"/>
                              </w:rPr>
                              <w:t>%</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sz w:val="16"/>
                                <w:szCs w:val="16"/>
                              </w:rPr>
                            </w:pPr>
                            <w:r>
                              <w:rPr>
                                <w:rFonts w:ascii="Aptos" w:hAnsi="Aptos"/>
                                <w:sz w:val="16"/>
                                <w:szCs w:val="16"/>
                              </w:rPr>
                              <w:t xml:space="preserve">Έσοδα από χρηματοοικονομικές πράξεις </w:t>
                            </w:r>
                          </w:p>
                          <w:p>
                            <w:pPr>
                              <w:textAlignment w:val="center"/>
                              <w:rPr>
                                <w:rFonts w:ascii="Aptos" w:hAnsi="Aptos" w:eastAsia="Times New Roman" w:cs="Arial"/>
                                <w:sz w:val="16"/>
                                <w:szCs w:val="16"/>
                                <w:lang w:eastAsia="el-GR"/>
                              </w:rPr>
                            </w:pPr>
                            <w:r>
                              <w:rPr>
                                <w:rFonts w:ascii="Aptos" w:hAnsi="Aptos"/>
                                <w:sz w:val="16"/>
                                <w:szCs w:val="16"/>
                              </w:rPr>
                              <w:t>και λοιπά έσοδα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93</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344</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eastAsia="el-GR"/>
                              </w:rPr>
                              <w:t>-</w:t>
                            </w:r>
                            <w:r>
                              <w:rPr>
                                <w:rFonts w:ascii="Aptos" w:hAnsi="Aptos" w:eastAsia="Times New Roman" w:cs="Arial"/>
                                <w:kern w:val="24"/>
                                <w:sz w:val="16"/>
                                <w:szCs w:val="16"/>
                                <w:lang w:val="en-US" w:eastAsia="el-GR"/>
                              </w:rPr>
                              <w:t>73</w:t>
                            </w:r>
                            <w:r>
                              <w:rPr>
                                <w:rFonts w:ascii="Aptos" w:hAnsi="Aptos" w:eastAsia="Times New Roman" w:cs="Arial"/>
                                <w:kern w:val="24"/>
                                <w:sz w:val="16"/>
                                <w:szCs w:val="16"/>
                                <w:lang w:eastAsia="el-GR"/>
                              </w:rPr>
                              <w:t>%</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30</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6"/>
                                <w:szCs w:val="16"/>
                                <w:lang w:eastAsia="el-GR"/>
                              </w:rPr>
                            </w:pPr>
                            <w:r>
                              <w:rPr>
                                <w:rFonts w:ascii="Aptos" w:hAnsi="Aptos"/>
                                <w:sz w:val="16"/>
                                <w:szCs w:val="16"/>
                              </w:rPr>
                              <w:t>7</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eastAsia="el-GR"/>
                              </w:rPr>
                              <w:t>&gt;100%</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b/>
                                <w:bCs/>
                                <w:sz w:val="16"/>
                                <w:szCs w:val="16"/>
                                <w:lang w:eastAsia="el-GR"/>
                              </w:rPr>
                            </w:pPr>
                            <w:r>
                              <w:rPr>
                                <w:rFonts w:ascii="Aptos" w:hAnsi="Aptos"/>
                                <w:b/>
                                <w:bCs/>
                                <w:sz w:val="16"/>
                                <w:szCs w:val="16"/>
                              </w:rPr>
                              <w:t xml:space="preserve">Καθαρά λειτουργικά έσοδα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2</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73</w:t>
                            </w:r>
                            <w:r>
                              <w:rPr>
                                <w:rFonts w:ascii="Aptos" w:hAnsi="Aptos" w:eastAsia="Times New Roman" w:cs="Arial"/>
                                <w:b/>
                                <w:bCs/>
                                <w:kern w:val="24"/>
                                <w:sz w:val="16"/>
                                <w:szCs w:val="16"/>
                                <w:lang w:eastAsia="el-GR"/>
                              </w:rPr>
                              <w:t>9</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2</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060</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+33%</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762</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690</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w:t>
                            </w:r>
                            <w:r>
                              <w:rPr>
                                <w:rFonts w:ascii="Aptos" w:hAnsi="Aptos" w:eastAsia="Times New Roman" w:cs="Arial"/>
                                <w:b/>
                                <w:bCs/>
                                <w:kern w:val="24"/>
                                <w:sz w:val="16"/>
                                <w:szCs w:val="16"/>
                                <w:lang w:eastAsia="el-GR"/>
                              </w:rPr>
                              <w:t>10%</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b/>
                                <w:bCs/>
                                <w:sz w:val="16"/>
                                <w:szCs w:val="16"/>
                                <w:lang w:eastAsia="el-GR"/>
                              </w:rPr>
                            </w:pPr>
                            <w:r>
                              <w:rPr>
                                <w:rFonts w:ascii="Aptos" w:hAnsi="Aptos"/>
                                <w:b/>
                                <w:bCs/>
                                <w:sz w:val="16"/>
                                <w:szCs w:val="16"/>
                              </w:rPr>
                              <w:t>Λειτουργικές δαπάνες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(835)</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(805)</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eastAsia="el-GR"/>
                              </w:rPr>
                              <w:t>+</w:t>
                            </w:r>
                            <w:r>
                              <w:rPr>
                                <w:rFonts w:ascii="Aptos" w:hAnsi="Aptos" w:eastAsia="Times New Roman" w:cs="Arial"/>
                                <w:kern w:val="24"/>
                                <w:sz w:val="16"/>
                                <w:szCs w:val="16"/>
                                <w:lang w:val="en-US" w:eastAsia="el-GR"/>
                              </w:rPr>
                              <w:t>4%</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(234)</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6"/>
                                <w:szCs w:val="16"/>
                                <w:lang w:val="en-US" w:eastAsia="el-GR"/>
                              </w:rPr>
                            </w:pPr>
                            <w:r>
                              <w:rPr>
                                <w:rFonts w:ascii="Aptos" w:hAnsi="Aptos"/>
                                <w:sz w:val="16"/>
                                <w:szCs w:val="16"/>
                              </w:rPr>
                              <w:t>(202)</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w:t>
                            </w:r>
                            <w:r>
                              <w:rPr>
                                <w:rFonts w:ascii="Aptos" w:hAnsi="Aptos" w:eastAsia="Times New Roman" w:cs="Arial"/>
                                <w:kern w:val="24"/>
                                <w:sz w:val="16"/>
                                <w:szCs w:val="16"/>
                                <w:lang w:eastAsia="el-GR"/>
                              </w:rPr>
                              <w:t>1</w:t>
                            </w:r>
                            <w:r>
                              <w:rPr>
                                <w:rFonts w:ascii="Aptos" w:hAnsi="Aptos" w:eastAsia="Times New Roman" w:cs="Arial"/>
                                <w:kern w:val="24"/>
                                <w:sz w:val="16"/>
                                <w:szCs w:val="16"/>
                                <w:lang w:val="en-US" w:eastAsia="el-GR"/>
                              </w:rPr>
                              <w:t>6</w:t>
                            </w:r>
                            <w:r>
                              <w:rPr>
                                <w:rFonts w:ascii="Aptos" w:hAnsi="Aptos" w:eastAsia="Times New Roman" w:cs="Arial"/>
                                <w:kern w:val="24"/>
                                <w:sz w:val="16"/>
                                <w:szCs w:val="16"/>
                                <w:lang w:eastAsia="el-GR"/>
                              </w:rPr>
                              <w:t>%</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b/>
                                <w:bCs/>
                                <w:sz w:val="16"/>
                                <w:szCs w:val="16"/>
                                <w:lang w:eastAsia="el-GR"/>
                              </w:rPr>
                            </w:pPr>
                            <w:r>
                              <w:rPr>
                                <w:rFonts w:ascii="Aptos" w:hAnsi="Aptos"/>
                                <w:b/>
                                <w:bCs/>
                                <w:sz w:val="16"/>
                                <w:szCs w:val="16"/>
                              </w:rPr>
                              <w:t xml:space="preserve">Οργανικά κέρδη / (ζημίες) προ προβλέψεων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1</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810</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912</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9</w:t>
                            </w:r>
                            <w:r>
                              <w:rPr>
                                <w:rFonts w:ascii="Aptos" w:hAnsi="Aptos" w:eastAsia="Times New Roman" w:cs="Arial"/>
                                <w:b/>
                                <w:bCs/>
                                <w:kern w:val="24"/>
                                <w:sz w:val="16"/>
                                <w:szCs w:val="16"/>
                                <w:lang w:eastAsia="el-GR"/>
                              </w:rPr>
                              <w:t>9</w:t>
                            </w:r>
                            <w:r>
                              <w:rPr>
                                <w:rFonts w:ascii="Aptos" w:hAnsi="Aptos" w:eastAsia="Times New Roman" w:cs="Arial"/>
                                <w:b/>
                                <w:bCs/>
                                <w:kern w:val="24"/>
                                <w:sz w:val="16"/>
                                <w:szCs w:val="16"/>
                                <w:lang w:val="en-US" w:eastAsia="el-GR"/>
                              </w:rPr>
                              <w:t>%</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499</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481</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w:t>
                            </w:r>
                            <w:r>
                              <w:rPr>
                                <w:rFonts w:ascii="Aptos" w:hAnsi="Aptos" w:eastAsia="Times New Roman" w:cs="Arial"/>
                                <w:b/>
                                <w:bCs/>
                                <w:kern w:val="24"/>
                                <w:sz w:val="16"/>
                                <w:szCs w:val="16"/>
                                <w:lang w:eastAsia="el-GR"/>
                              </w:rPr>
                              <w:t>4</w:t>
                            </w:r>
                            <w:r>
                              <w:rPr>
                                <w:rFonts w:ascii="Aptos" w:hAnsi="Aptos" w:eastAsia="Times New Roman" w:cs="Arial"/>
                                <w:b/>
                                <w:bCs/>
                                <w:kern w:val="24"/>
                                <w:sz w:val="16"/>
                                <w:szCs w:val="16"/>
                                <w:lang w:val="en-US" w:eastAsia="el-GR"/>
                              </w:rPr>
                              <w:t>%</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b/>
                                <w:bCs/>
                                <w:sz w:val="16"/>
                                <w:szCs w:val="16"/>
                                <w:lang w:eastAsia="el-GR"/>
                              </w:rPr>
                            </w:pPr>
                            <w:r>
                              <w:rPr>
                                <w:rFonts w:ascii="Aptos" w:hAnsi="Aptos"/>
                                <w:b/>
                                <w:bCs/>
                                <w:sz w:val="16"/>
                                <w:szCs w:val="16"/>
                              </w:rPr>
                              <w:t>Κέρδη / (ζημίες) προ προβλέψεων</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1</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903</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1</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255</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+52%</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529</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488</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w:t>
                            </w:r>
                            <w:r>
                              <w:rPr>
                                <w:rFonts w:ascii="Aptos" w:hAnsi="Aptos" w:eastAsia="Times New Roman" w:cs="Arial"/>
                                <w:b/>
                                <w:bCs/>
                                <w:kern w:val="24"/>
                                <w:sz w:val="16"/>
                                <w:szCs w:val="16"/>
                                <w:lang w:eastAsia="el-GR"/>
                              </w:rPr>
                              <w:t>8</w:t>
                            </w:r>
                            <w:r>
                              <w:rPr>
                                <w:rFonts w:ascii="Aptos" w:hAnsi="Aptos" w:eastAsia="Times New Roman" w:cs="Arial"/>
                                <w:b/>
                                <w:bCs/>
                                <w:kern w:val="24"/>
                                <w:sz w:val="16"/>
                                <w:szCs w:val="16"/>
                                <w:lang w:val="en-US" w:eastAsia="el-GR"/>
                              </w:rPr>
                              <w:t>%</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sz w:val="16"/>
                                <w:szCs w:val="16"/>
                                <w:lang w:eastAsia="el-GR"/>
                              </w:rPr>
                            </w:pPr>
                            <w:r>
                              <w:rPr>
                                <w:rFonts w:ascii="Aptos" w:hAnsi="Aptos"/>
                                <w:sz w:val="16"/>
                                <w:szCs w:val="16"/>
                              </w:rPr>
                              <w:t>Προβλέψεις για επισφαλή δάνεια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(2</w:t>
                            </w:r>
                            <w:r>
                              <w:rPr>
                                <w:rFonts w:ascii="Aptos" w:hAnsi="Aptos" w:eastAsia="Times New Roman" w:cs="Arial"/>
                                <w:kern w:val="24"/>
                                <w:sz w:val="16"/>
                                <w:szCs w:val="16"/>
                                <w:lang w:eastAsia="el-GR"/>
                              </w:rPr>
                              <w:t>41</w:t>
                            </w:r>
                            <w:r>
                              <w:rPr>
                                <w:rFonts w:ascii="Aptos" w:hAnsi="Aptos" w:eastAsia="Times New Roman" w:cs="Arial"/>
                                <w:kern w:val="24"/>
                                <w:sz w:val="16"/>
                                <w:szCs w:val="16"/>
                                <w:lang w:val="en-US" w:eastAsia="el-GR"/>
                              </w:rPr>
                              <w:t>)</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(280)</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eastAsia="el-GR"/>
                              </w:rPr>
                              <w:t>-14</w:t>
                            </w:r>
                            <w:r>
                              <w:rPr>
                                <w:rFonts w:ascii="Aptos" w:hAnsi="Aptos" w:eastAsia="Times New Roman" w:cs="Arial"/>
                                <w:kern w:val="24"/>
                                <w:sz w:val="16"/>
                                <w:szCs w:val="16"/>
                                <w:lang w:val="en-US" w:eastAsia="el-GR"/>
                              </w:rPr>
                              <w:t>%</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(66)</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6"/>
                                <w:szCs w:val="16"/>
                                <w:lang w:eastAsia="el-GR"/>
                              </w:rPr>
                            </w:pPr>
                            <w:r>
                              <w:rPr>
                                <w:rFonts w:ascii="Aptos" w:hAnsi="Aptos"/>
                                <w:sz w:val="16"/>
                                <w:szCs w:val="16"/>
                              </w:rPr>
                              <w:t>(54)</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eastAsia="el-GR"/>
                              </w:rPr>
                              <w:t>+</w:t>
                            </w:r>
                            <w:r>
                              <w:rPr>
                                <w:rFonts w:ascii="Aptos" w:hAnsi="Aptos" w:eastAsia="Times New Roman" w:cs="Arial"/>
                                <w:kern w:val="24"/>
                                <w:sz w:val="16"/>
                                <w:szCs w:val="16"/>
                                <w:lang w:val="en-US" w:eastAsia="el-GR"/>
                              </w:rPr>
                              <w:t>22</w:t>
                            </w:r>
                            <w:r>
                              <w:rPr>
                                <w:rFonts w:ascii="Aptos" w:hAnsi="Aptos" w:eastAsia="Times New Roman" w:cs="Arial"/>
                                <w:kern w:val="24"/>
                                <w:sz w:val="16"/>
                                <w:szCs w:val="16"/>
                                <w:lang w:eastAsia="el-GR"/>
                              </w:rPr>
                              <w:t>%</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b/>
                                <w:bCs/>
                                <w:sz w:val="16"/>
                                <w:szCs w:val="16"/>
                                <w:lang w:eastAsia="el-GR"/>
                              </w:rPr>
                            </w:pPr>
                            <w:r>
                              <w:rPr>
                                <w:rFonts w:ascii="Aptos" w:hAnsi="Aptos"/>
                                <w:b/>
                                <w:bCs/>
                                <w:sz w:val="16"/>
                                <w:szCs w:val="16"/>
                              </w:rPr>
                              <w:t>Οργανικά κέρδη / (ζημίες)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1</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5</w:t>
                            </w:r>
                            <w:r>
                              <w:rPr>
                                <w:rFonts w:ascii="Aptos" w:hAnsi="Aptos" w:eastAsia="Times New Roman" w:cs="Arial"/>
                                <w:b/>
                                <w:bCs/>
                                <w:kern w:val="24"/>
                                <w:sz w:val="16"/>
                                <w:szCs w:val="16"/>
                                <w:lang w:eastAsia="el-GR"/>
                              </w:rPr>
                              <w:t>69</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632</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&gt;100%</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eastAsia="el-GR"/>
                              </w:rPr>
                              <w:t>4</w:t>
                            </w:r>
                            <w:r>
                              <w:rPr>
                                <w:rFonts w:ascii="Aptos" w:hAnsi="Aptos" w:eastAsia="Times New Roman" w:cs="Arial"/>
                                <w:b/>
                                <w:bCs/>
                                <w:kern w:val="24"/>
                                <w:sz w:val="16"/>
                                <w:szCs w:val="16"/>
                                <w:lang w:val="en-US" w:eastAsia="el-GR"/>
                              </w:rPr>
                              <w:t>33</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427</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+1%</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b/>
                                <w:bCs/>
                                <w:sz w:val="16"/>
                                <w:szCs w:val="16"/>
                                <w:lang w:eastAsia="el-GR"/>
                              </w:rPr>
                            </w:pPr>
                            <w:r>
                              <w:rPr>
                                <w:rFonts w:ascii="Aptos" w:hAnsi="Aptos"/>
                                <w:b/>
                                <w:bCs/>
                                <w:sz w:val="16"/>
                                <w:szCs w:val="16"/>
                              </w:rPr>
                              <w:t>Λειτουργικά κέρδη / (ζημίες)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1</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66</w:t>
                            </w:r>
                            <w:r>
                              <w:rPr>
                                <w:rFonts w:ascii="Aptos" w:hAnsi="Aptos" w:eastAsia="Times New Roman" w:cs="Arial"/>
                                <w:b/>
                                <w:bCs/>
                                <w:kern w:val="24"/>
                                <w:sz w:val="16"/>
                                <w:szCs w:val="16"/>
                                <w:lang w:eastAsia="el-GR"/>
                              </w:rPr>
                              <w:t>2</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975</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7</w:t>
                            </w:r>
                            <w:r>
                              <w:rPr>
                                <w:rFonts w:ascii="Aptos" w:hAnsi="Aptos" w:eastAsia="Times New Roman" w:cs="Arial"/>
                                <w:b/>
                                <w:bCs/>
                                <w:kern w:val="24"/>
                                <w:sz w:val="16"/>
                                <w:szCs w:val="16"/>
                                <w:lang w:eastAsia="el-GR"/>
                              </w:rPr>
                              <w:t>1%</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eastAsia="el-GR"/>
                              </w:rPr>
                              <w:t>4</w:t>
                            </w:r>
                            <w:r>
                              <w:rPr>
                                <w:rFonts w:ascii="Aptos" w:hAnsi="Aptos" w:eastAsia="Times New Roman" w:cs="Arial"/>
                                <w:b/>
                                <w:bCs/>
                                <w:kern w:val="24"/>
                                <w:sz w:val="16"/>
                                <w:szCs w:val="16"/>
                                <w:lang w:val="en-US" w:eastAsia="el-GR"/>
                              </w:rPr>
                              <w:t>63</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434</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w:t>
                            </w:r>
                            <w:r>
                              <w:rPr>
                                <w:rFonts w:ascii="Aptos" w:hAnsi="Aptos" w:eastAsia="Times New Roman" w:cs="Arial"/>
                                <w:b/>
                                <w:bCs/>
                                <w:kern w:val="24"/>
                                <w:sz w:val="16"/>
                                <w:szCs w:val="16"/>
                                <w:lang w:eastAsia="el-GR"/>
                              </w:rPr>
                              <w:t>7</w:t>
                            </w:r>
                            <w:r>
                              <w:rPr>
                                <w:rFonts w:ascii="Aptos" w:hAnsi="Aptos" w:eastAsia="Times New Roman" w:cs="Arial"/>
                                <w:b/>
                                <w:bCs/>
                                <w:kern w:val="24"/>
                                <w:sz w:val="16"/>
                                <w:szCs w:val="16"/>
                                <w:lang w:val="en-US" w:eastAsia="el-GR"/>
                              </w:rPr>
                              <w:t>%</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sz w:val="16"/>
                                <w:szCs w:val="16"/>
                                <w:lang w:eastAsia="el-GR"/>
                              </w:rPr>
                            </w:pPr>
                            <w:r>
                              <w:rPr>
                                <w:rFonts w:ascii="Aptos" w:hAnsi="Aptos"/>
                                <w:sz w:val="16"/>
                                <w:szCs w:val="16"/>
                              </w:rPr>
                              <w:t xml:space="preserve">Φόροι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(37</w:t>
                            </w:r>
                            <w:r>
                              <w:rPr>
                                <w:rFonts w:ascii="Aptos" w:hAnsi="Aptos" w:eastAsia="Times New Roman" w:cs="Arial"/>
                                <w:kern w:val="24"/>
                                <w:sz w:val="16"/>
                                <w:szCs w:val="16"/>
                                <w:lang w:eastAsia="el-GR"/>
                              </w:rPr>
                              <w:t>0</w:t>
                            </w:r>
                            <w:r>
                              <w:rPr>
                                <w:rFonts w:ascii="Aptos" w:hAnsi="Aptos" w:eastAsia="Times New Roman" w:cs="Arial"/>
                                <w:kern w:val="24"/>
                                <w:sz w:val="16"/>
                                <w:szCs w:val="16"/>
                                <w:lang w:val="en-US" w:eastAsia="el-GR"/>
                              </w:rPr>
                              <w:t>)</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(157)</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&gt;100%</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val="en-US" w:eastAsia="el-GR"/>
                              </w:rPr>
                              <w:t>(88)</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6"/>
                                <w:szCs w:val="16"/>
                                <w:lang w:eastAsia="el-GR"/>
                              </w:rPr>
                            </w:pPr>
                            <w:r>
                              <w:rPr>
                                <w:rFonts w:ascii="Aptos" w:hAnsi="Aptos"/>
                                <w:sz w:val="16"/>
                                <w:szCs w:val="16"/>
                              </w:rPr>
                              <w:t>(81)</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kern w:val="24"/>
                                <w:sz w:val="16"/>
                                <w:szCs w:val="16"/>
                                <w:lang w:eastAsia="el-GR"/>
                              </w:rPr>
                              <w:t>+</w:t>
                            </w:r>
                            <w:r>
                              <w:rPr>
                                <w:rFonts w:ascii="Aptos" w:hAnsi="Aptos" w:eastAsia="Times New Roman" w:cs="Arial"/>
                                <w:kern w:val="24"/>
                                <w:sz w:val="16"/>
                                <w:szCs w:val="16"/>
                                <w:lang w:val="en-US" w:eastAsia="el-GR"/>
                              </w:rPr>
                              <w:t>8%</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42" w:type="dxa"/>
                              <w:bottom w:w="0" w:type="dxa"/>
                              <w:right w:w="15" w:type="dxa"/>
                            </w:tcMar>
                            <w:vAlign w:val="center"/>
                          </w:tcPr>
                          <w:p>
                            <w:pPr>
                              <w:textAlignment w:val="center"/>
                              <w:rPr>
                                <w:rFonts w:ascii="Aptos" w:hAnsi="Aptos" w:eastAsia="Times New Roman" w:cs="Arial"/>
                                <w:b/>
                                <w:bCs/>
                                <w:sz w:val="16"/>
                                <w:szCs w:val="16"/>
                                <w:lang w:eastAsia="el-GR"/>
                              </w:rPr>
                            </w:pPr>
                            <w:r>
                              <w:rPr>
                                <w:rFonts w:ascii="Aptos" w:hAnsi="Aptos"/>
                                <w:b/>
                                <w:bCs/>
                                <w:sz w:val="16"/>
                                <w:szCs w:val="16"/>
                              </w:rPr>
                              <w:t>Οργανικά κέρδη / (ζημίες) μετά από φόρους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1</w:t>
                            </w:r>
                            <w:r>
                              <w:rPr>
                                <w:rFonts w:ascii="Aptos" w:hAnsi="Aptos" w:eastAsia="Times New Roman" w:cs="Arial"/>
                                <w:b/>
                                <w:bCs/>
                                <w:kern w:val="24"/>
                                <w:sz w:val="16"/>
                                <w:szCs w:val="16"/>
                                <w:lang w:eastAsia="el-GR"/>
                              </w:rPr>
                              <w:t>.200</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474</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&gt;100%</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eastAsia="el-GR"/>
                              </w:rPr>
                              <w:t>3</w:t>
                            </w:r>
                            <w:r>
                              <w:rPr>
                                <w:rFonts w:ascii="Aptos" w:hAnsi="Aptos" w:eastAsia="Times New Roman" w:cs="Arial"/>
                                <w:b/>
                                <w:bCs/>
                                <w:kern w:val="24"/>
                                <w:sz w:val="16"/>
                                <w:szCs w:val="16"/>
                                <w:lang w:val="en-US" w:eastAsia="el-GR"/>
                              </w:rPr>
                              <w:t>45</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vAlign w:val="center"/>
                          </w:tcPr>
                          <w:p>
                            <w:pPr>
                              <w:jc w:val="right"/>
                              <w:rPr>
                                <w:rFonts w:ascii="Aptos" w:hAnsi="Aptos" w:eastAsia="Times New Roman" w:cs="Arial"/>
                                <w:b/>
                                <w:bCs/>
                                <w:kern w:val="24"/>
                                <w:sz w:val="16"/>
                                <w:szCs w:val="16"/>
                                <w:lang w:eastAsia="el-GR"/>
                              </w:rPr>
                            </w:pPr>
                            <w:r>
                              <w:rPr>
                                <w:rFonts w:ascii="Aptos" w:hAnsi="Aptos"/>
                                <w:b/>
                                <w:bCs/>
                                <w:sz w:val="16"/>
                                <w:szCs w:val="16"/>
                              </w:rPr>
                              <w:t>346</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0%</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b/>
                                <w:bCs/>
                                <w:sz w:val="16"/>
                                <w:szCs w:val="16"/>
                                <w:lang w:eastAsia="el-GR"/>
                              </w:rPr>
                            </w:pPr>
                            <w:r>
                              <w:rPr>
                                <w:rFonts w:ascii="Aptos" w:hAnsi="Aptos"/>
                                <w:b/>
                                <w:bCs/>
                                <w:sz w:val="16"/>
                                <w:szCs w:val="16"/>
                              </w:rPr>
                              <w:t>Κέρδη / (ζημίες) μετά από φόρους που αναλογούν στους μετόχους της Τράπεζας</w:t>
                            </w:r>
                          </w:p>
                        </w:tc>
                        <w:tc>
                          <w:tcPr>
                            <w:tcW w:w="1152" w:type="dxa"/>
                            <w:tcBorders>
                              <w:top w:val="dashSmallGap" w:color="00ADBF" w:sz="4" w:space="0"/>
                              <w:left w:val="dashSmallGap" w:color="FF7415" w:sz="12" w:space="0"/>
                              <w:bottom w:val="dashSmallGap" w:color="FF7415" w:sz="12"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1</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1</w:t>
                            </w:r>
                            <w:r>
                              <w:rPr>
                                <w:rFonts w:ascii="Aptos" w:hAnsi="Aptos" w:eastAsia="Times New Roman" w:cs="Arial"/>
                                <w:b/>
                                <w:bCs/>
                                <w:kern w:val="24"/>
                                <w:sz w:val="16"/>
                                <w:szCs w:val="16"/>
                                <w:lang w:eastAsia="el-GR"/>
                              </w:rPr>
                              <w:t>06</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1</w:t>
                            </w:r>
                            <w:r>
                              <w:rPr>
                                <w:rFonts w:ascii="Aptos" w:hAnsi="Aptos" w:eastAsia="Times New Roman" w:cs="Arial"/>
                                <w:b/>
                                <w:bCs/>
                                <w:kern w:val="24"/>
                                <w:sz w:val="16"/>
                                <w:szCs w:val="16"/>
                                <w:lang w:eastAsia="el-GR"/>
                              </w:rPr>
                              <w:t>.</w:t>
                            </w:r>
                            <w:r>
                              <w:rPr>
                                <w:rFonts w:ascii="Aptos" w:hAnsi="Aptos" w:eastAsia="Times New Roman" w:cs="Arial"/>
                                <w:b/>
                                <w:bCs/>
                                <w:kern w:val="24"/>
                                <w:sz w:val="16"/>
                                <w:szCs w:val="16"/>
                                <w:lang w:val="en-US" w:eastAsia="el-GR"/>
                              </w:rPr>
                              <w:t>120</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 xml:space="preserve"> -1%</w:t>
                            </w:r>
                          </w:p>
                        </w:tc>
                        <w:tc>
                          <w:tcPr>
                            <w:tcW w:w="1152" w:type="dxa"/>
                            <w:tcBorders>
                              <w:top w:val="dashSmallGap" w:color="00ADBF" w:sz="4" w:space="0"/>
                              <w:left w:val="dashSmallGap" w:color="FF7415" w:sz="12" w:space="0"/>
                              <w:bottom w:val="dashSmallGap" w:color="FF7415" w:sz="12"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val="en-US" w:eastAsia="el-GR"/>
                              </w:rPr>
                              <w:t>315</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val="en-US" w:eastAsia="el-GR"/>
                              </w:rPr>
                            </w:pPr>
                            <w:r>
                              <w:rPr>
                                <w:rFonts w:ascii="Aptos" w:hAnsi="Aptos" w:eastAsia="Times New Roman" w:cs="Arial"/>
                                <w:b/>
                                <w:bCs/>
                                <w:kern w:val="24"/>
                                <w:sz w:val="16"/>
                                <w:szCs w:val="16"/>
                                <w:lang w:val="en-US" w:eastAsia="el-GR"/>
                              </w:rPr>
                              <w:t>261</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eastAsia="Times New Roman" w:cs="Arial"/>
                                <w:b/>
                                <w:bCs/>
                                <w:kern w:val="24"/>
                                <w:sz w:val="16"/>
                                <w:szCs w:val="16"/>
                                <w:lang w:eastAsia="el-GR"/>
                              </w:rPr>
                              <w:t>+2</w:t>
                            </w:r>
                            <w:r>
                              <w:rPr>
                                <w:rFonts w:ascii="Aptos" w:hAnsi="Aptos" w:eastAsia="Times New Roman" w:cs="Arial"/>
                                <w:b/>
                                <w:bCs/>
                                <w:kern w:val="24"/>
                                <w:sz w:val="16"/>
                                <w:szCs w:val="16"/>
                                <w:lang w:val="en-US" w:eastAsia="el-GR"/>
                              </w:rPr>
                              <w:t>0</w:t>
                            </w:r>
                            <w:r>
                              <w:rPr>
                                <w:rFonts w:ascii="Aptos" w:hAnsi="Aptos" w:eastAsia="Times New Roman" w:cs="Arial"/>
                                <w:b/>
                                <w:bCs/>
                                <w:kern w:val="24"/>
                                <w:sz w:val="16"/>
                                <w:szCs w:val="16"/>
                                <w:lang w:eastAsia="el-GR"/>
                              </w:rPr>
                              <w:t>%</w:t>
                            </w:r>
                          </w:p>
                        </w:tc>
                      </w:tr>
                    </w:tbl>
                    <w:p>
                      <w:pPr>
                        <w:jc w:val="both"/>
                        <w:rPr>
                          <w:rFonts w:ascii="Aptos" w:hAnsi="Aptos" w:cs="Segoe UI"/>
                          <w:b/>
                          <w:color w:val="595959"/>
                          <w:sz w:val="20"/>
                          <w:szCs w:val="20"/>
                        </w:rPr>
                      </w:pPr>
                    </w:p>
                    <w:tbl>
                      <w:tblPr>
                        <w:tblStyle w:val="4"/>
                        <w:tblW w:w="9936" w:type="dxa"/>
                        <w:tblInd w:w="0" w:type="dxa"/>
                        <w:tblLayout w:type="autofit"/>
                        <w:tblCellMar>
                          <w:top w:w="0" w:type="dxa"/>
                          <w:left w:w="0" w:type="dxa"/>
                          <w:bottom w:w="0" w:type="dxa"/>
                          <w:right w:w="0" w:type="dxa"/>
                        </w:tblCellMar>
                      </w:tblPr>
                      <w:tblGrid>
                        <w:gridCol w:w="3024"/>
                        <w:gridCol w:w="1152"/>
                        <w:gridCol w:w="1152"/>
                        <w:gridCol w:w="1152"/>
                        <w:gridCol w:w="1152"/>
                        <w:gridCol w:w="1152"/>
                        <w:gridCol w:w="1152"/>
                      </w:tblGrid>
                      <w:tr>
                        <w:tblPrEx>
                          <w:tblCellMar>
                            <w:top w:w="0" w:type="dxa"/>
                            <w:left w:w="0" w:type="dxa"/>
                            <w:bottom w:w="0" w:type="dxa"/>
                            <w:right w:w="0" w:type="dxa"/>
                          </w:tblCellMar>
                        </w:tblPrEx>
                        <w:trPr>
                          <w:trHeight w:val="288" w:hRule="atLeast"/>
                        </w:trPr>
                        <w:tc>
                          <w:tcPr>
                            <w:tcW w:w="3024" w:type="dxa"/>
                            <w:tcBorders>
                              <w:top w:val="nil"/>
                              <w:left w:val="nil"/>
                              <w:bottom w:val="dashSmallGap" w:color="00ADBF" w:sz="4" w:space="0"/>
                              <w:right w:val="dashSmallGap" w:color="FF7415" w:sz="12" w:space="0"/>
                            </w:tcBorders>
                            <w:shd w:val="clear" w:color="auto" w:fill="007B85"/>
                            <w:tcMar>
                              <w:top w:w="15" w:type="dxa"/>
                              <w:left w:w="144" w:type="dxa"/>
                              <w:bottom w:w="0" w:type="dxa"/>
                              <w:right w:w="144" w:type="dxa"/>
                            </w:tcMar>
                            <w:vAlign w:val="center"/>
                          </w:tcPr>
                          <w:p>
                            <w:pPr>
                              <w:rPr>
                                <w:rFonts w:ascii="Aptos" w:hAnsi="Aptos" w:eastAsia="Times New Roman" w:cs="Arial"/>
                                <w:color w:val="FFFFFF" w:themeColor="background1"/>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eastAsia="el-GR"/>
                                <w14:textFill>
                                  <w14:solidFill>
                                    <w14:schemeClr w14:val="bg1"/>
                                  </w14:solidFill>
                                </w14:textFill>
                              </w:rPr>
                              <w:t>Κατάσταση Χρηματοοικονομικής Θέσης</w:t>
                            </w:r>
                            <w:r>
                              <w:rPr>
                                <w:rFonts w:ascii="Aptos" w:hAnsi="Aptos" w:eastAsia="Times New Roman" w:cs="Arial"/>
                                <w:b/>
                                <w:bCs/>
                                <w:color w:val="FFFFFF" w:themeColor="background1"/>
                                <w:kern w:val="24"/>
                                <w:sz w:val="16"/>
                                <w:szCs w:val="16"/>
                                <w:vertAlign w:val="superscript"/>
                                <w:lang w:eastAsia="el-GR"/>
                                <w14:textFill>
                                  <w14:solidFill>
                                    <w14:schemeClr w14:val="bg1"/>
                                  </w14:solidFill>
                                </w14:textFill>
                              </w:rPr>
                              <w:t>1</w:t>
                            </w:r>
                            <w:r>
                              <w:rPr>
                                <w:rFonts w:ascii="Aptos" w:hAnsi="Aptos" w:eastAsia="Times New Roman" w:cs="Arial"/>
                                <w:b/>
                                <w:bCs/>
                                <w:color w:val="FFFFFF" w:themeColor="background1"/>
                                <w:kern w:val="24"/>
                                <w:sz w:val="16"/>
                                <w:szCs w:val="16"/>
                                <w:lang w:eastAsia="el-GR"/>
                                <w14:textFill>
                                  <w14:solidFill>
                                    <w14:schemeClr w14:val="bg1"/>
                                  </w14:solidFill>
                                </w14:textFill>
                              </w:rPr>
                              <w:t xml:space="preserve"> | Όμιλος (€ εκατ.)</w:t>
                            </w:r>
                          </w:p>
                        </w:tc>
                        <w:tc>
                          <w:tcPr>
                            <w:tcW w:w="1152" w:type="dxa"/>
                            <w:tcBorders>
                              <w:top w:val="dashSmallGap" w:color="FF7415" w:sz="12" w:space="0"/>
                              <w:left w:val="dashSmallGap" w:color="FF7415" w:sz="12" w:space="0"/>
                              <w:bottom w:val="dashSmallGap" w:color="00ADBF" w:sz="4" w:space="0"/>
                              <w:right w:val="dashSmallGap" w:color="FF7415" w:sz="12" w:space="0"/>
                            </w:tcBorders>
                            <w:shd w:val="clear" w:color="auto" w:fill="007B85"/>
                            <w:tcMar>
                              <w:top w:w="15" w:type="dxa"/>
                              <w:left w:w="144" w:type="dxa"/>
                              <w:bottom w:w="0" w:type="dxa"/>
                              <w:right w:w="144" w:type="dxa"/>
                            </w:tcMar>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w:t>
                            </w:r>
                            <w:r>
                              <w:rPr>
                                <w:rFonts w:ascii="Aptos" w:hAnsi="Aptos" w:eastAsia="Times New Roman" w:cs="Arial"/>
                                <w:b/>
                                <w:bCs/>
                                <w:color w:val="FFFFFF" w:themeColor="background1"/>
                                <w:kern w:val="24"/>
                                <w:sz w:val="16"/>
                                <w:szCs w:val="16"/>
                                <w:lang w:eastAsia="el-GR"/>
                                <w14:textFill>
                                  <w14:solidFill>
                                    <w14:schemeClr w14:val="bg1"/>
                                  </w14:solidFill>
                                </w14:textFill>
                              </w:rPr>
                              <w:t xml:space="preserve">’ </w:t>
                            </w:r>
                            <w:r>
                              <w:rPr>
                                <w:rFonts w:ascii="Aptos" w:hAnsi="Aptos" w:eastAsia="Times New Roman" w:cs="Arial"/>
                                <w:b/>
                                <w:bCs/>
                                <w:color w:val="FFFFFF" w:themeColor="background1"/>
                                <w:kern w:val="24"/>
                                <w:sz w:val="16"/>
                                <w:szCs w:val="16"/>
                                <w:lang w:val="en-US" w:eastAsia="el-GR"/>
                                <w14:textFill>
                                  <w14:solidFill>
                                    <w14:schemeClr w14:val="bg1"/>
                                  </w14:solidFill>
                                </w14:textFill>
                              </w:rPr>
                              <w:t>τρίμηνο 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dashSmallGap" w:color="FF7415" w:sz="12" w:space="0"/>
                              <w:bottom w:val="dashSmallGap" w:color="00ADBF" w:sz="4" w:space="0"/>
                              <w:right w:val="nil"/>
                            </w:tcBorders>
                            <w:shd w:val="clear" w:color="auto" w:fill="007B85"/>
                            <w:tcMar>
                              <w:top w:w="15" w:type="dxa"/>
                              <w:left w:w="144" w:type="dxa"/>
                              <w:bottom w:w="0" w:type="dxa"/>
                              <w:right w:w="144" w:type="dxa"/>
                            </w:tcMar>
                          </w:tcPr>
                          <w:p>
                            <w:pPr>
                              <w:jc w:val="right"/>
                              <w:rPr>
                                <w:rFonts w:ascii="Aptos" w:hAnsi="Aptos" w:eastAsia="Times New Roman" w:cs="Arial"/>
                                <w:b/>
                                <w:bCs/>
                                <w:color w:val="FFFFFF" w:themeColor="background1"/>
                                <w:kern w:val="24"/>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Γ</w:t>
                            </w:r>
                            <w:r>
                              <w:rPr>
                                <w:rFonts w:ascii="Aptos" w:hAnsi="Aptos" w:eastAsia="Times New Roman" w:cs="Arial"/>
                                <w:b/>
                                <w:bCs/>
                                <w:color w:val="FFFFFF" w:themeColor="background1"/>
                                <w:kern w:val="24"/>
                                <w:sz w:val="16"/>
                                <w:szCs w:val="16"/>
                                <w:lang w:eastAsia="el-GR"/>
                                <w14:textFill>
                                  <w14:solidFill>
                                    <w14:schemeClr w14:val="bg1"/>
                                  </w14:solidFill>
                                </w14:textFill>
                              </w:rPr>
                              <w:t xml:space="preserve">’ </w:t>
                            </w:r>
                            <w:r>
                              <w:rPr>
                                <w:rFonts w:ascii="Aptos" w:hAnsi="Aptos" w:eastAsia="Times New Roman" w:cs="Arial"/>
                                <w:b/>
                                <w:bCs/>
                                <w:color w:val="FFFFFF" w:themeColor="background1"/>
                                <w:kern w:val="24"/>
                                <w:sz w:val="16"/>
                                <w:szCs w:val="16"/>
                                <w:lang w:val="en-US" w:eastAsia="el-GR"/>
                                <w14:textFill>
                                  <w14:solidFill>
                                    <w14:schemeClr w14:val="bg1"/>
                                  </w14:solidFill>
                                </w14:textFill>
                              </w:rPr>
                              <w:t>τρίμηνο 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nil"/>
                              <w:bottom w:val="dashSmallGap" w:color="00ADBF" w:sz="4" w:space="0"/>
                              <w:right w:val="nil"/>
                            </w:tcBorders>
                            <w:shd w:val="clear" w:color="auto" w:fill="007B85"/>
                            <w:tcMar>
                              <w:top w:w="15" w:type="dxa"/>
                              <w:left w:w="144" w:type="dxa"/>
                              <w:bottom w:w="0" w:type="dxa"/>
                              <w:right w:w="144" w:type="dxa"/>
                            </w:tcMar>
                          </w:tcPr>
                          <w:p>
                            <w:pPr>
                              <w:jc w:val="right"/>
                              <w:rPr>
                                <w:rFonts w:ascii="Aptos" w:hAnsi="Aptos" w:eastAsia="Times New Roman" w:cs="Arial"/>
                                <w:b/>
                                <w:bCs/>
                                <w:color w:val="FFFFFF" w:themeColor="background1"/>
                                <w:kern w:val="24"/>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Β</w:t>
                            </w:r>
                            <w:r>
                              <w:rPr>
                                <w:rFonts w:ascii="Aptos" w:hAnsi="Aptos" w:eastAsia="Times New Roman" w:cs="Arial"/>
                                <w:b/>
                                <w:bCs/>
                                <w:color w:val="FFFFFF" w:themeColor="background1"/>
                                <w:kern w:val="24"/>
                                <w:sz w:val="16"/>
                                <w:szCs w:val="16"/>
                                <w:lang w:eastAsia="el-GR"/>
                                <w14:textFill>
                                  <w14:solidFill>
                                    <w14:schemeClr w14:val="bg1"/>
                                  </w14:solidFill>
                                </w14:textFill>
                              </w:rPr>
                              <w:t>’</w:t>
                            </w:r>
                            <w:r>
                              <w:rPr>
                                <w:rFonts w:ascii="Aptos" w:hAnsi="Aptos" w:eastAsia="Times New Roman" w:cs="Arial"/>
                                <w:b/>
                                <w:bCs/>
                                <w:color w:val="FFFFFF" w:themeColor="background1"/>
                                <w:kern w:val="24"/>
                                <w:sz w:val="16"/>
                                <w:szCs w:val="16"/>
                                <w:lang w:val="en-US" w:eastAsia="el-GR"/>
                                <w14:textFill>
                                  <w14:solidFill>
                                    <w14:schemeClr w14:val="bg1"/>
                                  </w14:solidFill>
                                </w14:textFill>
                              </w:rPr>
                              <w:t xml:space="preserve"> τρίμηνο 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nil"/>
                              <w:bottom w:val="dashSmallGap" w:color="00ADBF" w:sz="4" w:space="0"/>
                              <w:right w:val="nil"/>
                            </w:tcBorders>
                            <w:shd w:val="clear" w:color="auto" w:fill="007B85"/>
                            <w:tcMar>
                              <w:top w:w="15" w:type="dxa"/>
                              <w:left w:w="144" w:type="dxa"/>
                              <w:bottom w:w="0" w:type="dxa"/>
                              <w:right w:w="144" w:type="dxa"/>
                            </w:tcMar>
                          </w:tcPr>
                          <w:p>
                            <w:pPr>
                              <w:jc w:val="right"/>
                              <w:rPr>
                                <w:rFonts w:ascii="Aptos" w:hAnsi="Aptos" w:eastAsia="Times New Roman" w:cs="Arial"/>
                                <w:b/>
                                <w:bCs/>
                                <w:color w:val="FFFFFF" w:themeColor="background1"/>
                                <w:kern w:val="24"/>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Α</w:t>
                            </w:r>
                            <w:r>
                              <w:rPr>
                                <w:rFonts w:ascii="Aptos" w:hAnsi="Aptos" w:eastAsia="Times New Roman" w:cs="Arial"/>
                                <w:b/>
                                <w:bCs/>
                                <w:color w:val="FFFFFF" w:themeColor="background1"/>
                                <w:kern w:val="24"/>
                                <w:sz w:val="16"/>
                                <w:szCs w:val="16"/>
                                <w:lang w:eastAsia="el-GR"/>
                                <w14:textFill>
                                  <w14:solidFill>
                                    <w14:schemeClr w14:val="bg1"/>
                                  </w14:solidFill>
                                </w14:textFill>
                              </w:rPr>
                              <w:t>’</w:t>
                            </w:r>
                            <w:r>
                              <w:rPr>
                                <w:rFonts w:ascii="Aptos" w:hAnsi="Aptos" w:eastAsia="Times New Roman" w:cs="Arial"/>
                                <w:b/>
                                <w:bCs/>
                                <w:color w:val="FFFFFF" w:themeColor="background1"/>
                                <w:kern w:val="24"/>
                                <w:sz w:val="16"/>
                                <w:szCs w:val="16"/>
                                <w:lang w:val="en-US" w:eastAsia="el-GR"/>
                                <w14:textFill>
                                  <w14:solidFill>
                                    <w14:schemeClr w14:val="bg1"/>
                                  </w14:solidFill>
                                </w14:textFill>
                              </w:rPr>
                              <w:t xml:space="preserve"> τρίμηνο 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nil"/>
                              <w:bottom w:val="dashSmallGap" w:color="00ADBF" w:sz="4" w:space="0"/>
                              <w:right w:val="nil"/>
                            </w:tcBorders>
                            <w:shd w:val="clear" w:color="auto" w:fill="007B85"/>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w:t>
                            </w:r>
                            <w:r>
                              <w:rPr>
                                <w:rFonts w:ascii="Aptos" w:hAnsi="Aptos" w:eastAsia="Times New Roman" w:cs="Arial"/>
                                <w:b/>
                                <w:bCs/>
                                <w:color w:val="FFFFFF" w:themeColor="background1"/>
                                <w:kern w:val="24"/>
                                <w:sz w:val="16"/>
                                <w:szCs w:val="16"/>
                                <w:lang w:eastAsia="el-GR"/>
                                <w14:textFill>
                                  <w14:solidFill>
                                    <w14:schemeClr w14:val="bg1"/>
                                  </w14:solidFill>
                                </w14:textFill>
                              </w:rPr>
                              <w:t>’</w:t>
                            </w:r>
                            <w:r>
                              <w:rPr>
                                <w:rFonts w:ascii="Aptos" w:hAnsi="Aptos" w:eastAsia="Times New Roman" w:cs="Arial"/>
                                <w:b/>
                                <w:bCs/>
                                <w:color w:val="FFFFFF" w:themeColor="background1"/>
                                <w:kern w:val="24"/>
                                <w:sz w:val="16"/>
                                <w:szCs w:val="16"/>
                                <w:lang w:val="en-US" w:eastAsia="el-GR"/>
                                <w14:textFill>
                                  <w14:solidFill>
                                    <w14:schemeClr w14:val="bg1"/>
                                  </w14:solidFill>
                                </w14:textFill>
                              </w:rPr>
                              <w:t xml:space="preserve"> τρίμηνο</w:t>
                            </w:r>
                          </w:p>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202</w:t>
                            </w:r>
                            <w:r>
                              <w:rPr>
                                <w:rFonts w:ascii="Aptos" w:hAnsi="Aptos" w:eastAsia="Times New Roman" w:cs="Arial"/>
                                <w:b/>
                                <w:bCs/>
                                <w:color w:val="FFFFFF" w:themeColor="background1"/>
                                <w:kern w:val="24"/>
                                <w:sz w:val="16"/>
                                <w:szCs w:val="16"/>
                                <w:lang w:eastAsia="el-GR"/>
                                <w14:textFill>
                                  <w14:solidFill>
                                    <w14:schemeClr w14:val="bg1"/>
                                  </w14:solidFill>
                                </w14:textFill>
                              </w:rPr>
                              <w:t>2</w:t>
                            </w:r>
                          </w:p>
                        </w:tc>
                        <w:tc>
                          <w:tcPr>
                            <w:tcW w:w="1152" w:type="dxa"/>
                            <w:tcBorders>
                              <w:top w:val="nil"/>
                              <w:left w:val="nil"/>
                              <w:bottom w:val="dashSmallGap" w:color="00ADBF" w:sz="4" w:space="0"/>
                              <w:right w:val="nil"/>
                            </w:tcBorders>
                            <w:shd w:val="clear" w:color="auto" w:fill="007B85"/>
                            <w:tcMar>
                              <w:top w:w="15" w:type="dxa"/>
                              <w:left w:w="144" w:type="dxa"/>
                              <w:bottom w:w="0" w:type="dxa"/>
                              <w:right w:w="144" w:type="dxa"/>
                            </w:tcMar>
                            <w:vAlign w:val="center"/>
                          </w:tcPr>
                          <w:p>
                            <w:pPr>
                              <w:jc w:val="right"/>
                              <w:rPr>
                                <w:rFonts w:ascii="Aptos" w:hAnsi="Aptos" w:eastAsia="Times New Roman" w:cs="Arial"/>
                                <w:b/>
                                <w:bCs/>
                                <w:color w:val="FFFFFF" w:themeColor="background1"/>
                                <w:kern w:val="24"/>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Γ</w:t>
                            </w:r>
                            <w:r>
                              <w:rPr>
                                <w:rFonts w:ascii="Aptos" w:hAnsi="Aptos" w:eastAsia="Times New Roman" w:cs="Arial"/>
                                <w:b/>
                                <w:bCs/>
                                <w:color w:val="FFFFFF" w:themeColor="background1"/>
                                <w:kern w:val="24"/>
                                <w:sz w:val="16"/>
                                <w:szCs w:val="16"/>
                                <w:lang w:eastAsia="el-GR"/>
                                <w14:textFill>
                                  <w14:solidFill>
                                    <w14:schemeClr w14:val="bg1"/>
                                  </w14:solidFill>
                                </w14:textFill>
                              </w:rPr>
                              <w:t>’</w:t>
                            </w:r>
                            <w:r>
                              <w:rPr>
                                <w:rFonts w:ascii="Aptos" w:hAnsi="Aptos" w:eastAsia="Times New Roman" w:cs="Arial"/>
                                <w:b/>
                                <w:bCs/>
                                <w:color w:val="FFFFFF" w:themeColor="background1"/>
                                <w:kern w:val="24"/>
                                <w:sz w:val="16"/>
                                <w:szCs w:val="16"/>
                                <w:lang w:val="en-US" w:eastAsia="el-GR"/>
                                <w14:textFill>
                                  <w14:solidFill>
                                    <w14:schemeClr w14:val="bg1"/>
                                  </w14:solidFill>
                                </w14:textFill>
                              </w:rPr>
                              <w:t xml:space="preserve"> τρίμηνο 202</w:t>
                            </w:r>
                            <w:r>
                              <w:rPr>
                                <w:rFonts w:ascii="Aptos" w:hAnsi="Aptos" w:eastAsia="Times New Roman" w:cs="Arial"/>
                                <w:b/>
                                <w:bCs/>
                                <w:color w:val="FFFFFF" w:themeColor="background1"/>
                                <w:kern w:val="24"/>
                                <w:sz w:val="16"/>
                                <w:szCs w:val="16"/>
                                <w:lang w:eastAsia="el-GR"/>
                                <w14:textFill>
                                  <w14:solidFill>
                                    <w14:schemeClr w14:val="bg1"/>
                                  </w14:solidFill>
                                </w14:textFill>
                              </w:rPr>
                              <w:t>2</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kern w:val="24"/>
                                <w:sz w:val="16"/>
                                <w:szCs w:val="16"/>
                                <w:lang w:val="en-US" w:eastAsia="el-GR"/>
                              </w:rPr>
                            </w:pPr>
                            <w:r>
                              <w:rPr>
                                <w:rFonts w:ascii="Aptos" w:hAnsi="Aptos"/>
                                <w:sz w:val="16"/>
                                <w:szCs w:val="16"/>
                              </w:rPr>
                              <w:t xml:space="preserve">Σύνολο Ενεργητικού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6"/>
                                <w:szCs w:val="16"/>
                                <w:lang w:val="en-US" w:eastAsia="el-GR"/>
                              </w:rPr>
                            </w:pPr>
                            <w:r>
                              <w:rPr>
                                <w:rFonts w:ascii="Aptos" w:hAnsi="Aptos"/>
                                <w:sz w:val="16"/>
                                <w:szCs w:val="16"/>
                              </w:rPr>
                              <w:t xml:space="preserve">74.584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6"/>
                                <w:szCs w:val="16"/>
                                <w:lang w:val="en-US" w:eastAsia="el-GR"/>
                              </w:rPr>
                            </w:pPr>
                            <w:r>
                              <w:rPr>
                                <w:rFonts w:ascii="Aptos" w:hAnsi="Aptos"/>
                                <w:sz w:val="16"/>
                                <w:szCs w:val="16"/>
                              </w:rPr>
                              <w:t xml:space="preserve">73.924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6"/>
                                <w:szCs w:val="16"/>
                                <w:lang w:val="en-US" w:eastAsia="el-GR"/>
                              </w:rPr>
                            </w:pPr>
                            <w:r>
                              <w:rPr>
                                <w:rFonts w:ascii="Aptos" w:hAnsi="Aptos"/>
                                <w:sz w:val="16"/>
                                <w:szCs w:val="16"/>
                              </w:rPr>
                              <w:t xml:space="preserve">72.849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6"/>
                                <w:szCs w:val="16"/>
                                <w:lang w:val="en-US" w:eastAsia="el-GR"/>
                              </w:rPr>
                            </w:pPr>
                            <w:r>
                              <w:rPr>
                                <w:rFonts w:ascii="Aptos" w:hAnsi="Aptos"/>
                                <w:sz w:val="16"/>
                                <w:szCs w:val="16"/>
                              </w:rPr>
                              <w:t xml:space="preserve">75.248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6"/>
                                <w:szCs w:val="16"/>
                                <w:lang w:val="en-US" w:eastAsia="el-GR"/>
                              </w:rPr>
                            </w:pPr>
                            <w:r>
                              <w:rPr>
                                <w:rFonts w:ascii="Aptos" w:hAnsi="Aptos"/>
                                <w:sz w:val="16"/>
                                <w:szCs w:val="16"/>
                              </w:rPr>
                              <w:t xml:space="preserve">78.113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5" w:type="dxa"/>
                              <w:bottom w:w="0" w:type="dxa"/>
                              <w:right w:w="144" w:type="dxa"/>
                            </w:tcMar>
                            <w:vAlign w:val="center"/>
                          </w:tcPr>
                          <w:p>
                            <w:pPr>
                              <w:jc w:val="right"/>
                              <w:rPr>
                                <w:rFonts w:ascii="Aptos" w:hAnsi="Aptos" w:eastAsia="Times New Roman" w:cs="Arial"/>
                                <w:kern w:val="24"/>
                                <w:sz w:val="16"/>
                                <w:szCs w:val="16"/>
                                <w:lang w:val="en-US" w:eastAsia="el-GR"/>
                              </w:rPr>
                            </w:pPr>
                            <w:r>
                              <w:rPr>
                                <w:rFonts w:ascii="Aptos" w:hAnsi="Aptos"/>
                                <w:sz w:val="16"/>
                                <w:szCs w:val="16"/>
                              </w:rPr>
                              <w:t xml:space="preserve">80.878 </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kern w:val="24"/>
                                <w:sz w:val="16"/>
                                <w:szCs w:val="16"/>
                                <w:lang w:val="en-US" w:eastAsia="el-GR"/>
                              </w:rPr>
                            </w:pPr>
                            <w:r>
                              <w:rPr>
                                <w:rFonts w:ascii="Aptos" w:hAnsi="Aptos"/>
                                <w:sz w:val="16"/>
                                <w:szCs w:val="16"/>
                              </w:rPr>
                              <w:t>Δάνεια (προ προβλέψεων)</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35.306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36.419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36.404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36,780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6"/>
                                <w:szCs w:val="16"/>
                                <w:lang w:val="en-US" w:eastAsia="el-GR"/>
                              </w:rPr>
                            </w:pPr>
                            <w:r>
                              <w:rPr>
                                <w:rFonts w:ascii="Aptos" w:hAnsi="Aptos"/>
                                <w:sz w:val="16"/>
                                <w:szCs w:val="16"/>
                              </w:rPr>
                              <w:t xml:space="preserve">37.054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5"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36.092 </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kern w:val="24"/>
                                <w:sz w:val="16"/>
                                <w:szCs w:val="16"/>
                                <w:lang w:val="en-US" w:eastAsia="el-GR"/>
                              </w:rPr>
                            </w:pPr>
                            <w:r>
                              <w:rPr>
                                <w:rFonts w:ascii="Aptos" w:hAnsi="Aptos"/>
                                <w:sz w:val="16"/>
                                <w:szCs w:val="16"/>
                              </w:rPr>
                              <w:t xml:space="preserve">Σωρευμένες προβλέψεις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(1.083)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(1.100)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(1.428)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(1.494)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eastAsia="el-GR"/>
                              </w:rPr>
                            </w:pPr>
                            <w:r>
                              <w:rPr>
                                <w:rFonts w:ascii="Aptos" w:hAnsi="Aptos"/>
                                <w:sz w:val="16"/>
                                <w:szCs w:val="16"/>
                              </w:rPr>
                              <w:t xml:space="preserve">(1.493)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(1,594) </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b/>
                                <w:bCs/>
                                <w:kern w:val="24"/>
                                <w:sz w:val="16"/>
                                <w:szCs w:val="16"/>
                                <w:lang w:val="en-US" w:eastAsia="el-GR"/>
                              </w:rPr>
                            </w:pPr>
                            <w:r>
                              <w:rPr>
                                <w:rFonts w:ascii="Aptos" w:hAnsi="Aptos"/>
                                <w:b/>
                                <w:bCs/>
                                <w:sz w:val="16"/>
                                <w:szCs w:val="16"/>
                              </w:rPr>
                              <w:t>Δάνεια (μετά από προβλέψεις)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6"/>
                                <w:szCs w:val="16"/>
                                <w:lang w:eastAsia="el-GR"/>
                              </w:rPr>
                            </w:pPr>
                            <w:r>
                              <w:rPr>
                                <w:rFonts w:ascii="Aptos" w:hAnsi="Aptos"/>
                                <w:b/>
                                <w:bCs/>
                                <w:sz w:val="16"/>
                                <w:szCs w:val="16"/>
                              </w:rPr>
                              <w:t xml:space="preserve">34.223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6"/>
                                <w:szCs w:val="16"/>
                                <w:lang w:eastAsia="el-GR"/>
                              </w:rPr>
                            </w:pPr>
                            <w:r>
                              <w:rPr>
                                <w:rFonts w:ascii="Aptos" w:hAnsi="Aptos"/>
                                <w:b/>
                                <w:bCs/>
                                <w:sz w:val="16"/>
                                <w:szCs w:val="16"/>
                              </w:rPr>
                              <w:t xml:space="preserve">35.319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6"/>
                                <w:szCs w:val="16"/>
                                <w:lang w:eastAsia="el-GR"/>
                              </w:rPr>
                            </w:pPr>
                            <w:r>
                              <w:rPr>
                                <w:rFonts w:ascii="Aptos" w:hAnsi="Aptos"/>
                                <w:b/>
                                <w:bCs/>
                                <w:sz w:val="16"/>
                                <w:szCs w:val="16"/>
                              </w:rPr>
                              <w:t xml:space="preserve">34.976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6"/>
                                <w:szCs w:val="16"/>
                                <w:lang w:eastAsia="el-GR"/>
                              </w:rPr>
                            </w:pPr>
                            <w:r>
                              <w:rPr>
                                <w:rFonts w:ascii="Aptos" w:hAnsi="Aptos"/>
                                <w:b/>
                                <w:bCs/>
                                <w:sz w:val="16"/>
                                <w:szCs w:val="16"/>
                              </w:rPr>
                              <w:t xml:space="preserve">35.287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eastAsia="el-GR"/>
                              </w:rPr>
                            </w:pPr>
                            <w:r>
                              <w:rPr>
                                <w:rFonts w:ascii="Aptos" w:hAnsi="Aptos"/>
                                <w:b/>
                                <w:bCs/>
                                <w:sz w:val="16"/>
                                <w:szCs w:val="16"/>
                              </w:rPr>
                              <w:t xml:space="preserve">35.561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6"/>
                                <w:szCs w:val="16"/>
                                <w:lang w:eastAsia="el-GR"/>
                              </w:rPr>
                            </w:pPr>
                            <w:r>
                              <w:rPr>
                                <w:rFonts w:ascii="Aptos" w:hAnsi="Aptos"/>
                                <w:b/>
                                <w:bCs/>
                                <w:sz w:val="16"/>
                                <w:szCs w:val="16"/>
                              </w:rPr>
                              <w:t xml:space="preserve">34.498 </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b/>
                                <w:bCs/>
                                <w:kern w:val="24"/>
                                <w:sz w:val="16"/>
                                <w:szCs w:val="16"/>
                                <w:lang w:val="en-US" w:eastAsia="el-GR"/>
                              </w:rPr>
                            </w:pPr>
                            <w:r>
                              <w:rPr>
                                <w:rFonts w:ascii="Aptos" w:hAnsi="Aptos"/>
                                <w:b/>
                                <w:bCs/>
                                <w:sz w:val="16"/>
                                <w:szCs w:val="16"/>
                              </w:rPr>
                              <w:t>Εξυπηρετούμενα δάνεια</w:t>
                            </w:r>
                            <w:r>
                              <w:rPr>
                                <w:rFonts w:ascii="Aptos" w:hAnsi="Aptos"/>
                                <w:b/>
                                <w:bCs/>
                                <w:sz w:val="16"/>
                                <w:szCs w:val="16"/>
                                <w:vertAlign w:val="superscript"/>
                              </w:rPr>
                              <w:t>1</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6"/>
                                <w:szCs w:val="16"/>
                                <w:lang w:eastAsia="el-GR"/>
                              </w:rPr>
                            </w:pPr>
                            <w:r>
                              <w:rPr>
                                <w:rFonts w:ascii="Aptos" w:hAnsi="Aptos"/>
                                <w:b/>
                                <w:bCs/>
                                <w:sz w:val="16"/>
                                <w:szCs w:val="16"/>
                              </w:rPr>
                              <w:t>3</w:t>
                            </w:r>
                            <w:r>
                              <w:rPr>
                                <w:rFonts w:ascii="Aptos" w:hAnsi="Aptos"/>
                                <w:b/>
                                <w:bCs/>
                                <w:sz w:val="16"/>
                                <w:szCs w:val="16"/>
                                <w:lang w:val="en-US"/>
                              </w:rPr>
                              <w:t>0</w:t>
                            </w:r>
                            <w:r>
                              <w:rPr>
                                <w:rFonts w:ascii="Aptos" w:hAnsi="Aptos"/>
                                <w:b/>
                                <w:bCs/>
                                <w:sz w:val="16"/>
                                <w:szCs w:val="16"/>
                              </w:rPr>
                              <w:t>.</w:t>
                            </w:r>
                            <w:r>
                              <w:rPr>
                                <w:rFonts w:ascii="Aptos" w:hAnsi="Aptos"/>
                                <w:b/>
                                <w:bCs/>
                                <w:sz w:val="16"/>
                                <w:szCs w:val="16"/>
                                <w:lang w:val="en-US"/>
                              </w:rPr>
                              <w:t>468</w:t>
                            </w:r>
                            <w:r>
                              <w:rPr>
                                <w:rFonts w:ascii="Aptos" w:hAnsi="Aptos"/>
                                <w:b/>
                                <w:bCs/>
                                <w:sz w:val="16"/>
                                <w:szCs w:val="16"/>
                              </w:rPr>
                              <w:t xml:space="preserve">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6"/>
                                <w:szCs w:val="16"/>
                                <w:lang w:eastAsia="el-GR"/>
                              </w:rPr>
                            </w:pPr>
                            <w:r>
                              <w:rPr>
                                <w:rFonts w:ascii="Aptos" w:hAnsi="Aptos"/>
                                <w:b/>
                                <w:bCs/>
                                <w:sz w:val="16"/>
                                <w:szCs w:val="16"/>
                              </w:rPr>
                              <w:t xml:space="preserve">29.588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6"/>
                                <w:szCs w:val="16"/>
                                <w:lang w:eastAsia="el-GR"/>
                              </w:rPr>
                            </w:pPr>
                            <w:r>
                              <w:rPr>
                                <w:rFonts w:ascii="Aptos" w:hAnsi="Aptos"/>
                                <w:b/>
                                <w:bCs/>
                                <w:sz w:val="16"/>
                                <w:szCs w:val="16"/>
                              </w:rPr>
                              <w:t xml:space="preserve">28.975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6"/>
                                <w:szCs w:val="16"/>
                                <w:lang w:eastAsia="el-GR"/>
                              </w:rPr>
                            </w:pPr>
                            <w:r>
                              <w:rPr>
                                <w:rFonts w:ascii="Aptos" w:hAnsi="Aptos"/>
                                <w:b/>
                                <w:bCs/>
                                <w:sz w:val="16"/>
                                <w:szCs w:val="16"/>
                              </w:rPr>
                              <w:t>29.105</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 xml:space="preserve">29.154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6"/>
                                <w:szCs w:val="16"/>
                                <w:lang w:eastAsia="el-GR"/>
                              </w:rPr>
                            </w:pPr>
                            <w:r>
                              <w:rPr>
                                <w:rFonts w:ascii="Aptos" w:hAnsi="Aptos"/>
                                <w:b/>
                                <w:bCs/>
                                <w:sz w:val="16"/>
                                <w:szCs w:val="16"/>
                              </w:rPr>
                              <w:t xml:space="preserve">28.056 </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kern w:val="24"/>
                                <w:sz w:val="16"/>
                                <w:szCs w:val="16"/>
                                <w:lang w:val="en-US" w:eastAsia="el-GR"/>
                              </w:rPr>
                            </w:pPr>
                            <w:r>
                              <w:rPr>
                                <w:rFonts w:ascii="Aptos" w:hAnsi="Aptos"/>
                                <w:sz w:val="16"/>
                                <w:szCs w:val="16"/>
                              </w:rPr>
                              <w:t>Χαρτοφυλάκιο επενδύσεων</w:t>
                            </w:r>
                            <w:r>
                              <w:rPr>
                                <w:rFonts w:ascii="Aptos" w:hAnsi="Aptos"/>
                                <w:sz w:val="16"/>
                                <w:szCs w:val="16"/>
                                <w:vertAlign w:val="superscript"/>
                              </w:rPr>
                              <w:t>2</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17.201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15.712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15.832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15.144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6"/>
                                <w:szCs w:val="16"/>
                                <w:lang w:val="en-US" w:eastAsia="el-GR"/>
                              </w:rPr>
                            </w:pPr>
                            <w:r>
                              <w:rPr>
                                <w:rFonts w:ascii="Aptos" w:hAnsi="Aptos"/>
                                <w:sz w:val="16"/>
                                <w:szCs w:val="16"/>
                              </w:rPr>
                              <w:t xml:space="preserve">13.585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13.439 </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kern w:val="24"/>
                                <w:sz w:val="16"/>
                                <w:szCs w:val="16"/>
                                <w:lang w:val="en-US" w:eastAsia="el-GR"/>
                              </w:rPr>
                            </w:pPr>
                            <w:r>
                              <w:rPr>
                                <w:rFonts w:ascii="Aptos" w:hAnsi="Aptos"/>
                                <w:sz w:val="16"/>
                                <w:szCs w:val="16"/>
                              </w:rPr>
                              <w:t>Καταθέσεις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57.126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56.292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55.671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54.775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val="en-US" w:eastAsia="el-GR"/>
                              </w:rPr>
                            </w:pPr>
                            <w:r>
                              <w:rPr>
                                <w:rFonts w:ascii="Aptos" w:hAnsi="Aptos"/>
                                <w:sz w:val="16"/>
                                <w:szCs w:val="16"/>
                              </w:rPr>
                              <w:t xml:space="preserve">55,192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6"/>
                                <w:szCs w:val="16"/>
                                <w:lang w:eastAsia="el-GR"/>
                              </w:rPr>
                            </w:pPr>
                            <w:r>
                              <w:rPr>
                                <w:rFonts w:ascii="Aptos" w:hAnsi="Aptos"/>
                                <w:sz w:val="16"/>
                                <w:szCs w:val="16"/>
                              </w:rPr>
                              <w:t xml:space="preserve">55.679 </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eastAsia="Times New Roman" w:cs="Arial"/>
                                <w:b/>
                                <w:bCs/>
                                <w:kern w:val="24"/>
                                <w:sz w:val="16"/>
                                <w:szCs w:val="16"/>
                                <w:lang w:val="en-US" w:eastAsia="el-GR"/>
                              </w:rPr>
                            </w:pPr>
                            <w:r>
                              <w:rPr>
                                <w:rFonts w:ascii="Aptos" w:hAnsi="Aptos"/>
                                <w:b/>
                                <w:bCs/>
                                <w:sz w:val="16"/>
                                <w:szCs w:val="16"/>
                              </w:rPr>
                              <w:t xml:space="preserve">Ενσώματα ίδια κεφάλαια </w:t>
                            </w:r>
                          </w:p>
                        </w:tc>
                        <w:tc>
                          <w:tcPr>
                            <w:tcW w:w="1152" w:type="dxa"/>
                            <w:tcBorders>
                              <w:top w:val="dashSmallGap" w:color="00ADBF" w:sz="4" w:space="0"/>
                              <w:left w:val="dashSmallGap" w:color="FF7415" w:sz="12" w:space="0"/>
                              <w:bottom w:val="dashSmallGap" w:color="FF7415" w:sz="12"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 xml:space="preserve">7.102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 xml:space="preserve">6.763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 xml:space="preserve">6.553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 xml:space="preserve">6.292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 xml:space="preserve">6.021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6"/>
                                <w:szCs w:val="16"/>
                                <w:lang w:val="en-US" w:eastAsia="el-GR"/>
                              </w:rPr>
                            </w:pPr>
                            <w:r>
                              <w:rPr>
                                <w:rFonts w:ascii="Aptos" w:hAnsi="Aptos"/>
                                <w:b/>
                                <w:bCs/>
                                <w:sz w:val="16"/>
                                <w:szCs w:val="16"/>
                              </w:rPr>
                              <w:t xml:space="preserve">5.591 </w:t>
                            </w:r>
                          </w:p>
                        </w:tc>
                      </w:tr>
                    </w:tbl>
                    <w:p>
                      <w:pPr>
                        <w:textAlignment w:val="baseline"/>
                        <w:rPr>
                          <w:rFonts w:ascii="Aptos" w:hAnsi="Aptos" w:cs="Segoe UI"/>
                          <w:bCs/>
                          <w:color w:val="595959"/>
                          <w:sz w:val="12"/>
                          <w:szCs w:val="12"/>
                        </w:rPr>
                      </w:pPr>
                      <w:r>
                        <w:rPr>
                          <w:rFonts w:ascii="Aptos" w:hAnsi="Aptos" w:cs="Segoe UI"/>
                          <w:bCs/>
                          <w:color w:val="595959"/>
                          <w:sz w:val="12"/>
                          <w:szCs w:val="12"/>
                        </w:rPr>
                        <w:t>1 Περιλαμβάνει τη σύμβαση αγοράς &amp; επαναπώλησης χρεογράφου σύντομης διάρκειας (€1 δισ.) και τα ομόλογα υψηλής εξασφάλισης Frontier (€2.6 δισ.) | 2 Περιλαμβάνει το χαρτοφυλάκιο επενδύσεων και τα χρηματοοικονομικά περιουσιακή στοιχεία  στην εύλογη αξία μέσω αποτελεσμάτων</w:t>
                      </w:r>
                    </w:p>
                    <w:p>
                      <w:pPr>
                        <w:textAlignment w:val="baseline"/>
                        <w:rPr>
                          <w:rFonts w:ascii="Aptos" w:hAnsi="Aptos" w:cs="Segoe UI"/>
                          <w:bCs/>
                          <w:color w:val="595959"/>
                          <w:sz w:val="18"/>
                          <w:szCs w:val="18"/>
                        </w:rPr>
                      </w:pPr>
                    </w:p>
                    <w:tbl>
                      <w:tblPr>
                        <w:tblStyle w:val="4"/>
                        <w:tblW w:w="9932" w:type="dxa"/>
                        <w:tblInd w:w="0" w:type="dxa"/>
                        <w:tblLayout w:type="autofit"/>
                        <w:tblCellMar>
                          <w:top w:w="0" w:type="dxa"/>
                          <w:left w:w="0" w:type="dxa"/>
                          <w:bottom w:w="0" w:type="dxa"/>
                          <w:right w:w="0" w:type="dxa"/>
                        </w:tblCellMar>
                      </w:tblPr>
                      <w:tblGrid>
                        <w:gridCol w:w="3020"/>
                        <w:gridCol w:w="1152"/>
                        <w:gridCol w:w="1152"/>
                        <w:gridCol w:w="1152"/>
                        <w:gridCol w:w="1152"/>
                        <w:gridCol w:w="1152"/>
                        <w:gridCol w:w="1152"/>
                      </w:tblGrid>
                      <w:tr>
                        <w:tblPrEx>
                          <w:tblCellMar>
                            <w:top w:w="0" w:type="dxa"/>
                            <w:left w:w="0" w:type="dxa"/>
                            <w:bottom w:w="0" w:type="dxa"/>
                            <w:right w:w="0" w:type="dxa"/>
                          </w:tblCellMar>
                        </w:tblPrEx>
                        <w:trPr>
                          <w:trHeight w:val="288" w:hRule="atLeast"/>
                        </w:trPr>
                        <w:tc>
                          <w:tcPr>
                            <w:tcW w:w="3020" w:type="dxa"/>
                            <w:tcBorders>
                              <w:top w:val="nil"/>
                              <w:left w:val="nil"/>
                              <w:bottom w:val="dashSmallGap" w:color="00ADBF" w:sz="4" w:space="0"/>
                              <w:right w:val="dashSmallGap" w:color="FF7415" w:sz="12" w:space="0"/>
                            </w:tcBorders>
                            <w:shd w:val="clear" w:color="auto" w:fill="007B85"/>
                            <w:tcMar>
                              <w:top w:w="15" w:type="dxa"/>
                              <w:left w:w="144" w:type="dxa"/>
                              <w:bottom w:w="0" w:type="dxa"/>
                              <w:right w:w="144" w:type="dxa"/>
                            </w:tcMar>
                            <w:vAlign w:val="center"/>
                          </w:tcPr>
                          <w:p>
                            <w:pPr>
                              <w:rPr>
                                <w:rFonts w:ascii="Aptos" w:hAnsi="Aptos" w:eastAsia="Times New Roman" w:cs="Arial"/>
                                <w:color w:val="FFFFFF" w:themeColor="background1"/>
                                <w:sz w:val="18"/>
                                <w:szCs w:val="18"/>
                                <w:lang w:eastAsia="el-GR"/>
                                <w14:textFill>
                                  <w14:solidFill>
                                    <w14:schemeClr w14:val="bg1"/>
                                  </w14:solidFill>
                                </w14:textFill>
                              </w:rPr>
                            </w:pPr>
                            <w:r>
                              <w:rPr>
                                <w:rFonts w:ascii="Aptos" w:hAnsi="Aptos" w:eastAsia="Times New Roman" w:cs="Arial"/>
                                <w:b/>
                                <w:bCs/>
                                <w:color w:val="FFFFFF" w:themeColor="background1"/>
                                <w:kern w:val="24"/>
                                <w:sz w:val="18"/>
                                <w:szCs w:val="18"/>
                                <w:lang w:val="en-GB" w:eastAsia="el-GR"/>
                                <w14:textFill>
                                  <w14:solidFill>
                                    <w14:schemeClr w14:val="bg1"/>
                                  </w14:solidFill>
                                </w14:textFill>
                              </w:rPr>
                              <w:t>Κύριοι Δείκτες | Όμιλος</w:t>
                            </w:r>
                          </w:p>
                        </w:tc>
                        <w:tc>
                          <w:tcPr>
                            <w:tcW w:w="1152" w:type="dxa"/>
                            <w:tcBorders>
                              <w:top w:val="dashSmallGap" w:color="FF7415" w:sz="12" w:space="0"/>
                              <w:left w:val="dashSmallGap" w:color="FF7415" w:sz="12" w:space="0"/>
                              <w:bottom w:val="dashSmallGap" w:color="00ADBF" w:sz="4" w:space="0"/>
                              <w:right w:val="dashSmallGap" w:color="FF7415" w:sz="12" w:space="0"/>
                            </w:tcBorders>
                            <w:shd w:val="clear" w:color="auto" w:fill="007B85"/>
                            <w:tcMar>
                              <w:top w:w="15" w:type="dxa"/>
                              <w:left w:w="144" w:type="dxa"/>
                              <w:bottom w:w="0" w:type="dxa"/>
                              <w:right w:w="144" w:type="dxa"/>
                            </w:tcMar>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 τρίμηνο 2023</w:t>
                            </w:r>
                          </w:p>
                        </w:tc>
                        <w:tc>
                          <w:tcPr>
                            <w:tcW w:w="1152" w:type="dxa"/>
                            <w:tcBorders>
                              <w:top w:val="nil"/>
                              <w:left w:val="dashSmallGap" w:color="FF7415" w:sz="12" w:space="0"/>
                              <w:bottom w:val="dashSmallGap" w:color="00ADBF" w:sz="4" w:space="0"/>
                              <w:right w:val="nil"/>
                            </w:tcBorders>
                            <w:shd w:val="clear" w:color="auto" w:fill="007B85"/>
                            <w:tcMar>
                              <w:top w:w="15" w:type="dxa"/>
                              <w:left w:w="144" w:type="dxa"/>
                              <w:bottom w:w="0" w:type="dxa"/>
                              <w:right w:w="144" w:type="dxa"/>
                            </w:tcMar>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Γ’ τρίμηνο 2023</w:t>
                            </w:r>
                          </w:p>
                        </w:tc>
                        <w:tc>
                          <w:tcPr>
                            <w:tcW w:w="1152" w:type="dxa"/>
                            <w:tcBorders>
                              <w:top w:val="nil"/>
                              <w:left w:val="nil"/>
                              <w:bottom w:val="dashSmallGap" w:color="00ADBF" w:sz="4" w:space="0"/>
                              <w:right w:val="nil"/>
                            </w:tcBorders>
                            <w:shd w:val="clear" w:color="auto" w:fill="007B85"/>
                            <w:tcMar>
                              <w:top w:w="15" w:type="dxa"/>
                              <w:left w:w="144" w:type="dxa"/>
                              <w:bottom w:w="0" w:type="dxa"/>
                              <w:right w:w="144" w:type="dxa"/>
                            </w:tcMar>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Β’ τρίμηνο 2023</w:t>
                            </w:r>
                          </w:p>
                        </w:tc>
                        <w:tc>
                          <w:tcPr>
                            <w:tcW w:w="1152" w:type="dxa"/>
                            <w:tcBorders>
                              <w:top w:val="nil"/>
                              <w:left w:val="nil"/>
                              <w:bottom w:val="dashSmallGap" w:color="00ADBF" w:sz="4" w:space="0"/>
                              <w:right w:val="nil"/>
                            </w:tcBorders>
                            <w:shd w:val="clear" w:color="auto" w:fill="007B85"/>
                            <w:tcMar>
                              <w:top w:w="15" w:type="dxa"/>
                              <w:left w:w="144" w:type="dxa"/>
                              <w:bottom w:w="0" w:type="dxa"/>
                              <w:right w:w="144" w:type="dxa"/>
                            </w:tcMar>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Α’ τρίμηνο 2023</w:t>
                            </w:r>
                          </w:p>
                        </w:tc>
                        <w:tc>
                          <w:tcPr>
                            <w:tcW w:w="1152" w:type="dxa"/>
                            <w:tcBorders>
                              <w:top w:val="nil"/>
                              <w:left w:val="nil"/>
                              <w:bottom w:val="dashSmallGap" w:color="00ADBF" w:sz="4" w:space="0"/>
                              <w:right w:val="nil"/>
                            </w:tcBorders>
                            <w:shd w:val="clear" w:color="auto" w:fill="007B85"/>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 τρίμηνο</w:t>
                            </w:r>
                          </w:p>
                          <w:p>
                            <w:pPr>
                              <w:jc w:val="right"/>
                              <w:rPr>
                                <w:rFonts w:ascii="Aptos" w:hAnsi="Aptos" w:eastAsia="Times New Roman" w:cs="Arial"/>
                                <w:b/>
                                <w:bCs/>
                                <w:color w:val="FFFFFF" w:themeColor="background1"/>
                                <w:kern w:val="24"/>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eastAsia="el-GR"/>
                                <w14:textFill>
                                  <w14:solidFill>
                                    <w14:schemeClr w14:val="bg1"/>
                                  </w14:solidFill>
                                </w14:textFill>
                              </w:rPr>
                              <w:t>2022</w:t>
                            </w:r>
                          </w:p>
                        </w:tc>
                        <w:tc>
                          <w:tcPr>
                            <w:tcW w:w="1152" w:type="dxa"/>
                            <w:tcBorders>
                              <w:top w:val="nil"/>
                              <w:left w:val="nil"/>
                              <w:bottom w:val="dashSmallGap" w:color="00ADBF" w:sz="4" w:space="0"/>
                              <w:right w:val="nil"/>
                            </w:tcBorders>
                            <w:shd w:val="clear" w:color="auto" w:fill="007B85"/>
                            <w:tcMar>
                              <w:top w:w="15" w:type="dxa"/>
                              <w:left w:w="144" w:type="dxa"/>
                              <w:bottom w:w="0" w:type="dxa"/>
                              <w:right w:w="144" w:type="dxa"/>
                            </w:tcMar>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eastAsia="el-GR"/>
                                <w14:textFill>
                                  <w14:solidFill>
                                    <w14:schemeClr w14:val="bg1"/>
                                  </w14:solidFill>
                                </w14:textFill>
                              </w:rPr>
                              <w:t>Γ</w:t>
                            </w:r>
                            <w:r>
                              <w:rPr>
                                <w:rFonts w:ascii="Aptos" w:hAnsi="Aptos" w:eastAsia="Times New Roman" w:cs="Arial"/>
                                <w:b/>
                                <w:bCs/>
                                <w:color w:val="FFFFFF" w:themeColor="background1"/>
                                <w:kern w:val="24"/>
                                <w:sz w:val="16"/>
                                <w:szCs w:val="16"/>
                                <w:lang w:val="en-US" w:eastAsia="el-GR"/>
                                <w14:textFill>
                                  <w14:solidFill>
                                    <w14:schemeClr w14:val="bg1"/>
                                  </w14:solidFill>
                                </w14:textFill>
                              </w:rPr>
                              <w:t>’ τρίμηνο 202</w:t>
                            </w:r>
                            <w:r>
                              <w:rPr>
                                <w:rFonts w:ascii="Aptos" w:hAnsi="Aptos" w:eastAsia="Times New Roman" w:cs="Arial"/>
                                <w:b/>
                                <w:bCs/>
                                <w:color w:val="FFFFFF" w:themeColor="background1"/>
                                <w:kern w:val="24"/>
                                <w:sz w:val="16"/>
                                <w:szCs w:val="16"/>
                                <w:lang w:eastAsia="el-GR"/>
                                <w14:textFill>
                                  <w14:solidFill>
                                    <w14:schemeClr w14:val="bg1"/>
                                  </w14:solidFill>
                                </w14:textFill>
                              </w:rPr>
                              <w:t>2</w:t>
                            </w:r>
                          </w:p>
                        </w:tc>
                      </w:tr>
                      <w:tr>
                        <w:tblPrEx>
                          <w:tblCellMar>
                            <w:top w:w="0" w:type="dxa"/>
                            <w:left w:w="0" w:type="dxa"/>
                            <w:bottom w:w="0" w:type="dxa"/>
                            <w:right w:w="0" w:type="dxa"/>
                          </w:tblCellMar>
                        </w:tblPrEx>
                        <w:trPr>
                          <w:trHeight w:val="144"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42" w:type="dxa"/>
                              <w:bottom w:w="0" w:type="dxa"/>
                              <w:right w:w="15" w:type="dxa"/>
                            </w:tcMar>
                            <w:vAlign w:val="center"/>
                          </w:tcPr>
                          <w:p>
                            <w:pPr>
                              <w:textAlignment w:val="center"/>
                              <w:rPr>
                                <w:rFonts w:ascii="Aptos" w:hAnsi="Aptos"/>
                                <w:b/>
                                <w:bCs/>
                                <w:sz w:val="16"/>
                                <w:szCs w:val="16"/>
                              </w:rPr>
                            </w:pPr>
                            <w:r>
                              <w:rPr>
                                <w:rFonts w:ascii="Aptos" w:hAnsi="Aptos"/>
                                <w:b/>
                                <w:bCs/>
                                <w:sz w:val="16"/>
                                <w:szCs w:val="16"/>
                              </w:rPr>
                              <w:t>Ρευστότητα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p>
                        </w:tc>
                        <w:tc>
                          <w:tcPr>
                            <w:tcW w:w="1152" w:type="dxa"/>
                            <w:tcBorders>
                              <w:top w:val="dashSmallGap" w:color="00ADBF" w:sz="4" w:space="0"/>
                              <w:left w:val="dashSmallGap" w:color="FF7415" w:sz="12"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p>
                        </w:tc>
                        <w:tc>
                          <w:tcPr>
                            <w:tcW w:w="1152" w:type="dxa"/>
                            <w:tcBorders>
                              <w:top w:val="dashSmallGap" w:color="00ADBF" w:sz="4"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p>
                        </w:tc>
                        <w:tc>
                          <w:tcPr>
                            <w:tcW w:w="1152" w:type="dxa"/>
                            <w:tcBorders>
                              <w:top w:val="dashSmallGap" w:color="00ADBF" w:sz="4"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p>
                        </w:tc>
                        <w:tc>
                          <w:tcPr>
                            <w:tcW w:w="1152" w:type="dxa"/>
                            <w:tcBorders>
                              <w:top w:val="dashSmallGap" w:color="00ADBF" w:sz="4" w:space="0"/>
                              <w:bottom w:val="dashSmallGap" w:color="00ADBF" w:sz="4" w:space="0"/>
                            </w:tcBorders>
                            <w:shd w:val="clear" w:color="auto" w:fill="F5F9F6"/>
                            <w:vAlign w:val="center"/>
                          </w:tcPr>
                          <w:p>
                            <w:pPr>
                              <w:jc w:val="right"/>
                              <w:rPr>
                                <w:rFonts w:ascii="Aptos" w:hAnsi="Aptos" w:eastAsia="Times New Roman" w:cs="Arial"/>
                                <w:kern w:val="24"/>
                                <w:sz w:val="18"/>
                                <w:szCs w:val="18"/>
                                <w:lang w:val="en-US" w:eastAsia="el-GR"/>
                              </w:rPr>
                            </w:pPr>
                          </w:p>
                        </w:tc>
                        <w:tc>
                          <w:tcPr>
                            <w:tcW w:w="1152" w:type="dxa"/>
                            <w:tcBorders>
                              <w:top w:val="dashSmallGap" w:color="00ADBF" w:sz="4" w:space="0"/>
                              <w:bottom w:val="dashSmallGap" w:color="00ADBF" w:sz="4" w:space="0"/>
                              <w:right w:val="dashSmallGap" w:color="00ADBF" w:sz="4" w:space="0"/>
                            </w:tcBorders>
                            <w:shd w:val="clear" w:color="auto" w:fill="F5F9F6"/>
                            <w:tcMar>
                              <w:top w:w="15" w:type="dxa"/>
                              <w:left w:w="15" w:type="dxa"/>
                              <w:bottom w:w="0" w:type="dxa"/>
                              <w:right w:w="144" w:type="dxa"/>
                            </w:tcMar>
                            <w:vAlign w:val="center"/>
                          </w:tcPr>
                          <w:p>
                            <w:pPr>
                              <w:jc w:val="right"/>
                              <w:rPr>
                                <w:rFonts w:ascii="Aptos" w:hAnsi="Aptos" w:eastAsia="Times New Roman" w:cs="Arial"/>
                                <w:kern w:val="24"/>
                                <w:sz w:val="18"/>
                                <w:szCs w:val="18"/>
                                <w:lang w:val="en-US" w:eastAsia="el-GR"/>
                              </w:rPr>
                            </w:pP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sz w:val="16"/>
                                <w:szCs w:val="16"/>
                              </w:rPr>
                            </w:pPr>
                            <w:r>
                              <w:rPr>
                                <w:rFonts w:ascii="Aptos" w:hAnsi="Aptos"/>
                                <w:sz w:val="16"/>
                                <w:szCs w:val="16"/>
                              </w:rPr>
                              <w:t>Δάνεια (μετά από προβλέψεις) προς καταθέσεις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5</w:t>
                            </w:r>
                            <w:r>
                              <w:rPr>
                                <w:rFonts w:ascii="Aptos" w:hAnsi="Aptos"/>
                                <w:sz w:val="18"/>
                                <w:szCs w:val="18"/>
                                <w:lang w:val="en-US"/>
                              </w:rPr>
                              <w:t>8</w:t>
                            </w:r>
                            <w:r>
                              <w:rPr>
                                <w:rFonts w:ascii="Aptos" w:hAnsi="Aptos"/>
                                <w:sz w:val="18"/>
                                <w:szCs w:val="18"/>
                              </w:rPr>
                              <w:t>%</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57%</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57%</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58%</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59%</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5"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56%</w:t>
                            </w: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sz w:val="16"/>
                                <w:szCs w:val="16"/>
                              </w:rPr>
                            </w:pPr>
                            <w:r>
                              <w:rPr>
                                <w:rFonts w:ascii="Aptos" w:hAnsi="Aptos"/>
                                <w:sz w:val="16"/>
                                <w:szCs w:val="16"/>
                              </w:rPr>
                              <w:t>Δείκτης Κάλυψης Ρευστότητας (LCR)</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2</w:t>
                            </w:r>
                            <w:r>
                              <w:rPr>
                                <w:rFonts w:ascii="Aptos" w:hAnsi="Aptos"/>
                                <w:sz w:val="18"/>
                                <w:szCs w:val="18"/>
                                <w:lang w:val="en-US"/>
                              </w:rPr>
                              <w:t>6</w:t>
                            </w:r>
                            <w:r>
                              <w:rPr>
                                <w:rFonts w:ascii="Aptos" w:hAnsi="Aptos"/>
                                <w:sz w:val="18"/>
                                <w:szCs w:val="18"/>
                              </w:rPr>
                              <w:t>2%</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252%</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254%</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269%</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eastAsia="el-GR"/>
                              </w:rPr>
                            </w:pPr>
                            <w:r>
                              <w:rPr>
                                <w:rFonts w:ascii="Aptos" w:hAnsi="Aptos"/>
                                <w:sz w:val="18"/>
                                <w:szCs w:val="18"/>
                              </w:rPr>
                              <w:t>259%</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249%</w:t>
                            </w:r>
                          </w:p>
                        </w:tc>
                      </w:tr>
                      <w:tr>
                        <w:tblPrEx>
                          <w:tblCellMar>
                            <w:top w:w="0" w:type="dxa"/>
                            <w:left w:w="0" w:type="dxa"/>
                            <w:bottom w:w="0" w:type="dxa"/>
                            <w:right w:w="0" w:type="dxa"/>
                          </w:tblCellMar>
                        </w:tblPrEx>
                        <w:trPr>
                          <w:trHeight w:val="144"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42" w:type="dxa"/>
                              <w:bottom w:w="0" w:type="dxa"/>
                              <w:right w:w="15" w:type="dxa"/>
                            </w:tcMar>
                            <w:vAlign w:val="center"/>
                          </w:tcPr>
                          <w:p>
                            <w:pPr>
                              <w:textAlignment w:val="center"/>
                              <w:rPr>
                                <w:rFonts w:ascii="Aptos" w:hAnsi="Aptos"/>
                                <w:b/>
                                <w:bCs/>
                                <w:sz w:val="16"/>
                                <w:szCs w:val="16"/>
                              </w:rPr>
                            </w:pPr>
                            <w:r>
                              <w:rPr>
                                <w:rFonts w:ascii="Aptos" w:hAnsi="Aptos"/>
                                <w:b/>
                                <w:bCs/>
                                <w:sz w:val="16"/>
                                <w:szCs w:val="16"/>
                              </w:rPr>
                              <w:t>Κερδοφορία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8"/>
                                <w:szCs w:val="18"/>
                                <w:lang w:eastAsia="el-GR"/>
                              </w:rPr>
                            </w:pPr>
                          </w:p>
                        </w:tc>
                        <w:tc>
                          <w:tcPr>
                            <w:tcW w:w="1152" w:type="dxa"/>
                            <w:tcBorders>
                              <w:top w:val="dashSmallGap" w:color="00ADBF" w:sz="4" w:space="0"/>
                              <w:left w:val="dashSmallGap" w:color="FF7415" w:sz="12"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8"/>
                                <w:szCs w:val="18"/>
                                <w:lang w:eastAsia="el-GR"/>
                              </w:rPr>
                            </w:pPr>
                          </w:p>
                        </w:tc>
                        <w:tc>
                          <w:tcPr>
                            <w:tcW w:w="1152" w:type="dxa"/>
                            <w:tcBorders>
                              <w:top w:val="dashSmallGap" w:color="00ADBF" w:sz="4"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8"/>
                                <w:szCs w:val="18"/>
                                <w:lang w:eastAsia="el-GR"/>
                              </w:rPr>
                            </w:pPr>
                          </w:p>
                        </w:tc>
                        <w:tc>
                          <w:tcPr>
                            <w:tcW w:w="1152" w:type="dxa"/>
                            <w:tcBorders>
                              <w:top w:val="dashSmallGap" w:color="00ADBF" w:sz="4"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8"/>
                                <w:szCs w:val="18"/>
                                <w:lang w:eastAsia="el-GR"/>
                              </w:rPr>
                            </w:pPr>
                          </w:p>
                        </w:tc>
                        <w:tc>
                          <w:tcPr>
                            <w:tcW w:w="1152" w:type="dxa"/>
                            <w:tcBorders>
                              <w:top w:val="dashSmallGap" w:color="00ADBF" w:sz="4" w:space="0"/>
                              <w:bottom w:val="dashSmallGap" w:color="00ADBF" w:sz="4" w:space="0"/>
                            </w:tcBorders>
                            <w:shd w:val="clear" w:color="auto" w:fill="F5F9F6"/>
                            <w:vAlign w:val="center"/>
                          </w:tcPr>
                          <w:p>
                            <w:pPr>
                              <w:jc w:val="right"/>
                              <w:rPr>
                                <w:rFonts w:ascii="Aptos" w:hAnsi="Aptos" w:eastAsia="Times New Roman" w:cs="Arial"/>
                                <w:kern w:val="24"/>
                                <w:sz w:val="18"/>
                                <w:szCs w:val="18"/>
                                <w:lang w:eastAsia="el-GR"/>
                              </w:rPr>
                            </w:pPr>
                          </w:p>
                        </w:tc>
                        <w:tc>
                          <w:tcPr>
                            <w:tcW w:w="1152" w:type="dxa"/>
                            <w:tcBorders>
                              <w:top w:val="dashSmallGap" w:color="00ADBF" w:sz="4"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sz w:val="18"/>
                                <w:szCs w:val="18"/>
                                <w:lang w:eastAsia="el-GR"/>
                              </w:rPr>
                            </w:pP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sz w:val="16"/>
                                <w:szCs w:val="16"/>
                              </w:rPr>
                            </w:pPr>
                            <w:r>
                              <w:rPr>
                                <w:rFonts w:ascii="Aptos" w:hAnsi="Aptos"/>
                                <w:sz w:val="16"/>
                                <w:szCs w:val="16"/>
                              </w:rPr>
                              <w:t>Καθαρό επιτοκιακό περιθώριο (μ.β.)</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val="en-US" w:eastAsia="el-GR"/>
                              </w:rPr>
                            </w:pPr>
                            <w:r>
                              <w:rPr>
                                <w:rFonts w:ascii="Aptos" w:hAnsi="Aptos"/>
                                <w:sz w:val="18"/>
                                <w:szCs w:val="18"/>
                                <w:lang w:val="en-US"/>
                              </w:rPr>
                              <w:t>337</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val="en-US" w:eastAsia="el-GR"/>
                              </w:rPr>
                            </w:pPr>
                            <w:r>
                              <w:rPr>
                                <w:rFonts w:ascii="Aptos" w:hAnsi="Aptos"/>
                                <w:sz w:val="18"/>
                                <w:szCs w:val="18"/>
                              </w:rPr>
                              <w:t>32</w:t>
                            </w:r>
                            <w:r>
                              <w:rPr>
                                <w:rFonts w:ascii="Aptos" w:hAnsi="Aptos"/>
                                <w:sz w:val="18"/>
                                <w:szCs w:val="18"/>
                                <w:lang w:val="en-US"/>
                              </w:rPr>
                              <w:t>2</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297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260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212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173 </w:t>
                            </w: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sz w:val="16"/>
                                <w:szCs w:val="16"/>
                              </w:rPr>
                            </w:pPr>
                            <w:r>
                              <w:rPr>
                                <w:rFonts w:ascii="Aptos" w:hAnsi="Aptos"/>
                                <w:sz w:val="16"/>
                                <w:szCs w:val="16"/>
                              </w:rPr>
                              <w:t xml:space="preserve">Δείκτης κόστους προς οργανικά έσοδα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3</w:t>
                            </w:r>
                            <w:r>
                              <w:rPr>
                                <w:rFonts w:ascii="Aptos" w:hAnsi="Aptos"/>
                                <w:sz w:val="18"/>
                                <w:szCs w:val="18"/>
                                <w:lang w:val="en-US"/>
                              </w:rPr>
                              <w:t>2</w:t>
                            </w:r>
                            <w:r>
                              <w:rPr>
                                <w:rFonts w:ascii="Aptos" w:hAnsi="Aptos"/>
                                <w:sz w:val="18"/>
                                <w:szCs w:val="18"/>
                              </w:rPr>
                              <w:t>%</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30%</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31%</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34%</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43%</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45%</w:t>
                            </w: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sz w:val="16"/>
                                <w:szCs w:val="16"/>
                              </w:rPr>
                            </w:pPr>
                            <w:r>
                              <w:rPr>
                                <w:rFonts w:ascii="Aptos" w:hAnsi="Aptos"/>
                                <w:sz w:val="16"/>
                                <w:szCs w:val="16"/>
                              </w:rPr>
                              <w:t>Kόστος πιστωτικού κινδύνου</w:t>
                            </w:r>
                            <w:r>
                              <w:rPr>
                                <w:rFonts w:ascii="Aptos" w:hAnsi="Aptos"/>
                                <w:sz w:val="16"/>
                                <w:szCs w:val="16"/>
                                <w:vertAlign w:val="superscript"/>
                              </w:rPr>
                              <w:t>1</w:t>
                            </w:r>
                            <w:r>
                              <w:rPr>
                                <w:rFonts w:ascii="Aptos" w:hAnsi="Aptos"/>
                                <w:sz w:val="16"/>
                                <w:szCs w:val="16"/>
                              </w:rPr>
                              <w:t xml:space="preserve"> (μ.β.)</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sz w:val="16"/>
                                <w:szCs w:val="16"/>
                              </w:rPr>
                            </w:pPr>
                            <w:r>
                              <w:rPr>
                                <w:rFonts w:ascii="Aptos" w:hAnsi="Aptos"/>
                                <w:sz w:val="16"/>
                                <w:szCs w:val="16"/>
                              </w:rPr>
                              <w:t>58</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sz w:val="16"/>
                                <w:szCs w:val="16"/>
                              </w:rPr>
                            </w:pPr>
                            <w:r>
                              <w:rPr>
                                <w:rFonts w:ascii="Aptos" w:hAnsi="Aptos"/>
                                <w:sz w:val="16"/>
                                <w:szCs w:val="16"/>
                              </w:rPr>
                              <w:t>63</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sz w:val="16"/>
                                <w:szCs w:val="16"/>
                              </w:rPr>
                            </w:pPr>
                            <w:r>
                              <w:rPr>
                                <w:rFonts w:ascii="Aptos" w:hAnsi="Aptos"/>
                                <w:sz w:val="16"/>
                                <w:szCs w:val="16"/>
                              </w:rPr>
                              <w:t xml:space="preserve">66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sz w:val="16"/>
                                <w:szCs w:val="16"/>
                              </w:rPr>
                            </w:pPr>
                            <w:r>
                              <w:rPr>
                                <w:rFonts w:ascii="Aptos" w:hAnsi="Aptos"/>
                                <w:sz w:val="16"/>
                                <w:szCs w:val="16"/>
                              </w:rPr>
                              <w:t xml:space="preserve">70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sz w:val="16"/>
                                <w:szCs w:val="16"/>
                              </w:rPr>
                            </w:pPr>
                            <w:r>
                              <w:rPr>
                                <w:rFonts w:ascii="Aptos" w:hAnsi="Aptos"/>
                                <w:sz w:val="16"/>
                                <w:szCs w:val="16"/>
                              </w:rPr>
                              <w:t xml:space="preserve">72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sz w:val="16"/>
                                <w:szCs w:val="16"/>
                              </w:rPr>
                            </w:pPr>
                            <w:r>
                              <w:rPr>
                                <w:rFonts w:ascii="Aptos" w:hAnsi="Aptos"/>
                                <w:sz w:val="16"/>
                                <w:szCs w:val="16"/>
                              </w:rPr>
                              <w:t xml:space="preserve">71 </w:t>
                            </w: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sz w:val="16"/>
                                <w:szCs w:val="16"/>
                              </w:rPr>
                            </w:pPr>
                            <w:r>
                              <w:rPr>
                                <w:rFonts w:ascii="Aptos" w:hAnsi="Aptos"/>
                                <w:sz w:val="16"/>
                                <w:szCs w:val="16"/>
                              </w:rPr>
                              <w:t>Περιθώριο οργανικού κέρδους μετά φόρων (μ.β.)</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sz w:val="16"/>
                                <w:szCs w:val="16"/>
                              </w:rPr>
                            </w:pPr>
                            <w:r>
                              <w:rPr>
                                <w:rFonts w:ascii="Aptos" w:hAnsi="Aptos"/>
                                <w:sz w:val="16"/>
                                <w:szCs w:val="16"/>
                              </w:rPr>
                              <w:t>421</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sz w:val="16"/>
                                <w:szCs w:val="16"/>
                              </w:rPr>
                            </w:pPr>
                            <w:r>
                              <w:rPr>
                                <w:rFonts w:ascii="Aptos" w:hAnsi="Aptos"/>
                                <w:sz w:val="16"/>
                                <w:szCs w:val="16"/>
                              </w:rPr>
                              <w:t>431</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sz w:val="16"/>
                                <w:szCs w:val="16"/>
                              </w:rPr>
                            </w:pPr>
                            <w:r>
                              <w:rPr>
                                <w:rFonts w:ascii="Aptos" w:hAnsi="Aptos"/>
                                <w:sz w:val="16"/>
                                <w:szCs w:val="16"/>
                              </w:rPr>
                              <w:t xml:space="preserve">360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sz w:val="16"/>
                                <w:szCs w:val="16"/>
                              </w:rPr>
                            </w:pPr>
                            <w:r>
                              <w:rPr>
                                <w:rFonts w:ascii="Aptos" w:hAnsi="Aptos"/>
                                <w:sz w:val="16"/>
                                <w:szCs w:val="16"/>
                              </w:rPr>
                              <w:t xml:space="preserve">273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sz w:val="16"/>
                                <w:szCs w:val="16"/>
                              </w:rPr>
                            </w:pPr>
                            <w:r>
                              <w:rPr>
                                <w:rFonts w:ascii="Aptos" w:hAnsi="Aptos"/>
                                <w:sz w:val="16"/>
                                <w:szCs w:val="16"/>
                              </w:rPr>
                              <w:t>239</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sz w:val="16"/>
                                <w:szCs w:val="16"/>
                              </w:rPr>
                            </w:pPr>
                            <w:r>
                              <w:rPr>
                                <w:rFonts w:ascii="Aptos" w:hAnsi="Aptos"/>
                                <w:sz w:val="16"/>
                                <w:szCs w:val="16"/>
                              </w:rPr>
                              <w:t>181</w:t>
                            </w: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sz w:val="16"/>
                                <w:szCs w:val="16"/>
                              </w:rPr>
                            </w:pPr>
                            <w:r>
                              <w:rPr>
                                <w:rFonts w:ascii="Aptos" w:hAnsi="Aptos"/>
                                <w:sz w:val="16"/>
                                <w:szCs w:val="16"/>
                              </w:rPr>
                              <w:t>Απόδοση ιδίων κεφαλαίων</w:t>
                            </w:r>
                            <w:r>
                              <w:rPr>
                                <w:rFonts w:ascii="Aptos" w:hAnsi="Aptos"/>
                                <w:sz w:val="16"/>
                                <w:szCs w:val="16"/>
                                <w:vertAlign w:val="superscript"/>
                              </w:rPr>
                              <w:t>2</w:t>
                            </w:r>
                            <w:r>
                              <w:rPr>
                                <w:rFonts w:ascii="Aptos" w:hAnsi="Aptos"/>
                                <w:sz w:val="16"/>
                                <w:szCs w:val="16"/>
                              </w:rPr>
                              <w:t xml:space="preserve">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6"/>
                                <w:szCs w:val="16"/>
                                <w:lang w:eastAsia="el-GR"/>
                              </w:rPr>
                            </w:pPr>
                            <w:r>
                              <w:rPr>
                                <w:rFonts w:ascii="Aptos" w:hAnsi="Aptos"/>
                                <w:sz w:val="16"/>
                                <w:szCs w:val="16"/>
                              </w:rPr>
                              <w:t>19,9%</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6"/>
                                <w:szCs w:val="16"/>
                                <w:lang w:val="en-US" w:eastAsia="el-GR"/>
                              </w:rPr>
                            </w:pPr>
                            <w:r>
                              <w:rPr>
                                <w:rFonts w:ascii="Aptos" w:hAnsi="Aptos"/>
                                <w:sz w:val="16"/>
                                <w:szCs w:val="16"/>
                              </w:rPr>
                              <w:t>20,8%</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6"/>
                                <w:szCs w:val="16"/>
                                <w:lang w:val="en-US" w:eastAsia="el-GR"/>
                              </w:rPr>
                            </w:pPr>
                            <w:r>
                              <w:rPr>
                                <w:rFonts w:ascii="Aptos" w:hAnsi="Aptos"/>
                                <w:sz w:val="16"/>
                                <w:szCs w:val="16"/>
                              </w:rPr>
                              <w:t>18,0%</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6"/>
                                <w:szCs w:val="16"/>
                                <w:lang w:val="en-US" w:eastAsia="el-GR"/>
                              </w:rPr>
                            </w:pPr>
                            <w:r>
                              <w:rPr>
                                <w:rFonts w:ascii="Aptos" w:hAnsi="Aptos"/>
                                <w:sz w:val="16"/>
                                <w:szCs w:val="16"/>
                              </w:rPr>
                              <w:t>14,3%</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6"/>
                                <w:szCs w:val="16"/>
                                <w:lang w:val="en-US" w:eastAsia="el-GR"/>
                              </w:rPr>
                            </w:pPr>
                            <w:r>
                              <w:rPr>
                                <w:rFonts w:ascii="Aptos" w:hAnsi="Aptos"/>
                                <w:sz w:val="16"/>
                                <w:szCs w:val="16"/>
                              </w:rPr>
                              <w:t>13,1%</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6"/>
                                <w:szCs w:val="16"/>
                                <w:lang w:val="en-US" w:eastAsia="el-GR"/>
                              </w:rPr>
                            </w:pPr>
                            <w:r>
                              <w:rPr>
                                <w:rFonts w:ascii="Aptos" w:hAnsi="Aptos"/>
                                <w:sz w:val="16"/>
                                <w:szCs w:val="16"/>
                              </w:rPr>
                              <w:t>10,2%</w:t>
                            </w:r>
                          </w:p>
                        </w:tc>
                      </w:tr>
                      <w:tr>
                        <w:tblPrEx>
                          <w:tblCellMar>
                            <w:top w:w="0" w:type="dxa"/>
                            <w:left w:w="0" w:type="dxa"/>
                            <w:bottom w:w="0" w:type="dxa"/>
                            <w:right w:w="0" w:type="dxa"/>
                          </w:tblCellMar>
                        </w:tblPrEx>
                        <w:trPr>
                          <w:trHeight w:val="144"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42" w:type="dxa"/>
                              <w:bottom w:w="0" w:type="dxa"/>
                              <w:right w:w="15" w:type="dxa"/>
                            </w:tcMar>
                            <w:vAlign w:val="center"/>
                          </w:tcPr>
                          <w:p>
                            <w:pPr>
                              <w:textAlignment w:val="center"/>
                              <w:rPr>
                                <w:rFonts w:ascii="Aptos" w:hAnsi="Aptos"/>
                                <w:b/>
                                <w:bCs/>
                                <w:sz w:val="16"/>
                                <w:szCs w:val="16"/>
                              </w:rPr>
                            </w:pPr>
                            <w:r>
                              <w:rPr>
                                <w:rFonts w:ascii="Aptos" w:hAnsi="Aptos"/>
                                <w:b/>
                                <w:bCs/>
                                <w:sz w:val="16"/>
                                <w:szCs w:val="16"/>
                              </w:rPr>
                              <w:t>Ποιότητα δανειακού χαρτοφυλακίου</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p>
                        </w:tc>
                        <w:tc>
                          <w:tcPr>
                            <w:tcW w:w="1152" w:type="dxa"/>
                            <w:tcBorders>
                              <w:top w:val="dashSmallGap" w:color="00ADBF" w:sz="4" w:space="0"/>
                              <w:left w:val="dashSmallGap" w:color="FF7415" w:sz="12"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p>
                        </w:tc>
                        <w:tc>
                          <w:tcPr>
                            <w:tcW w:w="1152" w:type="dxa"/>
                            <w:tcBorders>
                              <w:top w:val="dashSmallGap" w:color="00ADBF" w:sz="4"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p>
                        </w:tc>
                        <w:tc>
                          <w:tcPr>
                            <w:tcW w:w="1152" w:type="dxa"/>
                            <w:tcBorders>
                              <w:top w:val="dashSmallGap" w:color="00ADBF" w:sz="4"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p>
                        </w:tc>
                        <w:tc>
                          <w:tcPr>
                            <w:tcW w:w="1152" w:type="dxa"/>
                            <w:tcBorders>
                              <w:top w:val="dashSmallGap" w:color="00ADBF" w:sz="4" w:space="0"/>
                              <w:bottom w:val="dashSmallGap" w:color="00ADBF" w:sz="4" w:space="0"/>
                            </w:tcBorders>
                            <w:shd w:val="clear" w:color="auto" w:fill="F5F9F6"/>
                            <w:vAlign w:val="center"/>
                          </w:tcPr>
                          <w:p>
                            <w:pPr>
                              <w:jc w:val="right"/>
                              <w:rPr>
                                <w:rFonts w:ascii="Aptos" w:hAnsi="Aptos" w:eastAsia="Times New Roman" w:cs="Arial"/>
                                <w:b/>
                                <w:bCs/>
                                <w:kern w:val="24"/>
                                <w:sz w:val="18"/>
                                <w:szCs w:val="18"/>
                                <w:lang w:val="en-US" w:eastAsia="el-GR"/>
                              </w:rPr>
                            </w:pPr>
                          </w:p>
                        </w:tc>
                        <w:tc>
                          <w:tcPr>
                            <w:tcW w:w="1152" w:type="dxa"/>
                            <w:tcBorders>
                              <w:top w:val="dashSmallGap" w:color="00ADBF" w:sz="4"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sz w:val="16"/>
                                <w:szCs w:val="16"/>
                              </w:rPr>
                            </w:pPr>
                            <w:r>
                              <w:rPr>
                                <w:rFonts w:ascii="Aptos" w:hAnsi="Aptos"/>
                                <w:sz w:val="16"/>
                                <w:szCs w:val="16"/>
                              </w:rPr>
                              <w:t>Δείκτης Μη Εξυπηρετούμενων Ανοιγμάτων</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3,7%</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3,7%</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5,4%</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5,2%</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5,2%</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6,1%</w:t>
                            </w: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sz w:val="16"/>
                                <w:szCs w:val="16"/>
                              </w:rPr>
                            </w:pPr>
                            <w:r>
                              <w:rPr>
                                <w:rFonts w:ascii="Aptos" w:hAnsi="Aptos"/>
                                <w:sz w:val="16"/>
                                <w:szCs w:val="16"/>
                              </w:rPr>
                              <w:t>Δείκτης κάλυψης Μη Εξυπηρετούμενων Ανοιγμάτων</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lang w:val="en-US"/>
                              </w:rPr>
                              <w:t>87</w:t>
                            </w:r>
                            <w:r>
                              <w:rPr>
                                <w:rFonts w:ascii="Aptos" w:hAnsi="Aptos"/>
                                <w:sz w:val="18"/>
                                <w:szCs w:val="18"/>
                              </w:rPr>
                              <w:t>,</w:t>
                            </w:r>
                            <w:r>
                              <w:rPr>
                                <w:rFonts w:ascii="Aptos" w:hAnsi="Aptos"/>
                                <w:sz w:val="18"/>
                                <w:szCs w:val="18"/>
                                <w:lang w:val="en-US"/>
                              </w:rPr>
                              <w:t>5</w:t>
                            </w:r>
                            <w:r>
                              <w:rPr>
                                <w:rFonts w:ascii="Aptos" w:hAnsi="Aptos"/>
                                <w:sz w:val="18"/>
                                <w:szCs w:val="18"/>
                              </w:rPr>
                              <w:t>%</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93,1%</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82,1%</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87,6%</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87,3%</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82,1%</w:t>
                            </w:r>
                          </w:p>
                        </w:tc>
                      </w:tr>
                      <w:tr>
                        <w:tblPrEx>
                          <w:tblCellMar>
                            <w:top w:w="0" w:type="dxa"/>
                            <w:left w:w="0" w:type="dxa"/>
                            <w:bottom w:w="0" w:type="dxa"/>
                            <w:right w:w="0" w:type="dxa"/>
                          </w:tblCellMar>
                        </w:tblPrEx>
                        <w:trPr>
                          <w:trHeight w:val="144"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42" w:type="dxa"/>
                              <w:bottom w:w="0" w:type="dxa"/>
                              <w:right w:w="15" w:type="dxa"/>
                            </w:tcMar>
                            <w:vAlign w:val="center"/>
                          </w:tcPr>
                          <w:p>
                            <w:pPr>
                              <w:textAlignment w:val="center"/>
                              <w:rPr>
                                <w:rFonts w:ascii="Aptos" w:hAnsi="Aptos"/>
                                <w:b/>
                                <w:bCs/>
                                <w:sz w:val="16"/>
                                <w:szCs w:val="16"/>
                              </w:rPr>
                            </w:pPr>
                            <w:r>
                              <w:rPr>
                                <w:rFonts w:ascii="Aptos" w:hAnsi="Aptos"/>
                                <w:b/>
                                <w:bCs/>
                                <w:sz w:val="16"/>
                                <w:szCs w:val="16"/>
                              </w:rPr>
                              <w:t>Κεφαλαιακή επάρκεια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p>
                        </w:tc>
                        <w:tc>
                          <w:tcPr>
                            <w:tcW w:w="1152" w:type="dxa"/>
                            <w:tcBorders>
                              <w:top w:val="dashSmallGap" w:color="00ADBF" w:sz="4" w:space="0"/>
                              <w:left w:val="dashSmallGap" w:color="FF7415" w:sz="12"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p>
                        </w:tc>
                        <w:tc>
                          <w:tcPr>
                            <w:tcW w:w="1152" w:type="dxa"/>
                            <w:tcBorders>
                              <w:top w:val="dashSmallGap" w:color="00ADBF" w:sz="4"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p>
                        </w:tc>
                        <w:tc>
                          <w:tcPr>
                            <w:tcW w:w="1152" w:type="dxa"/>
                            <w:tcBorders>
                              <w:top w:val="dashSmallGap" w:color="00ADBF" w:sz="4" w:space="0"/>
                              <w:bottom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p>
                        </w:tc>
                        <w:tc>
                          <w:tcPr>
                            <w:tcW w:w="1152" w:type="dxa"/>
                            <w:tcBorders>
                              <w:top w:val="dashSmallGap" w:color="00ADBF" w:sz="4" w:space="0"/>
                              <w:bottom w:val="dashSmallGap" w:color="00ADBF" w:sz="4" w:space="0"/>
                            </w:tcBorders>
                            <w:shd w:val="clear" w:color="auto" w:fill="F5F9F6"/>
                            <w:vAlign w:val="center"/>
                          </w:tcPr>
                          <w:p>
                            <w:pPr>
                              <w:jc w:val="right"/>
                              <w:rPr>
                                <w:rFonts w:ascii="Aptos" w:hAnsi="Aptos" w:eastAsia="Times New Roman" w:cs="Arial"/>
                                <w:b/>
                                <w:bCs/>
                                <w:kern w:val="24"/>
                                <w:sz w:val="18"/>
                                <w:szCs w:val="18"/>
                                <w:lang w:val="en-US" w:eastAsia="el-GR"/>
                              </w:rPr>
                            </w:pPr>
                          </w:p>
                        </w:tc>
                        <w:tc>
                          <w:tcPr>
                            <w:tcW w:w="1152" w:type="dxa"/>
                            <w:tcBorders>
                              <w:top w:val="dashSmallGap" w:color="00ADBF" w:sz="4"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sz w:val="16"/>
                                <w:szCs w:val="16"/>
                              </w:rPr>
                            </w:pPr>
                            <w:r>
                              <w:rPr>
                                <w:rFonts w:ascii="Aptos" w:hAnsi="Aptos"/>
                                <w:sz w:val="16"/>
                                <w:szCs w:val="16"/>
                              </w:rPr>
                              <w:t>Συνολικός Δείκτης Κεφαλ/κής Επάρκειας</w:t>
                            </w:r>
                            <w:r>
                              <w:rPr>
                                <w:rFonts w:ascii="Aptos" w:hAnsi="Aptos"/>
                                <w:sz w:val="16"/>
                                <w:szCs w:val="16"/>
                                <w:vertAlign w:val="superscript"/>
                              </w:rPr>
                              <w:t>3</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20,</w:t>
                            </w:r>
                            <w:r>
                              <w:rPr>
                                <w:rFonts w:ascii="Aptos" w:hAnsi="Aptos"/>
                                <w:sz w:val="18"/>
                                <w:szCs w:val="18"/>
                                <w:lang w:val="en-US"/>
                              </w:rPr>
                              <w:t>2</w:t>
                            </w:r>
                            <w:r>
                              <w:rPr>
                                <w:rFonts w:ascii="Aptos" w:hAnsi="Aptos"/>
                                <w:sz w:val="18"/>
                                <w:szCs w:val="18"/>
                              </w:rPr>
                              <w:t>%</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20,3%</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18,3%</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17,6%</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sz w:val="18"/>
                                <w:szCs w:val="18"/>
                              </w:rPr>
                              <w:t>16,8%</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16,3%</w:t>
                            </w: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vAlign w:val="center"/>
                          </w:tcPr>
                          <w:p>
                            <w:pPr>
                              <w:textAlignment w:val="center"/>
                              <w:rPr>
                                <w:rFonts w:ascii="Aptos" w:hAnsi="Aptos"/>
                                <w:sz w:val="16"/>
                                <w:szCs w:val="16"/>
                                <w:lang w:val="en-US"/>
                              </w:rPr>
                            </w:pPr>
                            <w:r>
                              <w:rPr>
                                <w:rFonts w:ascii="Aptos" w:hAnsi="Aptos"/>
                                <w:sz w:val="16"/>
                                <w:szCs w:val="16"/>
                              </w:rPr>
                              <w:t>Δείκτης CET1</w:t>
                            </w:r>
                            <w:r>
                              <w:rPr>
                                <w:rFonts w:ascii="Aptos" w:hAnsi="Aptos"/>
                                <w:sz w:val="16"/>
                                <w:szCs w:val="16"/>
                                <w:vertAlign w:val="superscript"/>
                              </w:rPr>
                              <w:t>3</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17,</w:t>
                            </w:r>
                            <w:r>
                              <w:rPr>
                                <w:rFonts w:ascii="Aptos" w:hAnsi="Aptos"/>
                                <w:sz w:val="18"/>
                                <w:szCs w:val="18"/>
                                <w:lang w:val="en-US"/>
                              </w:rPr>
                              <w:t>8</w:t>
                            </w:r>
                            <w:r>
                              <w:rPr>
                                <w:rFonts w:ascii="Aptos" w:hAnsi="Aptos"/>
                                <w:sz w:val="18"/>
                                <w:szCs w:val="18"/>
                              </w:rPr>
                              <w:t>%</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17,9%</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17,3%</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16,5%</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sz w:val="18"/>
                                <w:szCs w:val="18"/>
                              </w:rPr>
                              <w:t>15,7%</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15,2%</w:t>
                            </w:r>
                          </w:p>
                        </w:tc>
                      </w:tr>
                      <w:tr>
                        <w:tblPrEx>
                          <w:tblCellMar>
                            <w:top w:w="0" w:type="dxa"/>
                            <w:left w:w="0" w:type="dxa"/>
                            <w:bottom w:w="0" w:type="dxa"/>
                            <w:right w:w="0" w:type="dxa"/>
                          </w:tblCellMar>
                        </w:tblPrEx>
                        <w:trPr>
                          <w:trHeight w:val="288" w:hRule="atLeast"/>
                        </w:trPr>
                        <w:tc>
                          <w:tcPr>
                            <w:tcW w:w="3020"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kern w:val="24"/>
                                <w:sz w:val="18"/>
                                <w:szCs w:val="18"/>
                                <w:lang w:val="en-US" w:eastAsia="el-GR"/>
                              </w:rPr>
                            </w:pPr>
                            <w:r>
                              <w:rPr>
                                <w:rFonts w:ascii="Aptos" w:hAnsi="Aptos"/>
                                <w:sz w:val="16"/>
                                <w:szCs w:val="16"/>
                              </w:rPr>
                              <w:t>Σταθμισμένα στοιχεία ενεργητικού</w:t>
                            </w:r>
                            <w:r>
                              <w:rPr>
                                <w:rFonts w:ascii="Aptos" w:hAnsi="Aptos"/>
                                <w:sz w:val="16"/>
                                <w:szCs w:val="16"/>
                                <w:vertAlign w:val="superscript"/>
                              </w:rPr>
                              <w:t>3</w:t>
                            </w:r>
                            <w:r>
                              <w:rPr>
                                <w:rFonts w:ascii="Aptos" w:hAnsi="Aptos"/>
                                <w:sz w:val="16"/>
                                <w:szCs w:val="16"/>
                              </w:rPr>
                              <w:t xml:space="preserve"> (€ δισ.)</w:t>
                            </w:r>
                          </w:p>
                        </w:tc>
                        <w:tc>
                          <w:tcPr>
                            <w:tcW w:w="1152" w:type="dxa"/>
                            <w:tcBorders>
                              <w:top w:val="dashSmallGap" w:color="00ADBF" w:sz="4" w:space="0"/>
                              <w:left w:val="dashSmallGap" w:color="FF7415" w:sz="12" w:space="0"/>
                              <w:bottom w:val="dashSmallGap" w:color="FF7415" w:sz="12"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3</w:t>
                            </w:r>
                            <w:r>
                              <w:rPr>
                                <w:rFonts w:ascii="Aptos" w:hAnsi="Aptos"/>
                                <w:sz w:val="18"/>
                                <w:szCs w:val="18"/>
                                <w:lang w:val="en-US"/>
                              </w:rPr>
                              <w:t>7,7</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36</w:t>
                            </w:r>
                            <w:r>
                              <w:rPr>
                                <w:rFonts w:ascii="Aptos" w:hAnsi="Aptos"/>
                                <w:sz w:val="18"/>
                                <w:szCs w:val="18"/>
                                <w:lang w:val="en-US"/>
                              </w:rPr>
                              <w:t>,</w:t>
                            </w:r>
                            <w:r>
                              <w:rPr>
                                <w:rFonts w:ascii="Aptos" w:hAnsi="Aptos"/>
                                <w:sz w:val="18"/>
                                <w:szCs w:val="18"/>
                              </w:rPr>
                              <w:t>6</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36</w:t>
                            </w:r>
                            <w:r>
                              <w:rPr>
                                <w:rFonts w:ascii="Aptos" w:hAnsi="Aptos"/>
                                <w:sz w:val="18"/>
                                <w:szCs w:val="18"/>
                                <w:lang w:val="en-US"/>
                              </w:rPr>
                              <w:t>,</w:t>
                            </w:r>
                            <w:r>
                              <w:rPr>
                                <w:rFonts w:ascii="Aptos" w:hAnsi="Aptos"/>
                                <w:sz w:val="18"/>
                                <w:szCs w:val="18"/>
                              </w:rPr>
                              <w:t>7</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36</w:t>
                            </w:r>
                            <w:r>
                              <w:rPr>
                                <w:rFonts w:ascii="Aptos" w:hAnsi="Aptos"/>
                                <w:sz w:val="18"/>
                                <w:szCs w:val="18"/>
                                <w:lang w:val="en-US"/>
                              </w:rPr>
                              <w:t>,</w:t>
                            </w:r>
                            <w:r>
                              <w:rPr>
                                <w:rFonts w:ascii="Aptos" w:hAnsi="Aptos"/>
                                <w:sz w:val="18"/>
                                <w:szCs w:val="18"/>
                              </w:rPr>
                              <w:t>5</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sz w:val="18"/>
                                <w:szCs w:val="18"/>
                              </w:rPr>
                              <w:t>36</w:t>
                            </w:r>
                            <w:r>
                              <w:rPr>
                                <w:rFonts w:ascii="Aptos" w:hAnsi="Aptos"/>
                                <w:sz w:val="18"/>
                                <w:szCs w:val="18"/>
                                <w:lang w:val="en-US"/>
                              </w:rPr>
                              <w:t>,</w:t>
                            </w:r>
                            <w:r>
                              <w:rPr>
                                <w:rFonts w:ascii="Aptos" w:hAnsi="Aptos"/>
                                <w:sz w:val="18"/>
                                <w:szCs w:val="18"/>
                              </w:rPr>
                              <w:t xml:space="preserve">2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kern w:val="24"/>
                                <w:sz w:val="18"/>
                                <w:szCs w:val="18"/>
                                <w:lang w:val="en-US" w:eastAsia="el-GR"/>
                              </w:rPr>
                            </w:pPr>
                            <w:r>
                              <w:rPr>
                                <w:rFonts w:ascii="Aptos" w:hAnsi="Aptos"/>
                                <w:sz w:val="18"/>
                                <w:szCs w:val="18"/>
                              </w:rPr>
                              <w:t>34</w:t>
                            </w:r>
                            <w:r>
                              <w:rPr>
                                <w:rFonts w:ascii="Aptos" w:hAnsi="Aptos"/>
                                <w:sz w:val="18"/>
                                <w:szCs w:val="18"/>
                                <w:lang w:val="en-US"/>
                              </w:rPr>
                              <w:t>,</w:t>
                            </w:r>
                            <w:r>
                              <w:rPr>
                                <w:rFonts w:ascii="Aptos" w:hAnsi="Aptos"/>
                                <w:sz w:val="18"/>
                                <w:szCs w:val="18"/>
                              </w:rPr>
                              <w:t xml:space="preserve">9 </w:t>
                            </w:r>
                          </w:p>
                        </w:tc>
                      </w:tr>
                    </w:tbl>
                    <w:p>
                      <w:pPr>
                        <w:jc w:val="both"/>
                        <w:rPr>
                          <w:rFonts w:ascii="Aptos Light" w:hAnsi="Aptos Light" w:eastAsiaTheme="minorEastAsia"/>
                          <w:kern w:val="24"/>
                          <w:sz w:val="16"/>
                          <w:szCs w:val="16"/>
                          <w:lang w:eastAsia="en-GB"/>
                        </w:rPr>
                      </w:pPr>
                      <w:r>
                        <w:rPr>
                          <w:rFonts w:ascii="Aptos" w:hAnsi="Aptos" w:cs="Segoe UI"/>
                          <w:bCs/>
                          <w:color w:val="595959"/>
                          <w:sz w:val="12"/>
                          <w:szCs w:val="12"/>
                        </w:rPr>
                        <w:t>1 Σε συγκρίσιμη βάση | 2 Οργανικά κέρδη μετά φόρων προς μέσο όρο ενσώματων ιδίων κεφαλαίων, συμπεριλαμβανομένων των κεφαλαίων CET1 άνω των εποπτικών ορίων | 3 Με πλήρη εφαρμογή του ΔΠΧΑ9. Οι δείκτες κεφαλαιακής επάρκειας περιλαμβάνουν τα κέρδη της περιόδου και πρόβλεψη 90μ.β. για διανομή μερίσματος 30% επί των κερδών, στο διάστημα μεταξύ Δ’ τριμήνου 2022 και Δ’ τριμήνου 2023</w:t>
                      </w:r>
                    </w:p>
                  </w:txbxContent>
                </v:textbox>
              </v:shape>
            </w:pict>
          </mc:Fallback>
        </mc:AlternateContent>
      </w:r>
      <w:r>
        <w:rPr>
          <w:rFonts w:ascii="Aptos" w:hAnsi="Aptos" w:cs="Segoe UI"/>
          <w:b/>
          <w:color w:val="595959"/>
          <w:sz w:val="16"/>
        </w:rPr>
        <w:br w:type="page"/>
      </w:r>
    </w:p>
    <w:p>
      <w:pPr>
        <w:rPr>
          <w:rFonts w:ascii="Aptos" w:hAnsi="Aptos" w:eastAsia="Times New Roman" w:cs="Segoe UI"/>
          <w:color w:val="595959"/>
          <w:kern w:val="24"/>
          <w:sz w:val="12"/>
          <w:szCs w:val="12"/>
          <w:lang w:eastAsia="el-GR"/>
        </w:rPr>
      </w:pPr>
      <w:r>
        <w:rPr>
          <w:rFonts w:ascii="Segoe UI" w:hAnsi="Segoe UI" w:cs="Segoe UI"/>
          <w:color w:val="595959"/>
          <w:lang w:eastAsia="el-GR"/>
        </w:rPr>
        <mc:AlternateContent>
          <mc:Choice Requires="wps">
            <w:drawing>
              <wp:anchor distT="0" distB="0" distL="114300" distR="114300" simplePos="0" relativeHeight="251692032" behindDoc="0" locked="0" layoutInCell="1" allowOverlap="1">
                <wp:simplePos x="0" y="0"/>
                <wp:positionH relativeFrom="margin">
                  <wp:posOffset>0</wp:posOffset>
                </wp:positionH>
                <wp:positionV relativeFrom="paragraph">
                  <wp:posOffset>-635</wp:posOffset>
                </wp:positionV>
                <wp:extent cx="6473190" cy="9629775"/>
                <wp:effectExtent l="0" t="0" r="4445" b="9525"/>
                <wp:wrapNone/>
                <wp:docPr id="9" name="Text Box 3"/>
                <wp:cNvGraphicFramePr/>
                <a:graphic xmlns:a="http://schemas.openxmlformats.org/drawingml/2006/main">
                  <a:graphicData uri="http://schemas.microsoft.com/office/word/2010/wordprocessingShape">
                    <wps:wsp>
                      <wps:cNvSpPr txBox="1">
                        <a:spLocks noChangeArrowheads="1"/>
                      </wps:cNvSpPr>
                      <wps:spPr bwMode="auto">
                        <a:xfrm>
                          <a:off x="0" y="0"/>
                          <a:ext cx="6473161" cy="9629775"/>
                        </a:xfrm>
                        <a:prstGeom prst="rect">
                          <a:avLst/>
                        </a:prstGeom>
                        <a:solidFill>
                          <a:srgbClr val="F5F9F6"/>
                        </a:solidFill>
                        <a:ln w="9525">
                          <a:noFill/>
                        </a:ln>
                      </wps:spPr>
                      <wps:txbx>
                        <w:txbxContent>
                          <w:tbl>
                            <w:tblPr>
                              <w:tblStyle w:val="4"/>
                              <w:tblW w:w="9936" w:type="dxa"/>
                              <w:tblInd w:w="0" w:type="dxa"/>
                              <w:tblLayout w:type="autofit"/>
                              <w:tblCellMar>
                                <w:top w:w="0" w:type="dxa"/>
                                <w:left w:w="0" w:type="dxa"/>
                                <w:bottom w:w="0" w:type="dxa"/>
                                <w:right w:w="0" w:type="dxa"/>
                              </w:tblCellMar>
                            </w:tblPr>
                            <w:tblGrid>
                              <w:gridCol w:w="2944"/>
                              <w:gridCol w:w="1229"/>
                              <w:gridCol w:w="1229"/>
                              <w:gridCol w:w="1136"/>
                              <w:gridCol w:w="1140"/>
                              <w:gridCol w:w="1122"/>
                              <w:gridCol w:w="1136"/>
                            </w:tblGrid>
                            <w:tr>
                              <w:tblPrEx>
                                <w:tblCellMar>
                                  <w:top w:w="0" w:type="dxa"/>
                                  <w:left w:w="0" w:type="dxa"/>
                                  <w:bottom w:w="0" w:type="dxa"/>
                                  <w:right w:w="0" w:type="dxa"/>
                                </w:tblCellMar>
                              </w:tblPrEx>
                              <w:trPr>
                                <w:trHeight w:val="288" w:hRule="atLeast"/>
                              </w:trPr>
                              <w:tc>
                                <w:tcPr>
                                  <w:tcW w:w="3024" w:type="dxa"/>
                                  <w:tcBorders>
                                    <w:top w:val="nil"/>
                                    <w:left w:val="nil"/>
                                    <w:bottom w:val="dashSmallGap" w:color="00ADBF" w:sz="4" w:space="0"/>
                                    <w:right w:val="dashSmallGap" w:color="FF7415" w:sz="12" w:space="0"/>
                                  </w:tcBorders>
                                  <w:shd w:val="clear" w:color="auto" w:fill="007B85"/>
                                  <w:tcMar>
                                    <w:top w:w="15" w:type="dxa"/>
                                    <w:left w:w="144" w:type="dxa"/>
                                    <w:bottom w:w="0" w:type="dxa"/>
                                    <w:right w:w="144" w:type="dxa"/>
                                  </w:tcMar>
                                </w:tcPr>
                                <w:p>
                                  <w:pPr>
                                    <w:rPr>
                                      <w:rFonts w:ascii="Aptos" w:hAnsi="Aptos" w:eastAsia="Times New Roman" w:cs="Arial"/>
                                      <w:b/>
                                      <w:bCs/>
                                      <w:color w:val="FFFFFF" w:themeColor="background1"/>
                                      <w:kern w:val="24"/>
                                      <w:sz w:val="18"/>
                                      <w:szCs w:val="18"/>
                                      <w:lang w:val="en-GB" w:eastAsia="el-GR"/>
                                      <w14:textFill>
                                        <w14:solidFill>
                                          <w14:schemeClr w14:val="bg1"/>
                                        </w14:solidFill>
                                      </w14:textFill>
                                    </w:rPr>
                                  </w:pPr>
                                  <w:r>
                                    <w:rPr>
                                      <w:rFonts w:ascii="Aptos" w:hAnsi="Aptos" w:eastAsia="Times New Roman" w:cs="Arial"/>
                                      <w:b/>
                                      <w:bCs/>
                                      <w:color w:val="FFFFFF" w:themeColor="background1"/>
                                      <w:kern w:val="24"/>
                                      <w:sz w:val="18"/>
                                      <w:szCs w:val="18"/>
                                      <w:lang w:val="en-GB" w:eastAsia="el-GR"/>
                                      <w14:textFill>
                                        <w14:solidFill>
                                          <w14:schemeClr w14:val="bg1"/>
                                        </w14:solidFill>
                                      </w14:textFill>
                                    </w:rPr>
                                    <w:t xml:space="preserve">Κατάσταση Αποτελεσμάτων | </w:t>
                                  </w:r>
                                </w:p>
                                <w:p>
                                  <w:pPr>
                                    <w:rPr>
                                      <w:rFonts w:ascii="Aptos" w:hAnsi="Aptos" w:eastAsia="Times New Roman" w:cs="Arial"/>
                                      <w:b/>
                                      <w:bCs/>
                                      <w:color w:val="FFFFFF" w:themeColor="background1"/>
                                      <w:kern w:val="24"/>
                                      <w:sz w:val="18"/>
                                      <w:szCs w:val="18"/>
                                      <w:lang w:eastAsia="el-GR"/>
                                      <w14:textFill>
                                        <w14:solidFill>
                                          <w14:schemeClr w14:val="bg1"/>
                                        </w14:solidFill>
                                      </w14:textFill>
                                    </w:rPr>
                                  </w:pPr>
                                  <w:r>
                                    <w:rPr>
                                      <w:rFonts w:ascii="Aptos" w:hAnsi="Aptos" w:eastAsia="Times New Roman" w:cs="Arial"/>
                                      <w:b/>
                                      <w:bCs/>
                                      <w:color w:val="FFFFFF" w:themeColor="background1"/>
                                      <w:kern w:val="24"/>
                                      <w:sz w:val="18"/>
                                      <w:szCs w:val="18"/>
                                      <w:lang w:eastAsia="el-GR"/>
                                      <w14:textFill>
                                        <w14:solidFill>
                                          <w14:schemeClr w14:val="bg1"/>
                                        </w14:solidFill>
                                      </w14:textFill>
                                    </w:rPr>
                                    <w:t>Ελλάδα (€ εκατ.)</w:t>
                                  </w:r>
                                </w:p>
                              </w:tc>
                              <w:tc>
                                <w:tcPr>
                                  <w:tcW w:w="1152" w:type="dxa"/>
                                  <w:tcBorders>
                                    <w:top w:val="dashSmallGap" w:color="FF7415" w:sz="12" w:space="0"/>
                                    <w:left w:val="dashSmallGap" w:color="FF7415" w:sz="12" w:space="0"/>
                                    <w:bottom w:val="dashSmallGap" w:color="00ADBF" w:sz="4" w:space="0"/>
                                    <w:right w:val="dashSmallGap" w:color="FF7415" w:sz="12" w:space="0"/>
                                  </w:tcBorders>
                                  <w:shd w:val="clear" w:color="auto" w:fill="007B85"/>
                                  <w:tcMar>
                                    <w:top w:w="15" w:type="dxa"/>
                                    <w:left w:w="144" w:type="dxa"/>
                                    <w:bottom w:w="0" w:type="dxa"/>
                                    <w:right w:w="144" w:type="dxa"/>
                                  </w:tcMar>
                                  <w:vAlign w:val="center"/>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Οικονομικό Έτος 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dashSmallGap" w:color="FF7415" w:sz="12" w:space="0"/>
                                    <w:bottom w:val="dashSmallGap" w:color="00ADBF" w:sz="4" w:space="0"/>
                                    <w:right w:val="nil"/>
                                  </w:tcBorders>
                                  <w:shd w:val="clear" w:color="auto" w:fill="007B85"/>
                                  <w:tcMar>
                                    <w:top w:w="15" w:type="dxa"/>
                                    <w:left w:w="144" w:type="dxa"/>
                                    <w:bottom w:w="0" w:type="dxa"/>
                                    <w:right w:w="144" w:type="dxa"/>
                                  </w:tcMar>
                                  <w:vAlign w:val="center"/>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Οικονομικό Έτος 202</w:t>
                                  </w:r>
                                  <w:r>
                                    <w:rPr>
                                      <w:rFonts w:ascii="Aptos" w:hAnsi="Aptos" w:eastAsia="Times New Roman" w:cs="Arial"/>
                                      <w:b/>
                                      <w:bCs/>
                                      <w:color w:val="FFFFFF" w:themeColor="background1"/>
                                      <w:kern w:val="24"/>
                                      <w:sz w:val="16"/>
                                      <w:szCs w:val="16"/>
                                      <w:lang w:eastAsia="el-GR"/>
                                      <w14:textFill>
                                        <w14:solidFill>
                                          <w14:schemeClr w14:val="bg1"/>
                                        </w14:solidFill>
                                      </w14:textFill>
                                    </w:rPr>
                                    <w:t>2</w:t>
                                  </w:r>
                                </w:p>
                              </w:tc>
                              <w:tc>
                                <w:tcPr>
                                  <w:tcW w:w="1152" w:type="dxa"/>
                                  <w:tcBorders>
                                    <w:top w:val="nil"/>
                                    <w:left w:val="nil"/>
                                    <w:bottom w:val="dashSmallGap" w:color="00ADBF" w:sz="4" w:space="0"/>
                                    <w:right w:val="dashSmallGap" w:color="FF7415" w:sz="12" w:space="0"/>
                                  </w:tcBorders>
                                  <w:shd w:val="clear" w:color="auto" w:fill="007B85"/>
                                  <w:tcMar>
                                    <w:top w:w="15" w:type="dxa"/>
                                    <w:left w:w="144" w:type="dxa"/>
                                    <w:bottom w:w="0" w:type="dxa"/>
                                    <w:right w:w="144" w:type="dxa"/>
                                  </w:tcMar>
                                  <w:vAlign w:val="center"/>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 (%)</w:t>
                                  </w:r>
                                </w:p>
                              </w:tc>
                              <w:tc>
                                <w:tcPr>
                                  <w:tcW w:w="1152" w:type="dxa"/>
                                  <w:tcBorders>
                                    <w:top w:val="dashSmallGap" w:color="FF7415" w:sz="12" w:space="0"/>
                                    <w:left w:val="dashSmallGap" w:color="FF7415" w:sz="12" w:space="0"/>
                                    <w:bottom w:val="dashSmallGap" w:color="00ADBF" w:sz="4" w:space="0"/>
                                    <w:right w:val="dashSmallGap" w:color="FF7415" w:sz="12" w:space="0"/>
                                  </w:tcBorders>
                                  <w:shd w:val="clear" w:color="auto" w:fill="007B85"/>
                                  <w:tcMar>
                                    <w:top w:w="15" w:type="dxa"/>
                                    <w:left w:w="144" w:type="dxa"/>
                                    <w:bottom w:w="0" w:type="dxa"/>
                                    <w:right w:w="144" w:type="dxa"/>
                                  </w:tcMar>
                                  <w:vAlign w:val="center"/>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 τρίμηνο 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dashSmallGap" w:color="FF7415" w:sz="12" w:space="0"/>
                                    <w:bottom w:val="dashSmallGap" w:color="00ADBF" w:sz="4" w:space="0"/>
                                    <w:right w:val="nil"/>
                                  </w:tcBorders>
                                  <w:shd w:val="clear" w:color="auto" w:fill="007B85"/>
                                  <w:vAlign w:val="center"/>
                                </w:tcPr>
                                <w:p>
                                  <w:pPr>
                                    <w:jc w:val="right"/>
                                    <w:rPr>
                                      <w:rFonts w:ascii="Aptos" w:hAnsi="Aptos" w:eastAsia="Times New Roman" w:cs="Arial"/>
                                      <w:b/>
                                      <w:bCs/>
                                      <w:color w:val="FFFFFF" w:themeColor="background1"/>
                                      <w:kern w:val="24"/>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Γ’ τρίμηνο</w:t>
                                  </w:r>
                                  <w:r>
                                    <w:rPr>
                                      <w:rFonts w:ascii="Aptos" w:hAnsi="Aptos" w:eastAsia="Times New Roman" w:cs="Arial"/>
                                      <w:b/>
                                      <w:bCs/>
                                      <w:color w:val="FFFFFF" w:themeColor="background1"/>
                                      <w:kern w:val="24"/>
                                      <w:sz w:val="16"/>
                                      <w:szCs w:val="16"/>
                                      <w:lang w:eastAsia="el-GR"/>
                                      <w14:textFill>
                                        <w14:solidFill>
                                          <w14:schemeClr w14:val="bg1"/>
                                        </w14:solidFill>
                                      </w14:textFill>
                                    </w:rPr>
                                    <w:t xml:space="preserve"> </w:t>
                                  </w:r>
                                </w:p>
                                <w:p>
                                  <w:pPr>
                                    <w:jc w:val="right"/>
                                    <w:rPr>
                                      <w:rFonts w:ascii="Aptos" w:hAnsi="Aptos" w:eastAsia="Times New Roman" w:cs="Arial"/>
                                      <w:b/>
                                      <w:bCs/>
                                      <w:color w:val="FFFFFF" w:themeColor="background1"/>
                                      <w:kern w:val="24"/>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eastAsia="el-GR"/>
                                      <w14:textFill>
                                        <w14:solidFill>
                                          <w14:schemeClr w14:val="bg1"/>
                                        </w14:solidFill>
                                      </w14:textFill>
                                    </w:rPr>
                                    <w:t>2023</w:t>
                                  </w:r>
                                </w:p>
                              </w:tc>
                              <w:tc>
                                <w:tcPr>
                                  <w:tcW w:w="1152" w:type="dxa"/>
                                  <w:tcBorders>
                                    <w:top w:val="nil"/>
                                    <w:left w:val="nil"/>
                                    <w:bottom w:val="dashSmallGap" w:color="00ADBF" w:sz="4" w:space="0"/>
                                    <w:right w:val="nil"/>
                                  </w:tcBorders>
                                  <w:shd w:val="clear" w:color="auto" w:fill="007B85"/>
                                  <w:tcMar>
                                    <w:top w:w="15" w:type="dxa"/>
                                    <w:left w:w="144" w:type="dxa"/>
                                    <w:bottom w:w="0" w:type="dxa"/>
                                    <w:right w:w="144" w:type="dxa"/>
                                  </w:tcMar>
                                  <w:vAlign w:val="center"/>
                                </w:tcPr>
                                <w:p>
                                  <w:pPr>
                                    <w:jc w:val="right"/>
                                    <w:rPr>
                                      <w:rFonts w:ascii="Aptos" w:hAnsi="Aptos" w:eastAsia="Times New Roman" w:cs="Arial"/>
                                      <w:b/>
                                      <w:bCs/>
                                      <w:color w:val="FFFFFF" w:themeColor="background1"/>
                                      <w:kern w:val="24"/>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eastAsia="el-GR"/>
                                      <w14:textFill>
                                        <w14:solidFill>
                                          <w14:schemeClr w14:val="bg1"/>
                                        </w14:solidFill>
                                      </w14:textFill>
                                    </w:rPr>
                                    <w:t>Δ (%)</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sz w:val="16"/>
                                      <w:szCs w:val="16"/>
                                    </w:rPr>
                                  </w:pPr>
                                  <w:r>
                                    <w:rPr>
                                      <w:rFonts w:ascii="Aptos" w:hAnsi="Aptos"/>
                                      <w:sz w:val="16"/>
                                      <w:szCs w:val="16"/>
                                    </w:rPr>
                                    <w:t>Καθαρά έσοδα από τόκους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2</w:t>
                                  </w:r>
                                  <w:r>
                                    <w:rPr>
                                      <w:rFonts w:ascii="Aptos" w:hAnsi="Aptos"/>
                                      <w:sz w:val="18"/>
                                      <w:szCs w:val="18"/>
                                      <w:lang w:val="en-US"/>
                                    </w:rPr>
                                    <w:t>.</w:t>
                                  </w:r>
                                  <w:r>
                                    <w:rPr>
                                      <w:rFonts w:ascii="Aptos" w:hAnsi="Aptos"/>
                                      <w:sz w:val="18"/>
                                      <w:szCs w:val="18"/>
                                    </w:rPr>
                                    <w:t xml:space="preserve">160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1</w:t>
                                  </w:r>
                                  <w:r>
                                    <w:rPr>
                                      <w:rFonts w:ascii="Aptos" w:hAnsi="Aptos"/>
                                      <w:sz w:val="18"/>
                                      <w:szCs w:val="18"/>
                                      <w:lang w:val="en-US"/>
                                    </w:rPr>
                                    <w:t>.</w:t>
                                  </w:r>
                                  <w:r>
                                    <w:rPr>
                                      <w:rFonts w:ascii="Aptos" w:hAnsi="Aptos"/>
                                      <w:sz w:val="18"/>
                                      <w:szCs w:val="18"/>
                                    </w:rPr>
                                    <w:t xml:space="preserve">293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+67%</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594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563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5"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+6%</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sz w:val="16"/>
                                      <w:szCs w:val="16"/>
                                    </w:rPr>
                                  </w:pPr>
                                  <w:r>
                                    <w:rPr>
                                      <w:rFonts w:ascii="Aptos" w:hAnsi="Aptos"/>
                                      <w:sz w:val="16"/>
                                      <w:szCs w:val="16"/>
                                    </w:rPr>
                                    <w:t>Καθαρά έσοδα από προμήθειες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367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330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+11%</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106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92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5"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+15%</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42" w:type="dxa"/>
                                    <w:bottom w:w="0" w:type="dxa"/>
                                    <w:right w:w="15" w:type="dxa"/>
                                  </w:tcMar>
                                </w:tcPr>
                                <w:p>
                                  <w:pPr>
                                    <w:textAlignment w:val="center"/>
                                    <w:rPr>
                                      <w:rFonts w:ascii="Aptos" w:hAnsi="Aptos"/>
                                      <w:b/>
                                      <w:bCs/>
                                      <w:sz w:val="16"/>
                                      <w:szCs w:val="16"/>
                                    </w:rPr>
                                  </w:pPr>
                                  <w:r>
                                    <w:rPr>
                                      <w:rFonts w:ascii="Aptos" w:hAnsi="Aptos"/>
                                      <w:b/>
                                      <w:bCs/>
                                      <w:sz w:val="16"/>
                                      <w:szCs w:val="16"/>
                                    </w:rPr>
                                    <w:t>Οργανικά έσοδα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2</w:t>
                                  </w:r>
                                  <w:r>
                                    <w:rPr>
                                      <w:rFonts w:ascii="Aptos" w:hAnsi="Aptos"/>
                                      <w:b/>
                                      <w:bCs/>
                                      <w:sz w:val="18"/>
                                      <w:szCs w:val="18"/>
                                      <w:lang w:val="en-US"/>
                                    </w:rPr>
                                    <w:t>.</w:t>
                                  </w:r>
                                  <w:r>
                                    <w:rPr>
                                      <w:rFonts w:ascii="Aptos" w:hAnsi="Aptos"/>
                                      <w:b/>
                                      <w:bCs/>
                                      <w:sz w:val="18"/>
                                      <w:szCs w:val="18"/>
                                    </w:rPr>
                                    <w:t xml:space="preserve">527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r>
                                    <w:rPr>
                                      <w:rFonts w:ascii="Aptos" w:hAnsi="Aptos"/>
                                      <w:b/>
                                      <w:bCs/>
                                      <w:sz w:val="18"/>
                                      <w:szCs w:val="18"/>
                                      <w:lang w:val="en-US"/>
                                    </w:rPr>
                                    <w:t>.</w:t>
                                  </w:r>
                                  <w:r>
                                    <w:rPr>
                                      <w:rFonts w:ascii="Aptos" w:hAnsi="Aptos"/>
                                      <w:b/>
                                      <w:bCs/>
                                      <w:sz w:val="18"/>
                                      <w:szCs w:val="18"/>
                                    </w:rPr>
                                    <w:t xml:space="preserve">623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+56%</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700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vAlign w:val="center"/>
                                </w:tcPr>
                                <w:p>
                                  <w:pPr>
                                    <w:jc w:val="right"/>
                                    <w:rPr>
                                      <w:rFonts w:ascii="Aptos" w:hAnsi="Aptos" w:eastAsia="Times New Roman" w:cs="Arial"/>
                                      <w:b/>
                                      <w:bCs/>
                                      <w:kern w:val="24"/>
                                      <w:sz w:val="18"/>
                                      <w:szCs w:val="18"/>
                                      <w:lang w:eastAsia="el-GR"/>
                                    </w:rPr>
                                  </w:pPr>
                                  <w:r>
                                    <w:rPr>
                                      <w:rFonts w:ascii="Aptos" w:hAnsi="Aptos"/>
                                      <w:b/>
                                      <w:bCs/>
                                      <w:sz w:val="18"/>
                                      <w:szCs w:val="18"/>
                                    </w:rPr>
                                    <w:t xml:space="preserve">654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+7%</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sz w:val="16"/>
                                      <w:szCs w:val="16"/>
                                    </w:rPr>
                                  </w:pPr>
                                  <w:r>
                                    <w:rPr>
                                      <w:rFonts w:ascii="Aptos" w:hAnsi="Aptos"/>
                                      <w:sz w:val="16"/>
                                      <w:szCs w:val="16"/>
                                    </w:rPr>
                                    <w:t>Έσοδα από χρηματοοικονομικές πράξεις και λοιπά έσοδα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81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309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-74%</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30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eastAsia="el-GR"/>
                                    </w:rPr>
                                  </w:pPr>
                                  <w:r>
                                    <w:rPr>
                                      <w:rFonts w:ascii="Aptos" w:hAnsi="Aptos"/>
                                      <w:sz w:val="18"/>
                                      <w:szCs w:val="18"/>
                                    </w:rPr>
                                    <w:t xml:space="preserve">7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&gt;100%</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b/>
                                      <w:bCs/>
                                      <w:sz w:val="16"/>
                                      <w:szCs w:val="16"/>
                                    </w:rPr>
                                  </w:pPr>
                                  <w:r>
                                    <w:rPr>
                                      <w:rFonts w:ascii="Aptos" w:hAnsi="Aptos"/>
                                      <w:b/>
                                      <w:bCs/>
                                      <w:sz w:val="16"/>
                                      <w:szCs w:val="16"/>
                                    </w:rPr>
                                    <w:t xml:space="preserve">Καθαρά λειτουργικά έσοδα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2</w:t>
                                  </w:r>
                                  <w:r>
                                    <w:rPr>
                                      <w:rFonts w:ascii="Aptos" w:hAnsi="Aptos"/>
                                      <w:b/>
                                      <w:bCs/>
                                      <w:sz w:val="18"/>
                                      <w:szCs w:val="18"/>
                                      <w:lang w:val="en-US"/>
                                    </w:rPr>
                                    <w:t>.</w:t>
                                  </w:r>
                                  <w:r>
                                    <w:rPr>
                                      <w:rFonts w:ascii="Aptos" w:hAnsi="Aptos"/>
                                      <w:b/>
                                      <w:bCs/>
                                      <w:sz w:val="18"/>
                                      <w:szCs w:val="18"/>
                                    </w:rPr>
                                    <w:t xml:space="preserve">609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r>
                                    <w:rPr>
                                      <w:rFonts w:ascii="Aptos" w:hAnsi="Aptos"/>
                                      <w:b/>
                                      <w:bCs/>
                                      <w:sz w:val="18"/>
                                      <w:szCs w:val="18"/>
                                      <w:lang w:val="en-US"/>
                                    </w:rPr>
                                    <w:t>.</w:t>
                                  </w:r>
                                  <w:r>
                                    <w:rPr>
                                      <w:rFonts w:ascii="Aptos" w:hAnsi="Aptos"/>
                                      <w:b/>
                                      <w:bCs/>
                                      <w:sz w:val="18"/>
                                      <w:szCs w:val="18"/>
                                    </w:rPr>
                                    <w:t xml:space="preserve">932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+35%</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730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b/>
                                      <w:bCs/>
                                      <w:sz w:val="18"/>
                                      <w:szCs w:val="18"/>
                                    </w:rPr>
                                    <w:t xml:space="preserve">661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+10%</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sz w:val="16"/>
                                      <w:szCs w:val="16"/>
                                    </w:rPr>
                                  </w:pPr>
                                  <w:r>
                                    <w:rPr>
                                      <w:rFonts w:ascii="Aptos" w:hAnsi="Aptos"/>
                                      <w:sz w:val="16"/>
                                      <w:szCs w:val="16"/>
                                    </w:rPr>
                                    <w:t>Λειτουργικές δαπάνες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(783)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(752)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+4%</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(220)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(190)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+16%</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b/>
                                      <w:bCs/>
                                      <w:sz w:val="16"/>
                                      <w:szCs w:val="16"/>
                                    </w:rPr>
                                  </w:pPr>
                                  <w:r>
                                    <w:rPr>
                                      <w:rFonts w:ascii="Aptos" w:hAnsi="Aptos"/>
                                      <w:b/>
                                      <w:bCs/>
                                      <w:sz w:val="16"/>
                                      <w:szCs w:val="16"/>
                                    </w:rPr>
                                    <w:t>Οργανικά κέρδη / (ζημίες) προ προβλέψεων</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r>
                                    <w:rPr>
                                      <w:rFonts w:ascii="Aptos" w:hAnsi="Aptos"/>
                                      <w:b/>
                                      <w:bCs/>
                                      <w:sz w:val="18"/>
                                      <w:szCs w:val="18"/>
                                      <w:lang w:val="en-US"/>
                                    </w:rPr>
                                    <w:t>.</w:t>
                                  </w:r>
                                  <w:r>
                                    <w:rPr>
                                      <w:rFonts w:ascii="Aptos" w:hAnsi="Aptos"/>
                                      <w:b/>
                                      <w:bCs/>
                                      <w:sz w:val="18"/>
                                      <w:szCs w:val="18"/>
                                    </w:rPr>
                                    <w:t xml:space="preserve">745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871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+100%</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480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b/>
                                      <w:bCs/>
                                      <w:sz w:val="18"/>
                                      <w:szCs w:val="18"/>
                                    </w:rPr>
                                    <w:t xml:space="preserve">465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+3%</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b/>
                                      <w:bCs/>
                                      <w:sz w:val="16"/>
                                      <w:szCs w:val="16"/>
                                    </w:rPr>
                                  </w:pPr>
                                  <w:r>
                                    <w:rPr>
                                      <w:rFonts w:ascii="Aptos" w:hAnsi="Aptos"/>
                                      <w:b/>
                                      <w:bCs/>
                                      <w:sz w:val="16"/>
                                      <w:szCs w:val="16"/>
                                    </w:rPr>
                                    <w:t>Κέρδη / (ζημίες) προ προβλέψεων</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r>
                                    <w:rPr>
                                      <w:rFonts w:ascii="Aptos" w:hAnsi="Aptos"/>
                                      <w:b/>
                                      <w:bCs/>
                                      <w:sz w:val="18"/>
                                      <w:szCs w:val="18"/>
                                      <w:lang w:val="en-US"/>
                                    </w:rPr>
                                    <w:t>.</w:t>
                                  </w:r>
                                  <w:r>
                                    <w:rPr>
                                      <w:rFonts w:ascii="Aptos" w:hAnsi="Aptos"/>
                                      <w:b/>
                                      <w:bCs/>
                                      <w:sz w:val="18"/>
                                      <w:szCs w:val="18"/>
                                    </w:rPr>
                                    <w:t xml:space="preserve">826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r>
                                    <w:rPr>
                                      <w:rFonts w:ascii="Aptos" w:hAnsi="Aptos"/>
                                      <w:b/>
                                      <w:bCs/>
                                      <w:sz w:val="18"/>
                                      <w:szCs w:val="18"/>
                                      <w:lang w:val="en-US"/>
                                    </w:rPr>
                                    <w:t>.</w:t>
                                  </w:r>
                                  <w:r>
                                    <w:rPr>
                                      <w:rFonts w:ascii="Aptos" w:hAnsi="Aptos"/>
                                      <w:b/>
                                      <w:bCs/>
                                      <w:sz w:val="18"/>
                                      <w:szCs w:val="18"/>
                                    </w:rPr>
                                    <w:t xml:space="preserve">180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+55%</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510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b/>
                                      <w:bCs/>
                                      <w:sz w:val="18"/>
                                      <w:szCs w:val="18"/>
                                    </w:rPr>
                                    <w:t xml:space="preserve">471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+8%</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sz w:val="16"/>
                                      <w:szCs w:val="16"/>
                                    </w:rPr>
                                  </w:pPr>
                                  <w:r>
                                    <w:rPr>
                                      <w:rFonts w:ascii="Aptos" w:hAnsi="Aptos"/>
                                      <w:sz w:val="16"/>
                                      <w:szCs w:val="16"/>
                                    </w:rPr>
                                    <w:t>Προβλέψεις για επισφαλή δάνεια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(223)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(273)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-18%</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(65)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eastAsia="el-GR"/>
                                    </w:rPr>
                                  </w:pPr>
                                  <w:r>
                                    <w:rPr>
                                      <w:rFonts w:ascii="Aptos" w:hAnsi="Aptos"/>
                                      <w:sz w:val="18"/>
                                      <w:szCs w:val="18"/>
                                    </w:rPr>
                                    <w:t xml:space="preserve">(49)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+34%</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b/>
                                      <w:bCs/>
                                      <w:sz w:val="16"/>
                                      <w:szCs w:val="16"/>
                                    </w:rPr>
                                  </w:pPr>
                                  <w:r>
                                    <w:rPr>
                                      <w:rFonts w:ascii="Aptos" w:hAnsi="Aptos"/>
                                      <w:b/>
                                      <w:bCs/>
                                      <w:sz w:val="16"/>
                                      <w:szCs w:val="16"/>
                                    </w:rPr>
                                    <w:t>Οργανικά κέρδη / (ζημίες)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r>
                                    <w:rPr>
                                      <w:rFonts w:ascii="Aptos" w:hAnsi="Aptos"/>
                                      <w:b/>
                                      <w:bCs/>
                                      <w:sz w:val="18"/>
                                      <w:szCs w:val="18"/>
                                      <w:lang w:val="en-US"/>
                                    </w:rPr>
                                    <w:t>.</w:t>
                                  </w:r>
                                  <w:r>
                                    <w:rPr>
                                      <w:rFonts w:ascii="Aptos" w:hAnsi="Aptos"/>
                                      <w:b/>
                                      <w:bCs/>
                                      <w:sz w:val="18"/>
                                      <w:szCs w:val="18"/>
                                    </w:rPr>
                                    <w:t xml:space="preserve">521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599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&gt;100%</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415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b/>
                                      <w:bCs/>
                                      <w:sz w:val="18"/>
                                      <w:szCs w:val="18"/>
                                    </w:rPr>
                                    <w:t xml:space="preserve">416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-0%</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b/>
                                      <w:bCs/>
                                      <w:sz w:val="16"/>
                                      <w:szCs w:val="16"/>
                                    </w:rPr>
                                  </w:pPr>
                                  <w:r>
                                    <w:rPr>
                                      <w:rFonts w:ascii="Aptos" w:hAnsi="Aptos"/>
                                      <w:b/>
                                      <w:bCs/>
                                      <w:sz w:val="16"/>
                                      <w:szCs w:val="16"/>
                                    </w:rPr>
                                    <w:t>Λειτουργικά κέρδη / (ζημίες)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r>
                                    <w:rPr>
                                      <w:rFonts w:ascii="Aptos" w:hAnsi="Aptos"/>
                                      <w:b/>
                                      <w:bCs/>
                                      <w:sz w:val="18"/>
                                      <w:szCs w:val="18"/>
                                      <w:lang w:val="en-US"/>
                                    </w:rPr>
                                    <w:t>.</w:t>
                                  </w:r>
                                  <w:r>
                                    <w:rPr>
                                      <w:rFonts w:ascii="Aptos" w:hAnsi="Aptos"/>
                                      <w:b/>
                                      <w:bCs/>
                                      <w:sz w:val="18"/>
                                      <w:szCs w:val="18"/>
                                    </w:rPr>
                                    <w:t xml:space="preserve">602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908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+77%</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445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b/>
                                      <w:bCs/>
                                      <w:sz w:val="18"/>
                                      <w:szCs w:val="18"/>
                                    </w:rPr>
                                    <w:t xml:space="preserve">423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+5%</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b/>
                                      <w:bCs/>
                                      <w:sz w:val="16"/>
                                      <w:szCs w:val="16"/>
                                    </w:rPr>
                                  </w:pPr>
                                  <w:r>
                                    <w:rPr>
                                      <w:rFonts w:ascii="Aptos" w:hAnsi="Aptos"/>
                                      <w:sz w:val="16"/>
                                      <w:szCs w:val="16"/>
                                    </w:rPr>
                                    <w:t xml:space="preserve">Φόροι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(363)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(151)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&gt;100%</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(86)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eastAsia="el-GR"/>
                                    </w:rPr>
                                  </w:pPr>
                                  <w:r>
                                    <w:rPr>
                                      <w:rFonts w:ascii="Aptos" w:hAnsi="Aptos"/>
                                      <w:sz w:val="18"/>
                                      <w:szCs w:val="18"/>
                                    </w:rPr>
                                    <w:t xml:space="preserve">(80)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+8%</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42" w:type="dxa"/>
                                    <w:bottom w:w="0" w:type="dxa"/>
                                    <w:right w:w="15" w:type="dxa"/>
                                  </w:tcMar>
                                </w:tcPr>
                                <w:p>
                                  <w:pPr>
                                    <w:textAlignment w:val="center"/>
                                    <w:rPr>
                                      <w:rFonts w:ascii="Aptos" w:hAnsi="Aptos"/>
                                      <w:b/>
                                      <w:bCs/>
                                      <w:sz w:val="16"/>
                                      <w:szCs w:val="16"/>
                                    </w:rPr>
                                  </w:pPr>
                                  <w:r>
                                    <w:rPr>
                                      <w:rFonts w:ascii="Aptos" w:hAnsi="Aptos"/>
                                      <w:b/>
                                      <w:bCs/>
                                      <w:sz w:val="16"/>
                                      <w:szCs w:val="16"/>
                                    </w:rPr>
                                    <w:t>Οργανικά κέρδη / (ζημίες) μετά από φόρους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r>
                                    <w:rPr>
                                      <w:rFonts w:ascii="Aptos" w:hAnsi="Aptos"/>
                                      <w:b/>
                                      <w:bCs/>
                                      <w:sz w:val="18"/>
                                      <w:szCs w:val="18"/>
                                      <w:lang w:val="en-US"/>
                                    </w:rPr>
                                    <w:t>.</w:t>
                                  </w:r>
                                  <w:r>
                                    <w:rPr>
                                      <w:rFonts w:ascii="Aptos" w:hAnsi="Aptos"/>
                                      <w:b/>
                                      <w:bCs/>
                                      <w:sz w:val="18"/>
                                      <w:szCs w:val="18"/>
                                    </w:rPr>
                                    <w:t xml:space="preserve">158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447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&gt;100%</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329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vAlign w:val="center"/>
                                </w:tcPr>
                                <w:p>
                                  <w:pPr>
                                    <w:jc w:val="right"/>
                                    <w:rPr>
                                      <w:rFonts w:ascii="Aptos" w:hAnsi="Aptos" w:eastAsia="Times New Roman" w:cs="Arial"/>
                                      <w:b/>
                                      <w:bCs/>
                                      <w:kern w:val="24"/>
                                      <w:sz w:val="18"/>
                                      <w:szCs w:val="18"/>
                                      <w:lang w:eastAsia="el-GR"/>
                                    </w:rPr>
                                  </w:pPr>
                                  <w:r>
                                    <w:rPr>
                                      <w:rFonts w:ascii="Aptos" w:hAnsi="Aptos"/>
                                      <w:b/>
                                      <w:bCs/>
                                      <w:sz w:val="18"/>
                                      <w:szCs w:val="18"/>
                                    </w:rPr>
                                    <w:t xml:space="preserve">336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-2%</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b/>
                                      <w:bCs/>
                                      <w:sz w:val="16"/>
                                      <w:szCs w:val="16"/>
                                    </w:rPr>
                                  </w:pPr>
                                  <w:r>
                                    <w:rPr>
                                      <w:rFonts w:ascii="Aptos" w:hAnsi="Aptos"/>
                                      <w:b/>
                                      <w:bCs/>
                                      <w:sz w:val="16"/>
                                      <w:szCs w:val="16"/>
                                    </w:rPr>
                                    <w:t>Κέρδη / (ζημίες) μετά από φόρους που αναλογούν στους μετόχους της Τράπεζας</w:t>
                                  </w:r>
                                </w:p>
                              </w:tc>
                              <w:tc>
                                <w:tcPr>
                                  <w:tcW w:w="1152" w:type="dxa"/>
                                  <w:tcBorders>
                                    <w:top w:val="dashSmallGap" w:color="00ADBF" w:sz="4" w:space="0"/>
                                    <w:left w:val="dashSmallGap" w:color="FF7415" w:sz="12" w:space="0"/>
                                    <w:bottom w:val="dashSmallGap" w:color="FF7415" w:sz="12"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r>
                                    <w:rPr>
                                      <w:rFonts w:ascii="Aptos" w:hAnsi="Aptos"/>
                                      <w:b/>
                                      <w:bCs/>
                                      <w:sz w:val="18"/>
                                      <w:szCs w:val="18"/>
                                      <w:lang w:val="en-US"/>
                                    </w:rPr>
                                    <w:t>.</w:t>
                                  </w:r>
                                  <w:r>
                                    <w:rPr>
                                      <w:rFonts w:ascii="Aptos" w:hAnsi="Aptos"/>
                                      <w:b/>
                                      <w:bCs/>
                                      <w:sz w:val="18"/>
                                      <w:szCs w:val="18"/>
                                    </w:rPr>
                                    <w:t xml:space="preserve">056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r>
                                    <w:rPr>
                                      <w:rFonts w:ascii="Aptos" w:hAnsi="Aptos"/>
                                      <w:b/>
                                      <w:bCs/>
                                      <w:sz w:val="18"/>
                                      <w:szCs w:val="18"/>
                                      <w:lang w:val="en-US"/>
                                    </w:rPr>
                                    <w:t>.</w:t>
                                  </w:r>
                                  <w:r>
                                    <w:rPr>
                                      <w:rFonts w:ascii="Aptos" w:hAnsi="Aptos"/>
                                      <w:b/>
                                      <w:bCs/>
                                      <w:sz w:val="18"/>
                                      <w:szCs w:val="18"/>
                                    </w:rPr>
                                    <w:t xml:space="preserve">070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p>
                              </w:tc>
                              <w:tc>
                                <w:tcPr>
                                  <w:tcW w:w="1152" w:type="dxa"/>
                                  <w:tcBorders>
                                    <w:top w:val="dashSmallGap" w:color="00ADBF" w:sz="4" w:space="0"/>
                                    <w:left w:val="dashSmallGap" w:color="FF7415" w:sz="12" w:space="0"/>
                                    <w:bottom w:val="dashSmallGap" w:color="FF7415" w:sz="12"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301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eastAsia="el-GR"/>
                                    </w:rPr>
                                  </w:pPr>
                                  <w:r>
                                    <w:rPr>
                                      <w:rFonts w:ascii="Aptos" w:hAnsi="Aptos"/>
                                      <w:b/>
                                      <w:bCs/>
                                      <w:sz w:val="18"/>
                                      <w:szCs w:val="18"/>
                                    </w:rPr>
                                    <w:t xml:space="preserve">252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+19%</w:t>
                                  </w:r>
                                </w:p>
                              </w:tc>
                            </w:tr>
                          </w:tbl>
                          <w:p>
                            <w:pPr>
                              <w:jc w:val="both"/>
                              <w:rPr>
                                <w:rFonts w:ascii="Aptos" w:hAnsi="Aptos" w:eastAsia="Times New Roman" w:cs="Segoe UI"/>
                                <w:kern w:val="24"/>
                                <w:sz w:val="20"/>
                                <w:szCs w:val="20"/>
                                <w:lang w:eastAsia="el-GR"/>
                              </w:rPr>
                            </w:pPr>
                          </w:p>
                          <w:tbl>
                            <w:tblPr>
                              <w:tblStyle w:val="4"/>
                              <w:tblW w:w="9936" w:type="dxa"/>
                              <w:tblInd w:w="0" w:type="dxa"/>
                              <w:tblLayout w:type="autofit"/>
                              <w:tblCellMar>
                                <w:top w:w="0" w:type="dxa"/>
                                <w:left w:w="0" w:type="dxa"/>
                                <w:bottom w:w="0" w:type="dxa"/>
                                <w:right w:w="0" w:type="dxa"/>
                              </w:tblCellMar>
                            </w:tblPr>
                            <w:tblGrid>
                              <w:gridCol w:w="2947"/>
                              <w:gridCol w:w="1229"/>
                              <w:gridCol w:w="1229"/>
                              <w:gridCol w:w="1137"/>
                              <w:gridCol w:w="1141"/>
                              <w:gridCol w:w="1123"/>
                              <w:gridCol w:w="1130"/>
                            </w:tblGrid>
                            <w:tr>
                              <w:tblPrEx>
                                <w:tblCellMar>
                                  <w:top w:w="0" w:type="dxa"/>
                                  <w:left w:w="0" w:type="dxa"/>
                                  <w:bottom w:w="0" w:type="dxa"/>
                                  <w:right w:w="0" w:type="dxa"/>
                                </w:tblCellMar>
                              </w:tblPrEx>
                              <w:trPr>
                                <w:trHeight w:val="288" w:hRule="atLeast"/>
                              </w:trPr>
                              <w:tc>
                                <w:tcPr>
                                  <w:tcW w:w="3024" w:type="dxa"/>
                                  <w:tcBorders>
                                    <w:top w:val="nil"/>
                                    <w:left w:val="nil"/>
                                    <w:bottom w:val="dashSmallGap" w:color="00ADBF" w:sz="4" w:space="0"/>
                                    <w:right w:val="dashSmallGap" w:color="FF7415" w:sz="12" w:space="0"/>
                                  </w:tcBorders>
                                  <w:shd w:val="clear" w:color="auto" w:fill="007B85"/>
                                  <w:tcMar>
                                    <w:top w:w="15" w:type="dxa"/>
                                    <w:left w:w="144" w:type="dxa"/>
                                    <w:bottom w:w="0" w:type="dxa"/>
                                    <w:right w:w="144" w:type="dxa"/>
                                  </w:tcMar>
                                  <w:vAlign w:val="center"/>
                                </w:tcPr>
                                <w:p>
                                  <w:pPr>
                                    <w:rPr>
                                      <w:rFonts w:ascii="Aptos" w:hAnsi="Aptos" w:eastAsia="Times New Roman" w:cs="Arial"/>
                                      <w:b/>
                                      <w:bCs/>
                                      <w:color w:val="FFFFFF" w:themeColor="background1"/>
                                      <w:kern w:val="24"/>
                                      <w:sz w:val="18"/>
                                      <w:szCs w:val="18"/>
                                      <w:lang w:eastAsia="el-GR"/>
                                      <w14:textFill>
                                        <w14:solidFill>
                                          <w14:schemeClr w14:val="bg1"/>
                                        </w14:solidFill>
                                      </w14:textFill>
                                    </w:rPr>
                                  </w:pPr>
                                  <w:r>
                                    <w:rPr>
                                      <w:rFonts w:ascii="Aptos" w:hAnsi="Aptos" w:eastAsia="Times New Roman" w:cs="Arial"/>
                                      <w:b/>
                                      <w:bCs/>
                                      <w:color w:val="FFFFFF" w:themeColor="background1"/>
                                      <w:kern w:val="24"/>
                                      <w:sz w:val="18"/>
                                      <w:szCs w:val="18"/>
                                      <w:lang w:eastAsia="el-GR"/>
                                      <w14:textFill>
                                        <w14:solidFill>
                                          <w14:schemeClr w14:val="bg1"/>
                                        </w14:solidFill>
                                      </w14:textFill>
                                    </w:rPr>
                                    <w:t xml:space="preserve">Κατάσταση Αποτελεσμάτων | </w:t>
                                  </w:r>
                                </w:p>
                                <w:p>
                                  <w:pPr>
                                    <w:rPr>
                                      <w:rFonts w:ascii="Aptos" w:hAnsi="Aptos" w:eastAsia="Times New Roman" w:cs="Arial"/>
                                      <w:color w:val="FFFFFF" w:themeColor="background1"/>
                                      <w:sz w:val="18"/>
                                      <w:szCs w:val="18"/>
                                      <w:lang w:eastAsia="el-GR"/>
                                      <w14:textFill>
                                        <w14:solidFill>
                                          <w14:schemeClr w14:val="bg1"/>
                                        </w14:solidFill>
                                      </w14:textFill>
                                    </w:rPr>
                                  </w:pPr>
                                  <w:r>
                                    <w:rPr>
                                      <w:rFonts w:ascii="Aptos" w:hAnsi="Aptos" w:eastAsia="Times New Roman" w:cs="Arial"/>
                                      <w:b/>
                                      <w:bCs/>
                                      <w:color w:val="FFFFFF" w:themeColor="background1"/>
                                      <w:kern w:val="24"/>
                                      <w:sz w:val="18"/>
                                      <w:szCs w:val="18"/>
                                      <w:lang w:eastAsia="el-GR"/>
                                      <w14:textFill>
                                        <w14:solidFill>
                                          <w14:schemeClr w14:val="bg1"/>
                                        </w14:solidFill>
                                      </w14:textFill>
                                    </w:rPr>
                                    <w:t>Διεθνείς δραστηρ/τες (€ εκατ.)</w:t>
                                  </w:r>
                                </w:p>
                              </w:tc>
                              <w:tc>
                                <w:tcPr>
                                  <w:tcW w:w="1152" w:type="dxa"/>
                                  <w:tcBorders>
                                    <w:top w:val="dashSmallGap" w:color="FF7415" w:sz="12" w:space="0"/>
                                    <w:left w:val="dashSmallGap" w:color="FF7415" w:sz="12" w:space="0"/>
                                    <w:bottom w:val="dashSmallGap" w:color="00ADBF" w:sz="4" w:space="0"/>
                                    <w:right w:val="dashSmallGap" w:color="FF7415" w:sz="12" w:space="0"/>
                                  </w:tcBorders>
                                  <w:shd w:val="clear" w:color="auto" w:fill="007B85"/>
                                  <w:tcMar>
                                    <w:top w:w="15" w:type="dxa"/>
                                    <w:left w:w="144" w:type="dxa"/>
                                    <w:bottom w:w="0" w:type="dxa"/>
                                    <w:right w:w="144" w:type="dxa"/>
                                  </w:tcMar>
                                  <w:vAlign w:val="center"/>
                                </w:tcPr>
                                <w:p>
                                  <w:pPr>
                                    <w:jc w:val="right"/>
                                    <w:rPr>
                                      <w:rFonts w:ascii="Aptos" w:hAnsi="Aptos" w:eastAsia="Times New Roman" w:cs="Arial"/>
                                      <w:color w:val="FFFFFF" w:themeColor="background1"/>
                                      <w:sz w:val="18"/>
                                      <w:szCs w:val="18"/>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Οικονομικό Έτος 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dashSmallGap" w:color="FF7415" w:sz="12" w:space="0"/>
                                    <w:bottom w:val="dashSmallGap" w:color="00ADBF" w:sz="4" w:space="0"/>
                                    <w:right w:val="nil"/>
                                  </w:tcBorders>
                                  <w:shd w:val="clear" w:color="auto" w:fill="007B85"/>
                                  <w:tcMar>
                                    <w:top w:w="15" w:type="dxa"/>
                                    <w:left w:w="144" w:type="dxa"/>
                                    <w:bottom w:w="0" w:type="dxa"/>
                                    <w:right w:w="144" w:type="dxa"/>
                                  </w:tcMar>
                                  <w:vAlign w:val="center"/>
                                </w:tcPr>
                                <w:p>
                                  <w:pPr>
                                    <w:jc w:val="right"/>
                                    <w:rPr>
                                      <w:rFonts w:ascii="Aptos" w:hAnsi="Aptos" w:eastAsia="Times New Roman" w:cs="Arial"/>
                                      <w:color w:val="FFFFFF" w:themeColor="background1"/>
                                      <w:sz w:val="18"/>
                                      <w:szCs w:val="18"/>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Οικονομικό Έτος 202</w:t>
                                  </w:r>
                                  <w:r>
                                    <w:rPr>
                                      <w:rFonts w:ascii="Aptos" w:hAnsi="Aptos" w:eastAsia="Times New Roman" w:cs="Arial"/>
                                      <w:b/>
                                      <w:bCs/>
                                      <w:color w:val="FFFFFF" w:themeColor="background1"/>
                                      <w:kern w:val="24"/>
                                      <w:sz w:val="16"/>
                                      <w:szCs w:val="16"/>
                                      <w:lang w:eastAsia="el-GR"/>
                                      <w14:textFill>
                                        <w14:solidFill>
                                          <w14:schemeClr w14:val="bg1"/>
                                        </w14:solidFill>
                                      </w14:textFill>
                                    </w:rPr>
                                    <w:t>2</w:t>
                                  </w:r>
                                </w:p>
                              </w:tc>
                              <w:tc>
                                <w:tcPr>
                                  <w:tcW w:w="1152" w:type="dxa"/>
                                  <w:tcBorders>
                                    <w:top w:val="nil"/>
                                    <w:left w:val="nil"/>
                                    <w:bottom w:val="dashSmallGap" w:color="00ADBF" w:sz="4" w:space="0"/>
                                    <w:right w:val="dashSmallGap" w:color="FF7415" w:sz="12" w:space="0"/>
                                  </w:tcBorders>
                                  <w:shd w:val="clear" w:color="auto" w:fill="007B85"/>
                                  <w:tcMar>
                                    <w:top w:w="15" w:type="dxa"/>
                                    <w:left w:w="144" w:type="dxa"/>
                                    <w:bottom w:w="0" w:type="dxa"/>
                                    <w:right w:w="144" w:type="dxa"/>
                                  </w:tcMar>
                                  <w:vAlign w:val="center"/>
                                </w:tcPr>
                                <w:p>
                                  <w:pPr>
                                    <w:jc w:val="right"/>
                                    <w:rPr>
                                      <w:rFonts w:ascii="Aptos" w:hAnsi="Aptos" w:eastAsia="Times New Roman" w:cs="Arial"/>
                                      <w:color w:val="FFFFFF" w:themeColor="background1"/>
                                      <w:sz w:val="18"/>
                                      <w:szCs w:val="18"/>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 (%)</w:t>
                                  </w:r>
                                </w:p>
                              </w:tc>
                              <w:tc>
                                <w:tcPr>
                                  <w:tcW w:w="1152" w:type="dxa"/>
                                  <w:tcBorders>
                                    <w:top w:val="dashSmallGap" w:color="FF7415" w:sz="12" w:space="0"/>
                                    <w:left w:val="dashSmallGap" w:color="FF7415" w:sz="12" w:space="0"/>
                                    <w:bottom w:val="dashSmallGap" w:color="00ADBF" w:sz="4" w:space="0"/>
                                    <w:right w:val="dashSmallGap" w:color="FF7415" w:sz="12" w:space="0"/>
                                  </w:tcBorders>
                                  <w:shd w:val="clear" w:color="auto" w:fill="007B85"/>
                                  <w:tcMar>
                                    <w:top w:w="15" w:type="dxa"/>
                                    <w:left w:w="144" w:type="dxa"/>
                                    <w:bottom w:w="0" w:type="dxa"/>
                                    <w:right w:w="144" w:type="dxa"/>
                                  </w:tcMar>
                                  <w:vAlign w:val="center"/>
                                </w:tcPr>
                                <w:p>
                                  <w:pPr>
                                    <w:jc w:val="right"/>
                                    <w:rPr>
                                      <w:rFonts w:ascii="Aptos" w:hAnsi="Aptos" w:eastAsia="Times New Roman" w:cs="Arial"/>
                                      <w:color w:val="FFFFFF" w:themeColor="background1"/>
                                      <w:sz w:val="18"/>
                                      <w:szCs w:val="18"/>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 τρίμηνο 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dashSmallGap" w:color="FF7415" w:sz="12" w:space="0"/>
                                    <w:bottom w:val="dashSmallGap" w:color="00ADBF" w:sz="4" w:space="0"/>
                                    <w:right w:val="nil"/>
                                  </w:tcBorders>
                                  <w:shd w:val="clear" w:color="auto" w:fill="007B85"/>
                                  <w:vAlign w:val="center"/>
                                </w:tcPr>
                                <w:p>
                                  <w:pPr>
                                    <w:jc w:val="right"/>
                                    <w:rPr>
                                      <w:rFonts w:ascii="Aptos" w:hAnsi="Aptos" w:eastAsia="Times New Roman" w:cs="Arial"/>
                                      <w:b/>
                                      <w:bCs/>
                                      <w:color w:val="FFFFFF" w:themeColor="background1"/>
                                      <w:kern w:val="24"/>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Γ’ τρίμηνο</w:t>
                                  </w:r>
                                  <w:r>
                                    <w:rPr>
                                      <w:rFonts w:ascii="Aptos" w:hAnsi="Aptos" w:eastAsia="Times New Roman" w:cs="Arial"/>
                                      <w:b/>
                                      <w:bCs/>
                                      <w:color w:val="FFFFFF" w:themeColor="background1"/>
                                      <w:kern w:val="24"/>
                                      <w:sz w:val="16"/>
                                      <w:szCs w:val="16"/>
                                      <w:lang w:eastAsia="el-GR"/>
                                      <w14:textFill>
                                        <w14:solidFill>
                                          <w14:schemeClr w14:val="bg1"/>
                                        </w14:solidFill>
                                      </w14:textFill>
                                    </w:rPr>
                                    <w:t xml:space="preserve"> </w:t>
                                  </w:r>
                                </w:p>
                                <w:p>
                                  <w:pPr>
                                    <w:jc w:val="right"/>
                                    <w:rPr>
                                      <w:rFonts w:ascii="Aptos" w:hAnsi="Aptos" w:eastAsia="Times New Roman" w:cs="Arial"/>
                                      <w:b/>
                                      <w:bCs/>
                                      <w:color w:val="FFFFFF" w:themeColor="background1"/>
                                      <w:kern w:val="24"/>
                                      <w:sz w:val="18"/>
                                      <w:szCs w:val="18"/>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eastAsia="el-GR"/>
                                      <w14:textFill>
                                        <w14:solidFill>
                                          <w14:schemeClr w14:val="bg1"/>
                                        </w14:solidFill>
                                      </w14:textFill>
                                    </w:rPr>
                                    <w:t>2023</w:t>
                                  </w:r>
                                </w:p>
                              </w:tc>
                              <w:tc>
                                <w:tcPr>
                                  <w:tcW w:w="1152" w:type="dxa"/>
                                  <w:tcBorders>
                                    <w:top w:val="nil"/>
                                    <w:left w:val="nil"/>
                                    <w:bottom w:val="dashSmallGap" w:color="00ADBF" w:sz="4" w:space="0"/>
                                    <w:right w:val="nil"/>
                                  </w:tcBorders>
                                  <w:shd w:val="clear" w:color="auto" w:fill="007B85"/>
                                  <w:tcMar>
                                    <w:top w:w="15" w:type="dxa"/>
                                    <w:left w:w="144" w:type="dxa"/>
                                    <w:bottom w:w="0" w:type="dxa"/>
                                    <w:right w:w="144" w:type="dxa"/>
                                  </w:tcMar>
                                  <w:vAlign w:val="center"/>
                                </w:tcPr>
                                <w:p>
                                  <w:pPr>
                                    <w:jc w:val="right"/>
                                    <w:rPr>
                                      <w:rFonts w:ascii="Aptos" w:hAnsi="Aptos" w:eastAsia="Times New Roman" w:cs="Arial"/>
                                      <w:color w:val="FFFFFF" w:themeColor="background1"/>
                                      <w:sz w:val="18"/>
                                      <w:szCs w:val="18"/>
                                      <w:lang w:eastAsia="el-GR"/>
                                      <w14:textFill>
                                        <w14:solidFill>
                                          <w14:schemeClr w14:val="bg1"/>
                                        </w14:solidFill>
                                      </w14:textFill>
                                    </w:rPr>
                                  </w:pPr>
                                  <w:r>
                                    <w:rPr>
                                      <w:rFonts w:ascii="Aptos" w:hAnsi="Aptos" w:eastAsia="Times New Roman" w:cs="Arial"/>
                                      <w:b/>
                                      <w:bCs/>
                                      <w:color w:val="FFFFFF" w:themeColor="background1"/>
                                      <w:kern w:val="24"/>
                                      <w:sz w:val="16"/>
                                      <w:szCs w:val="16"/>
                                      <w:lang w:eastAsia="el-GR"/>
                                      <w14:textFill>
                                        <w14:solidFill>
                                          <w14:schemeClr w14:val="bg1"/>
                                        </w14:solidFill>
                                      </w14:textFill>
                                    </w:rPr>
                                    <w:t>Δ (%)</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kern w:val="24"/>
                                      <w:sz w:val="18"/>
                                      <w:szCs w:val="18"/>
                                      <w:lang w:val="en-US" w:eastAsia="el-GR"/>
                                    </w:rPr>
                                  </w:pPr>
                                  <w:r>
                                    <w:rPr>
                                      <w:rFonts w:ascii="Aptos" w:hAnsi="Aptos"/>
                                      <w:sz w:val="16"/>
                                      <w:szCs w:val="16"/>
                                    </w:rPr>
                                    <w:t>Καθαρά έσοδα από τόκους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103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76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lang w:val="en-US"/>
                                    </w:rPr>
                                    <w:t>+</w:t>
                                  </w:r>
                                  <w:r>
                                    <w:rPr>
                                      <w:rFonts w:ascii="Aptos" w:hAnsi="Aptos"/>
                                      <w:sz w:val="18"/>
                                      <w:szCs w:val="18"/>
                                    </w:rPr>
                                    <w:t>35%</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29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25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5"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+16%</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sz w:val="16"/>
                                      <w:szCs w:val="16"/>
                                    </w:rPr>
                                    <w:t>Καθαρά έσοδα από προμήθειες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15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17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-13%</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4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4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5"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-5%</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b/>
                                      <w:bCs/>
                                      <w:sz w:val="16"/>
                                      <w:szCs w:val="16"/>
                                    </w:rPr>
                                    <w:t>Οργανικά έσοδα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118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94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+26%</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33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vAlign w:val="center"/>
                                </w:tcPr>
                                <w:p>
                                  <w:pPr>
                                    <w:jc w:val="right"/>
                                    <w:rPr>
                                      <w:rFonts w:ascii="Aptos" w:hAnsi="Aptos" w:eastAsia="Times New Roman" w:cs="Arial"/>
                                      <w:b/>
                                      <w:bCs/>
                                      <w:kern w:val="24"/>
                                      <w:sz w:val="18"/>
                                      <w:szCs w:val="18"/>
                                      <w:lang w:eastAsia="el-GR"/>
                                    </w:rPr>
                                  </w:pPr>
                                  <w:r>
                                    <w:rPr>
                                      <w:rFonts w:ascii="Aptos" w:hAnsi="Aptos"/>
                                      <w:b/>
                                      <w:bCs/>
                                      <w:sz w:val="18"/>
                                      <w:szCs w:val="18"/>
                                    </w:rPr>
                                    <w:t xml:space="preserve">29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+13%</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sz w:val="16"/>
                                      <w:szCs w:val="16"/>
                                    </w:rPr>
                                    <w:t>Έσοδα από χρηματοοικονομικές πράξεις και λοιπά έσοδα1</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12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34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-64%</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eastAsia="el-GR"/>
                                    </w:rPr>
                                  </w:pPr>
                                  <w:r>
                                    <w:rPr>
                                      <w:rFonts w:ascii="Aptos" w:hAnsi="Aptos"/>
                                      <w:sz w:val="18"/>
                                      <w:szCs w:val="18"/>
                                    </w:rPr>
                                    <w:t xml:space="preserve">0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-100%</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b/>
                                      <w:bCs/>
                                      <w:sz w:val="16"/>
                                      <w:szCs w:val="16"/>
                                    </w:rPr>
                                    <w:t xml:space="preserve">Καθαρά λειτουργικά έσοδα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130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128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+2%</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33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b/>
                                      <w:bCs/>
                                      <w:sz w:val="18"/>
                                      <w:szCs w:val="18"/>
                                    </w:rPr>
                                    <w:t xml:space="preserve">29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+12%</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sz w:val="16"/>
                                      <w:szCs w:val="16"/>
                                    </w:rPr>
                                    <w:t>Λειτουργικές δαπάνες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(53)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(53)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-1%</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(14)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(13)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+11%</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b/>
                                      <w:bCs/>
                                      <w:sz w:val="16"/>
                                      <w:szCs w:val="16"/>
                                    </w:rPr>
                                    <w:t>Οργανικά κέρδη / (ζημίες) προ προβλέψεων</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65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41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+60%</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19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b/>
                                      <w:bCs/>
                                      <w:sz w:val="18"/>
                                      <w:szCs w:val="18"/>
                                    </w:rPr>
                                    <w:t xml:space="preserve">16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+15%</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b/>
                                      <w:bCs/>
                                      <w:sz w:val="16"/>
                                      <w:szCs w:val="16"/>
                                    </w:rPr>
                                    <w:t>Κέρδη / (ζημίες) προ προβλέψεων</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77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75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+3%</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19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b/>
                                      <w:bCs/>
                                      <w:sz w:val="18"/>
                                      <w:szCs w:val="18"/>
                                    </w:rPr>
                                    <w:t xml:space="preserve">17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+13%</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sz w:val="16"/>
                                      <w:szCs w:val="16"/>
                                    </w:rPr>
                                    <w:t>Προβλέψεις για επισφαλή δάνεια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(17)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(8)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&gt;100%</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(1)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eastAsia="el-GR"/>
                                    </w:rPr>
                                  </w:pPr>
                                  <w:r>
                                    <w:rPr>
                                      <w:rFonts w:ascii="Aptos" w:hAnsi="Aptos"/>
                                      <w:sz w:val="18"/>
                                      <w:szCs w:val="18"/>
                                    </w:rPr>
                                    <w:t xml:space="preserve">(5)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-87%</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b/>
                                      <w:bCs/>
                                      <w:sz w:val="16"/>
                                      <w:szCs w:val="16"/>
                                    </w:rPr>
                                    <w:t>Οργανικά κέρδη / (ζημίες)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48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33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+45%</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18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b/>
                                      <w:bCs/>
                                      <w:sz w:val="18"/>
                                      <w:szCs w:val="18"/>
                                    </w:rPr>
                                    <w:t xml:space="preserve">11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+64%</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b/>
                                      <w:bCs/>
                                      <w:sz w:val="16"/>
                                      <w:szCs w:val="16"/>
                                    </w:rPr>
                                    <w:t>Λειτουργικά κέρδη / (ζημίες)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60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67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-11%</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18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b/>
                                      <w:bCs/>
                                      <w:sz w:val="18"/>
                                      <w:szCs w:val="18"/>
                                    </w:rPr>
                                    <w:t xml:space="preserve">11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+60%</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sz w:val="16"/>
                                      <w:szCs w:val="16"/>
                                    </w:rPr>
                                    <w:t xml:space="preserve">Φόροι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(6)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(6)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+3%</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(2)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eastAsia="el-GR"/>
                                    </w:rPr>
                                  </w:pPr>
                                  <w:r>
                                    <w:rPr>
                                      <w:rFonts w:ascii="Aptos" w:hAnsi="Aptos"/>
                                      <w:sz w:val="18"/>
                                      <w:szCs w:val="18"/>
                                    </w:rPr>
                                    <w:t xml:space="preserve">(1)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+80%</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b/>
                                      <w:bCs/>
                                      <w:sz w:val="16"/>
                                      <w:szCs w:val="16"/>
                                    </w:rPr>
                                    <w:t>Οργανικά κέρδη / (ζημίες) μετά από φόρους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41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27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+54%</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16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vAlign w:val="center"/>
                                </w:tcPr>
                                <w:p>
                                  <w:pPr>
                                    <w:jc w:val="right"/>
                                    <w:rPr>
                                      <w:rFonts w:ascii="Aptos" w:hAnsi="Aptos" w:eastAsia="Times New Roman" w:cs="Arial"/>
                                      <w:b/>
                                      <w:bCs/>
                                      <w:kern w:val="24"/>
                                      <w:sz w:val="18"/>
                                      <w:szCs w:val="18"/>
                                      <w:lang w:eastAsia="el-GR"/>
                                    </w:rPr>
                                  </w:pPr>
                                  <w:r>
                                    <w:rPr>
                                      <w:rFonts w:ascii="Aptos" w:hAnsi="Aptos"/>
                                      <w:b/>
                                      <w:bCs/>
                                      <w:sz w:val="18"/>
                                      <w:szCs w:val="18"/>
                                    </w:rPr>
                                    <w:t xml:space="preserve">10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+63%</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b/>
                                      <w:bCs/>
                                      <w:sz w:val="16"/>
                                      <w:szCs w:val="16"/>
                                    </w:rPr>
                                    <w:t>Κέρδη / (ζημίες) μετά από φόρους που αναλογούν στους μετόχους της Τράπεζας</w:t>
                                  </w:r>
                                </w:p>
                              </w:tc>
                              <w:tc>
                                <w:tcPr>
                                  <w:tcW w:w="1152" w:type="dxa"/>
                                  <w:tcBorders>
                                    <w:top w:val="dashSmallGap" w:color="00ADBF" w:sz="4" w:space="0"/>
                                    <w:left w:val="dashSmallGap" w:color="FF7415" w:sz="12" w:space="0"/>
                                    <w:bottom w:val="dashSmallGap" w:color="FF7415" w:sz="12"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50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50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+0%</w:t>
                                  </w:r>
                                </w:p>
                              </w:tc>
                              <w:tc>
                                <w:tcPr>
                                  <w:tcW w:w="1152" w:type="dxa"/>
                                  <w:tcBorders>
                                    <w:top w:val="dashSmallGap" w:color="00ADBF" w:sz="4" w:space="0"/>
                                    <w:left w:val="dashSmallGap" w:color="FF7415" w:sz="12" w:space="0"/>
                                    <w:bottom w:val="dashSmallGap" w:color="FF7415" w:sz="12"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14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eastAsia="el-GR"/>
                                    </w:rPr>
                                  </w:pPr>
                                  <w:r>
                                    <w:rPr>
                                      <w:rFonts w:ascii="Aptos" w:hAnsi="Aptos"/>
                                      <w:b/>
                                      <w:bCs/>
                                      <w:sz w:val="18"/>
                                      <w:szCs w:val="18"/>
                                    </w:rPr>
                                    <w:t xml:space="preserve">10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+46%</w:t>
                                  </w:r>
                                </w:p>
                              </w:tc>
                            </w:tr>
                          </w:tbl>
                          <w:p>
                            <w:pPr>
                              <w:jc w:val="both"/>
                              <w:rPr>
                                <w:rFonts w:ascii="Aptos" w:hAnsi="Aptos" w:eastAsia="Times New Roman" w:cs="Segoe UI"/>
                                <w:kern w:val="24"/>
                                <w:sz w:val="12"/>
                                <w:szCs w:val="12"/>
                                <w:lang w:val="en-US" w:eastAsia="el-GR"/>
                              </w:rPr>
                            </w:pPr>
                          </w:p>
                          <w:p>
                            <w:pPr>
                              <w:jc w:val="both"/>
                              <w:textAlignment w:val="baseline"/>
                              <w:rPr>
                                <w:rFonts w:ascii="Aptos" w:hAnsi="Aptos" w:cs="Segoe UI"/>
                                <w:kern w:val="24"/>
                                <w:sz w:val="7"/>
                                <w:szCs w:val="7"/>
                                <w:lang w:val="en-US"/>
                              </w:rPr>
                            </w:pPr>
                            <w:r>
                              <w:rPr>
                                <w:rFonts w:ascii="Aptos" w:hAnsi="Aptos" w:cs="Segoe UI"/>
                                <w:kern w:val="24"/>
                                <w:sz w:val="7"/>
                                <w:szCs w:val="7"/>
                                <w:lang w:val="en-US"/>
                              </w:rPr>
                              <w:br w:type="page"/>
                            </w:r>
                          </w:p>
                          <w:p>
                            <w:pPr>
                              <w:spacing w:before="120"/>
                              <w:jc w:val="both"/>
                              <w:rPr>
                                <w:rFonts w:ascii="Aptos Light" w:hAnsi="Aptos Light" w:eastAsiaTheme="minorEastAsia"/>
                                <w:kern w:val="24"/>
                                <w:sz w:val="16"/>
                                <w:szCs w:val="16"/>
                                <w:lang w:eastAsia="en-GB"/>
                              </w:rPr>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0.05pt;height:758.25pt;width:509.7pt;mso-position-horizontal-relative:margin;z-index:251692032;mso-width-relative:page;mso-height-relative:page;" fillcolor="#F5F9F6" filled="t" stroked="f" coordsize="21600,21600" o:gfxdata="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EDq4l2gAAAAgBAAAPAAAAAAAAAAEAIAAAACIAAABkcnMvZG93bnJldi54bWxQSwECFAAUAAAA&#10;CACHTuJAzRf45iUCAABHBAAADgAAAAAAAAABACAAAAApAQAAZHJzL2Uyb0RvYy54bWxQSwUGAAAA&#10;AAYABgBZAQAAwAUAAAAA&#10;">
                <v:fill on="t" focussize="0,0"/>
                <v:stroke on="f"/>
                <v:imagedata o:title=""/>
                <o:lock v:ext="edit" aspectratio="f"/>
                <v:textbox>
                  <w:txbxContent>
                    <w:tbl>
                      <w:tblPr>
                        <w:tblStyle w:val="4"/>
                        <w:tblW w:w="9936" w:type="dxa"/>
                        <w:tblInd w:w="0" w:type="dxa"/>
                        <w:tblLayout w:type="autofit"/>
                        <w:tblCellMar>
                          <w:top w:w="0" w:type="dxa"/>
                          <w:left w:w="0" w:type="dxa"/>
                          <w:bottom w:w="0" w:type="dxa"/>
                          <w:right w:w="0" w:type="dxa"/>
                        </w:tblCellMar>
                      </w:tblPr>
                      <w:tblGrid>
                        <w:gridCol w:w="2944"/>
                        <w:gridCol w:w="1229"/>
                        <w:gridCol w:w="1229"/>
                        <w:gridCol w:w="1136"/>
                        <w:gridCol w:w="1140"/>
                        <w:gridCol w:w="1122"/>
                        <w:gridCol w:w="1136"/>
                      </w:tblGrid>
                      <w:tr>
                        <w:tblPrEx>
                          <w:tblCellMar>
                            <w:top w:w="0" w:type="dxa"/>
                            <w:left w:w="0" w:type="dxa"/>
                            <w:bottom w:w="0" w:type="dxa"/>
                            <w:right w:w="0" w:type="dxa"/>
                          </w:tblCellMar>
                        </w:tblPrEx>
                        <w:trPr>
                          <w:trHeight w:val="288" w:hRule="atLeast"/>
                        </w:trPr>
                        <w:tc>
                          <w:tcPr>
                            <w:tcW w:w="3024" w:type="dxa"/>
                            <w:tcBorders>
                              <w:top w:val="nil"/>
                              <w:left w:val="nil"/>
                              <w:bottom w:val="dashSmallGap" w:color="00ADBF" w:sz="4" w:space="0"/>
                              <w:right w:val="dashSmallGap" w:color="FF7415" w:sz="12" w:space="0"/>
                            </w:tcBorders>
                            <w:shd w:val="clear" w:color="auto" w:fill="007B85"/>
                            <w:tcMar>
                              <w:top w:w="15" w:type="dxa"/>
                              <w:left w:w="144" w:type="dxa"/>
                              <w:bottom w:w="0" w:type="dxa"/>
                              <w:right w:w="144" w:type="dxa"/>
                            </w:tcMar>
                          </w:tcPr>
                          <w:p>
                            <w:pPr>
                              <w:rPr>
                                <w:rFonts w:ascii="Aptos" w:hAnsi="Aptos" w:eastAsia="Times New Roman" w:cs="Arial"/>
                                <w:b/>
                                <w:bCs/>
                                <w:color w:val="FFFFFF" w:themeColor="background1"/>
                                <w:kern w:val="24"/>
                                <w:sz w:val="18"/>
                                <w:szCs w:val="18"/>
                                <w:lang w:val="en-GB" w:eastAsia="el-GR"/>
                                <w14:textFill>
                                  <w14:solidFill>
                                    <w14:schemeClr w14:val="bg1"/>
                                  </w14:solidFill>
                                </w14:textFill>
                              </w:rPr>
                            </w:pPr>
                            <w:r>
                              <w:rPr>
                                <w:rFonts w:ascii="Aptos" w:hAnsi="Aptos" w:eastAsia="Times New Roman" w:cs="Arial"/>
                                <w:b/>
                                <w:bCs/>
                                <w:color w:val="FFFFFF" w:themeColor="background1"/>
                                <w:kern w:val="24"/>
                                <w:sz w:val="18"/>
                                <w:szCs w:val="18"/>
                                <w:lang w:val="en-GB" w:eastAsia="el-GR"/>
                                <w14:textFill>
                                  <w14:solidFill>
                                    <w14:schemeClr w14:val="bg1"/>
                                  </w14:solidFill>
                                </w14:textFill>
                              </w:rPr>
                              <w:t xml:space="preserve">Κατάσταση Αποτελεσμάτων | </w:t>
                            </w:r>
                          </w:p>
                          <w:p>
                            <w:pPr>
                              <w:rPr>
                                <w:rFonts w:ascii="Aptos" w:hAnsi="Aptos" w:eastAsia="Times New Roman" w:cs="Arial"/>
                                <w:b/>
                                <w:bCs/>
                                <w:color w:val="FFFFFF" w:themeColor="background1"/>
                                <w:kern w:val="24"/>
                                <w:sz w:val="18"/>
                                <w:szCs w:val="18"/>
                                <w:lang w:eastAsia="el-GR"/>
                                <w14:textFill>
                                  <w14:solidFill>
                                    <w14:schemeClr w14:val="bg1"/>
                                  </w14:solidFill>
                                </w14:textFill>
                              </w:rPr>
                            </w:pPr>
                            <w:r>
                              <w:rPr>
                                <w:rFonts w:ascii="Aptos" w:hAnsi="Aptos" w:eastAsia="Times New Roman" w:cs="Arial"/>
                                <w:b/>
                                <w:bCs/>
                                <w:color w:val="FFFFFF" w:themeColor="background1"/>
                                <w:kern w:val="24"/>
                                <w:sz w:val="18"/>
                                <w:szCs w:val="18"/>
                                <w:lang w:eastAsia="el-GR"/>
                                <w14:textFill>
                                  <w14:solidFill>
                                    <w14:schemeClr w14:val="bg1"/>
                                  </w14:solidFill>
                                </w14:textFill>
                              </w:rPr>
                              <w:t>Ελλάδα (€ εκατ.)</w:t>
                            </w:r>
                          </w:p>
                        </w:tc>
                        <w:tc>
                          <w:tcPr>
                            <w:tcW w:w="1152" w:type="dxa"/>
                            <w:tcBorders>
                              <w:top w:val="dashSmallGap" w:color="FF7415" w:sz="12" w:space="0"/>
                              <w:left w:val="dashSmallGap" w:color="FF7415" w:sz="12" w:space="0"/>
                              <w:bottom w:val="dashSmallGap" w:color="00ADBF" w:sz="4" w:space="0"/>
                              <w:right w:val="dashSmallGap" w:color="FF7415" w:sz="12" w:space="0"/>
                            </w:tcBorders>
                            <w:shd w:val="clear" w:color="auto" w:fill="007B85"/>
                            <w:tcMar>
                              <w:top w:w="15" w:type="dxa"/>
                              <w:left w:w="144" w:type="dxa"/>
                              <w:bottom w:w="0" w:type="dxa"/>
                              <w:right w:w="144" w:type="dxa"/>
                            </w:tcMar>
                            <w:vAlign w:val="center"/>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Οικονομικό Έτος 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dashSmallGap" w:color="FF7415" w:sz="12" w:space="0"/>
                              <w:bottom w:val="dashSmallGap" w:color="00ADBF" w:sz="4" w:space="0"/>
                              <w:right w:val="nil"/>
                            </w:tcBorders>
                            <w:shd w:val="clear" w:color="auto" w:fill="007B85"/>
                            <w:tcMar>
                              <w:top w:w="15" w:type="dxa"/>
                              <w:left w:w="144" w:type="dxa"/>
                              <w:bottom w:w="0" w:type="dxa"/>
                              <w:right w:w="144" w:type="dxa"/>
                            </w:tcMar>
                            <w:vAlign w:val="center"/>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Οικονομικό Έτος 202</w:t>
                            </w:r>
                            <w:r>
                              <w:rPr>
                                <w:rFonts w:ascii="Aptos" w:hAnsi="Aptos" w:eastAsia="Times New Roman" w:cs="Arial"/>
                                <w:b/>
                                <w:bCs/>
                                <w:color w:val="FFFFFF" w:themeColor="background1"/>
                                <w:kern w:val="24"/>
                                <w:sz w:val="16"/>
                                <w:szCs w:val="16"/>
                                <w:lang w:eastAsia="el-GR"/>
                                <w14:textFill>
                                  <w14:solidFill>
                                    <w14:schemeClr w14:val="bg1"/>
                                  </w14:solidFill>
                                </w14:textFill>
                              </w:rPr>
                              <w:t>2</w:t>
                            </w:r>
                          </w:p>
                        </w:tc>
                        <w:tc>
                          <w:tcPr>
                            <w:tcW w:w="1152" w:type="dxa"/>
                            <w:tcBorders>
                              <w:top w:val="nil"/>
                              <w:left w:val="nil"/>
                              <w:bottom w:val="dashSmallGap" w:color="00ADBF" w:sz="4" w:space="0"/>
                              <w:right w:val="dashSmallGap" w:color="FF7415" w:sz="12" w:space="0"/>
                            </w:tcBorders>
                            <w:shd w:val="clear" w:color="auto" w:fill="007B85"/>
                            <w:tcMar>
                              <w:top w:w="15" w:type="dxa"/>
                              <w:left w:w="144" w:type="dxa"/>
                              <w:bottom w:w="0" w:type="dxa"/>
                              <w:right w:w="144" w:type="dxa"/>
                            </w:tcMar>
                            <w:vAlign w:val="center"/>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 (%)</w:t>
                            </w:r>
                          </w:p>
                        </w:tc>
                        <w:tc>
                          <w:tcPr>
                            <w:tcW w:w="1152" w:type="dxa"/>
                            <w:tcBorders>
                              <w:top w:val="dashSmallGap" w:color="FF7415" w:sz="12" w:space="0"/>
                              <w:left w:val="dashSmallGap" w:color="FF7415" w:sz="12" w:space="0"/>
                              <w:bottom w:val="dashSmallGap" w:color="00ADBF" w:sz="4" w:space="0"/>
                              <w:right w:val="dashSmallGap" w:color="FF7415" w:sz="12" w:space="0"/>
                            </w:tcBorders>
                            <w:shd w:val="clear" w:color="auto" w:fill="007B85"/>
                            <w:tcMar>
                              <w:top w:w="15" w:type="dxa"/>
                              <w:left w:w="144" w:type="dxa"/>
                              <w:bottom w:w="0" w:type="dxa"/>
                              <w:right w:w="144" w:type="dxa"/>
                            </w:tcMar>
                            <w:vAlign w:val="center"/>
                          </w:tcPr>
                          <w:p>
                            <w:pPr>
                              <w:jc w:val="right"/>
                              <w:rPr>
                                <w:rFonts w:ascii="Aptos" w:hAnsi="Aptos" w:eastAsia="Times New Roman" w:cs="Arial"/>
                                <w:b/>
                                <w:bCs/>
                                <w:color w:val="FFFFFF" w:themeColor="background1"/>
                                <w:kern w:val="24"/>
                                <w:sz w:val="16"/>
                                <w:szCs w:val="16"/>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 τρίμηνο 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dashSmallGap" w:color="FF7415" w:sz="12" w:space="0"/>
                              <w:bottom w:val="dashSmallGap" w:color="00ADBF" w:sz="4" w:space="0"/>
                              <w:right w:val="nil"/>
                            </w:tcBorders>
                            <w:shd w:val="clear" w:color="auto" w:fill="007B85"/>
                            <w:vAlign w:val="center"/>
                          </w:tcPr>
                          <w:p>
                            <w:pPr>
                              <w:jc w:val="right"/>
                              <w:rPr>
                                <w:rFonts w:ascii="Aptos" w:hAnsi="Aptos" w:eastAsia="Times New Roman" w:cs="Arial"/>
                                <w:b/>
                                <w:bCs/>
                                <w:color w:val="FFFFFF" w:themeColor="background1"/>
                                <w:kern w:val="24"/>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Γ’ τρίμηνο</w:t>
                            </w:r>
                            <w:r>
                              <w:rPr>
                                <w:rFonts w:ascii="Aptos" w:hAnsi="Aptos" w:eastAsia="Times New Roman" w:cs="Arial"/>
                                <w:b/>
                                <w:bCs/>
                                <w:color w:val="FFFFFF" w:themeColor="background1"/>
                                <w:kern w:val="24"/>
                                <w:sz w:val="16"/>
                                <w:szCs w:val="16"/>
                                <w:lang w:eastAsia="el-GR"/>
                                <w14:textFill>
                                  <w14:solidFill>
                                    <w14:schemeClr w14:val="bg1"/>
                                  </w14:solidFill>
                                </w14:textFill>
                              </w:rPr>
                              <w:t xml:space="preserve"> </w:t>
                            </w:r>
                          </w:p>
                          <w:p>
                            <w:pPr>
                              <w:jc w:val="right"/>
                              <w:rPr>
                                <w:rFonts w:ascii="Aptos" w:hAnsi="Aptos" w:eastAsia="Times New Roman" w:cs="Arial"/>
                                <w:b/>
                                <w:bCs/>
                                <w:color w:val="FFFFFF" w:themeColor="background1"/>
                                <w:kern w:val="24"/>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eastAsia="el-GR"/>
                                <w14:textFill>
                                  <w14:solidFill>
                                    <w14:schemeClr w14:val="bg1"/>
                                  </w14:solidFill>
                                </w14:textFill>
                              </w:rPr>
                              <w:t>2023</w:t>
                            </w:r>
                          </w:p>
                        </w:tc>
                        <w:tc>
                          <w:tcPr>
                            <w:tcW w:w="1152" w:type="dxa"/>
                            <w:tcBorders>
                              <w:top w:val="nil"/>
                              <w:left w:val="nil"/>
                              <w:bottom w:val="dashSmallGap" w:color="00ADBF" w:sz="4" w:space="0"/>
                              <w:right w:val="nil"/>
                            </w:tcBorders>
                            <w:shd w:val="clear" w:color="auto" w:fill="007B85"/>
                            <w:tcMar>
                              <w:top w:w="15" w:type="dxa"/>
                              <w:left w:w="144" w:type="dxa"/>
                              <w:bottom w:w="0" w:type="dxa"/>
                              <w:right w:w="144" w:type="dxa"/>
                            </w:tcMar>
                            <w:vAlign w:val="center"/>
                          </w:tcPr>
                          <w:p>
                            <w:pPr>
                              <w:jc w:val="right"/>
                              <w:rPr>
                                <w:rFonts w:ascii="Aptos" w:hAnsi="Aptos" w:eastAsia="Times New Roman" w:cs="Arial"/>
                                <w:b/>
                                <w:bCs/>
                                <w:color w:val="FFFFFF" w:themeColor="background1"/>
                                <w:kern w:val="24"/>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eastAsia="el-GR"/>
                                <w14:textFill>
                                  <w14:solidFill>
                                    <w14:schemeClr w14:val="bg1"/>
                                  </w14:solidFill>
                                </w14:textFill>
                              </w:rPr>
                              <w:t>Δ (%)</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sz w:val="16"/>
                                <w:szCs w:val="16"/>
                              </w:rPr>
                            </w:pPr>
                            <w:r>
                              <w:rPr>
                                <w:rFonts w:ascii="Aptos" w:hAnsi="Aptos"/>
                                <w:sz w:val="16"/>
                                <w:szCs w:val="16"/>
                              </w:rPr>
                              <w:t>Καθαρά έσοδα από τόκους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2</w:t>
                            </w:r>
                            <w:r>
                              <w:rPr>
                                <w:rFonts w:ascii="Aptos" w:hAnsi="Aptos"/>
                                <w:sz w:val="18"/>
                                <w:szCs w:val="18"/>
                                <w:lang w:val="en-US"/>
                              </w:rPr>
                              <w:t>.</w:t>
                            </w:r>
                            <w:r>
                              <w:rPr>
                                <w:rFonts w:ascii="Aptos" w:hAnsi="Aptos"/>
                                <w:sz w:val="18"/>
                                <w:szCs w:val="18"/>
                              </w:rPr>
                              <w:t xml:space="preserve">160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1</w:t>
                            </w:r>
                            <w:r>
                              <w:rPr>
                                <w:rFonts w:ascii="Aptos" w:hAnsi="Aptos"/>
                                <w:sz w:val="18"/>
                                <w:szCs w:val="18"/>
                                <w:lang w:val="en-US"/>
                              </w:rPr>
                              <w:t>.</w:t>
                            </w:r>
                            <w:r>
                              <w:rPr>
                                <w:rFonts w:ascii="Aptos" w:hAnsi="Aptos"/>
                                <w:sz w:val="18"/>
                                <w:szCs w:val="18"/>
                              </w:rPr>
                              <w:t xml:space="preserve">293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+67%</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594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563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5"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+6%</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sz w:val="16"/>
                                <w:szCs w:val="16"/>
                              </w:rPr>
                            </w:pPr>
                            <w:r>
                              <w:rPr>
                                <w:rFonts w:ascii="Aptos" w:hAnsi="Aptos"/>
                                <w:sz w:val="16"/>
                                <w:szCs w:val="16"/>
                              </w:rPr>
                              <w:t>Καθαρά έσοδα από προμήθειες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367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330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+11%</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106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92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5"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+15%</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42" w:type="dxa"/>
                              <w:bottom w:w="0" w:type="dxa"/>
                              <w:right w:w="15" w:type="dxa"/>
                            </w:tcMar>
                          </w:tcPr>
                          <w:p>
                            <w:pPr>
                              <w:textAlignment w:val="center"/>
                              <w:rPr>
                                <w:rFonts w:ascii="Aptos" w:hAnsi="Aptos"/>
                                <w:b/>
                                <w:bCs/>
                                <w:sz w:val="16"/>
                                <w:szCs w:val="16"/>
                              </w:rPr>
                            </w:pPr>
                            <w:r>
                              <w:rPr>
                                <w:rFonts w:ascii="Aptos" w:hAnsi="Aptos"/>
                                <w:b/>
                                <w:bCs/>
                                <w:sz w:val="16"/>
                                <w:szCs w:val="16"/>
                              </w:rPr>
                              <w:t>Οργανικά έσοδα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2</w:t>
                            </w:r>
                            <w:r>
                              <w:rPr>
                                <w:rFonts w:ascii="Aptos" w:hAnsi="Aptos"/>
                                <w:b/>
                                <w:bCs/>
                                <w:sz w:val="18"/>
                                <w:szCs w:val="18"/>
                                <w:lang w:val="en-US"/>
                              </w:rPr>
                              <w:t>.</w:t>
                            </w:r>
                            <w:r>
                              <w:rPr>
                                <w:rFonts w:ascii="Aptos" w:hAnsi="Aptos"/>
                                <w:b/>
                                <w:bCs/>
                                <w:sz w:val="18"/>
                                <w:szCs w:val="18"/>
                              </w:rPr>
                              <w:t xml:space="preserve">527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r>
                              <w:rPr>
                                <w:rFonts w:ascii="Aptos" w:hAnsi="Aptos"/>
                                <w:b/>
                                <w:bCs/>
                                <w:sz w:val="18"/>
                                <w:szCs w:val="18"/>
                                <w:lang w:val="en-US"/>
                              </w:rPr>
                              <w:t>.</w:t>
                            </w:r>
                            <w:r>
                              <w:rPr>
                                <w:rFonts w:ascii="Aptos" w:hAnsi="Aptos"/>
                                <w:b/>
                                <w:bCs/>
                                <w:sz w:val="18"/>
                                <w:szCs w:val="18"/>
                              </w:rPr>
                              <w:t xml:space="preserve">623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+56%</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700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vAlign w:val="center"/>
                          </w:tcPr>
                          <w:p>
                            <w:pPr>
                              <w:jc w:val="right"/>
                              <w:rPr>
                                <w:rFonts w:ascii="Aptos" w:hAnsi="Aptos" w:eastAsia="Times New Roman" w:cs="Arial"/>
                                <w:b/>
                                <w:bCs/>
                                <w:kern w:val="24"/>
                                <w:sz w:val="18"/>
                                <w:szCs w:val="18"/>
                                <w:lang w:eastAsia="el-GR"/>
                              </w:rPr>
                            </w:pPr>
                            <w:r>
                              <w:rPr>
                                <w:rFonts w:ascii="Aptos" w:hAnsi="Aptos"/>
                                <w:b/>
                                <w:bCs/>
                                <w:sz w:val="18"/>
                                <w:szCs w:val="18"/>
                              </w:rPr>
                              <w:t xml:space="preserve">654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+7%</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sz w:val="16"/>
                                <w:szCs w:val="16"/>
                              </w:rPr>
                            </w:pPr>
                            <w:r>
                              <w:rPr>
                                <w:rFonts w:ascii="Aptos" w:hAnsi="Aptos"/>
                                <w:sz w:val="16"/>
                                <w:szCs w:val="16"/>
                              </w:rPr>
                              <w:t>Έσοδα από χρηματοοικονομικές πράξεις και λοιπά έσοδα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81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309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-74%</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30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eastAsia="el-GR"/>
                              </w:rPr>
                            </w:pPr>
                            <w:r>
                              <w:rPr>
                                <w:rFonts w:ascii="Aptos" w:hAnsi="Aptos"/>
                                <w:sz w:val="18"/>
                                <w:szCs w:val="18"/>
                              </w:rPr>
                              <w:t xml:space="preserve">7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&gt;100%</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b/>
                                <w:bCs/>
                                <w:sz w:val="16"/>
                                <w:szCs w:val="16"/>
                              </w:rPr>
                            </w:pPr>
                            <w:r>
                              <w:rPr>
                                <w:rFonts w:ascii="Aptos" w:hAnsi="Aptos"/>
                                <w:b/>
                                <w:bCs/>
                                <w:sz w:val="16"/>
                                <w:szCs w:val="16"/>
                              </w:rPr>
                              <w:t xml:space="preserve">Καθαρά λειτουργικά έσοδα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2</w:t>
                            </w:r>
                            <w:r>
                              <w:rPr>
                                <w:rFonts w:ascii="Aptos" w:hAnsi="Aptos"/>
                                <w:b/>
                                <w:bCs/>
                                <w:sz w:val="18"/>
                                <w:szCs w:val="18"/>
                                <w:lang w:val="en-US"/>
                              </w:rPr>
                              <w:t>.</w:t>
                            </w:r>
                            <w:r>
                              <w:rPr>
                                <w:rFonts w:ascii="Aptos" w:hAnsi="Aptos"/>
                                <w:b/>
                                <w:bCs/>
                                <w:sz w:val="18"/>
                                <w:szCs w:val="18"/>
                              </w:rPr>
                              <w:t xml:space="preserve">609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r>
                              <w:rPr>
                                <w:rFonts w:ascii="Aptos" w:hAnsi="Aptos"/>
                                <w:b/>
                                <w:bCs/>
                                <w:sz w:val="18"/>
                                <w:szCs w:val="18"/>
                                <w:lang w:val="en-US"/>
                              </w:rPr>
                              <w:t>.</w:t>
                            </w:r>
                            <w:r>
                              <w:rPr>
                                <w:rFonts w:ascii="Aptos" w:hAnsi="Aptos"/>
                                <w:b/>
                                <w:bCs/>
                                <w:sz w:val="18"/>
                                <w:szCs w:val="18"/>
                              </w:rPr>
                              <w:t xml:space="preserve">932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+35%</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730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b/>
                                <w:bCs/>
                                <w:sz w:val="18"/>
                                <w:szCs w:val="18"/>
                              </w:rPr>
                              <w:t xml:space="preserve">661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+10%</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sz w:val="16"/>
                                <w:szCs w:val="16"/>
                              </w:rPr>
                            </w:pPr>
                            <w:r>
                              <w:rPr>
                                <w:rFonts w:ascii="Aptos" w:hAnsi="Aptos"/>
                                <w:sz w:val="16"/>
                                <w:szCs w:val="16"/>
                              </w:rPr>
                              <w:t>Λειτουργικές δαπάνες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(783)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(752)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+4%</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(220)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(190)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+16%</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b/>
                                <w:bCs/>
                                <w:sz w:val="16"/>
                                <w:szCs w:val="16"/>
                              </w:rPr>
                            </w:pPr>
                            <w:r>
                              <w:rPr>
                                <w:rFonts w:ascii="Aptos" w:hAnsi="Aptos"/>
                                <w:b/>
                                <w:bCs/>
                                <w:sz w:val="16"/>
                                <w:szCs w:val="16"/>
                              </w:rPr>
                              <w:t>Οργανικά κέρδη / (ζημίες) προ προβλέψεων</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r>
                              <w:rPr>
                                <w:rFonts w:ascii="Aptos" w:hAnsi="Aptos"/>
                                <w:b/>
                                <w:bCs/>
                                <w:sz w:val="18"/>
                                <w:szCs w:val="18"/>
                                <w:lang w:val="en-US"/>
                              </w:rPr>
                              <w:t>.</w:t>
                            </w:r>
                            <w:r>
                              <w:rPr>
                                <w:rFonts w:ascii="Aptos" w:hAnsi="Aptos"/>
                                <w:b/>
                                <w:bCs/>
                                <w:sz w:val="18"/>
                                <w:szCs w:val="18"/>
                              </w:rPr>
                              <w:t xml:space="preserve">745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871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+100%</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480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b/>
                                <w:bCs/>
                                <w:sz w:val="18"/>
                                <w:szCs w:val="18"/>
                              </w:rPr>
                              <w:t xml:space="preserve">465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+3%</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b/>
                                <w:bCs/>
                                <w:sz w:val="16"/>
                                <w:szCs w:val="16"/>
                              </w:rPr>
                            </w:pPr>
                            <w:r>
                              <w:rPr>
                                <w:rFonts w:ascii="Aptos" w:hAnsi="Aptos"/>
                                <w:b/>
                                <w:bCs/>
                                <w:sz w:val="16"/>
                                <w:szCs w:val="16"/>
                              </w:rPr>
                              <w:t>Κέρδη / (ζημίες) προ προβλέψεων</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r>
                              <w:rPr>
                                <w:rFonts w:ascii="Aptos" w:hAnsi="Aptos"/>
                                <w:b/>
                                <w:bCs/>
                                <w:sz w:val="18"/>
                                <w:szCs w:val="18"/>
                                <w:lang w:val="en-US"/>
                              </w:rPr>
                              <w:t>.</w:t>
                            </w:r>
                            <w:r>
                              <w:rPr>
                                <w:rFonts w:ascii="Aptos" w:hAnsi="Aptos"/>
                                <w:b/>
                                <w:bCs/>
                                <w:sz w:val="18"/>
                                <w:szCs w:val="18"/>
                              </w:rPr>
                              <w:t xml:space="preserve">826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r>
                              <w:rPr>
                                <w:rFonts w:ascii="Aptos" w:hAnsi="Aptos"/>
                                <w:b/>
                                <w:bCs/>
                                <w:sz w:val="18"/>
                                <w:szCs w:val="18"/>
                                <w:lang w:val="en-US"/>
                              </w:rPr>
                              <w:t>.</w:t>
                            </w:r>
                            <w:r>
                              <w:rPr>
                                <w:rFonts w:ascii="Aptos" w:hAnsi="Aptos"/>
                                <w:b/>
                                <w:bCs/>
                                <w:sz w:val="18"/>
                                <w:szCs w:val="18"/>
                              </w:rPr>
                              <w:t xml:space="preserve">180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+55%</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510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b/>
                                <w:bCs/>
                                <w:sz w:val="18"/>
                                <w:szCs w:val="18"/>
                              </w:rPr>
                              <w:t xml:space="preserve">471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+8%</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sz w:val="16"/>
                                <w:szCs w:val="16"/>
                              </w:rPr>
                            </w:pPr>
                            <w:r>
                              <w:rPr>
                                <w:rFonts w:ascii="Aptos" w:hAnsi="Aptos"/>
                                <w:sz w:val="16"/>
                                <w:szCs w:val="16"/>
                              </w:rPr>
                              <w:t>Προβλέψεις για επισφαλή δάνεια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(223)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(273)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-18%</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(65)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eastAsia="el-GR"/>
                              </w:rPr>
                            </w:pPr>
                            <w:r>
                              <w:rPr>
                                <w:rFonts w:ascii="Aptos" w:hAnsi="Aptos"/>
                                <w:sz w:val="18"/>
                                <w:szCs w:val="18"/>
                              </w:rPr>
                              <w:t xml:space="preserve">(49)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+34%</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b/>
                                <w:bCs/>
                                <w:sz w:val="16"/>
                                <w:szCs w:val="16"/>
                              </w:rPr>
                            </w:pPr>
                            <w:r>
                              <w:rPr>
                                <w:rFonts w:ascii="Aptos" w:hAnsi="Aptos"/>
                                <w:b/>
                                <w:bCs/>
                                <w:sz w:val="16"/>
                                <w:szCs w:val="16"/>
                              </w:rPr>
                              <w:t>Οργανικά κέρδη / (ζημίες)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r>
                              <w:rPr>
                                <w:rFonts w:ascii="Aptos" w:hAnsi="Aptos"/>
                                <w:b/>
                                <w:bCs/>
                                <w:sz w:val="18"/>
                                <w:szCs w:val="18"/>
                                <w:lang w:val="en-US"/>
                              </w:rPr>
                              <w:t>.</w:t>
                            </w:r>
                            <w:r>
                              <w:rPr>
                                <w:rFonts w:ascii="Aptos" w:hAnsi="Aptos"/>
                                <w:b/>
                                <w:bCs/>
                                <w:sz w:val="18"/>
                                <w:szCs w:val="18"/>
                              </w:rPr>
                              <w:t xml:space="preserve">521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599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&gt;100%</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415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b/>
                                <w:bCs/>
                                <w:sz w:val="18"/>
                                <w:szCs w:val="18"/>
                              </w:rPr>
                              <w:t xml:space="preserve">416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-0%</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b/>
                                <w:bCs/>
                                <w:sz w:val="16"/>
                                <w:szCs w:val="16"/>
                              </w:rPr>
                            </w:pPr>
                            <w:r>
                              <w:rPr>
                                <w:rFonts w:ascii="Aptos" w:hAnsi="Aptos"/>
                                <w:b/>
                                <w:bCs/>
                                <w:sz w:val="16"/>
                                <w:szCs w:val="16"/>
                              </w:rPr>
                              <w:t>Λειτουργικά κέρδη / (ζημίες)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r>
                              <w:rPr>
                                <w:rFonts w:ascii="Aptos" w:hAnsi="Aptos"/>
                                <w:b/>
                                <w:bCs/>
                                <w:sz w:val="18"/>
                                <w:szCs w:val="18"/>
                                <w:lang w:val="en-US"/>
                              </w:rPr>
                              <w:t>.</w:t>
                            </w:r>
                            <w:r>
                              <w:rPr>
                                <w:rFonts w:ascii="Aptos" w:hAnsi="Aptos"/>
                                <w:b/>
                                <w:bCs/>
                                <w:sz w:val="18"/>
                                <w:szCs w:val="18"/>
                              </w:rPr>
                              <w:t xml:space="preserve">602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908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+77%</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445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b/>
                                <w:bCs/>
                                <w:sz w:val="18"/>
                                <w:szCs w:val="18"/>
                              </w:rPr>
                              <w:t xml:space="preserve">423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+5%</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b/>
                                <w:bCs/>
                                <w:sz w:val="16"/>
                                <w:szCs w:val="16"/>
                              </w:rPr>
                            </w:pPr>
                            <w:r>
                              <w:rPr>
                                <w:rFonts w:ascii="Aptos" w:hAnsi="Aptos"/>
                                <w:sz w:val="16"/>
                                <w:szCs w:val="16"/>
                              </w:rPr>
                              <w:t xml:space="preserve">Φόροι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(363)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(151)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&gt;100%</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(86)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eastAsia="el-GR"/>
                              </w:rPr>
                            </w:pPr>
                            <w:r>
                              <w:rPr>
                                <w:rFonts w:ascii="Aptos" w:hAnsi="Aptos"/>
                                <w:sz w:val="18"/>
                                <w:szCs w:val="18"/>
                              </w:rPr>
                              <w:t xml:space="preserve">(80)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+8%</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42" w:type="dxa"/>
                              <w:bottom w:w="0" w:type="dxa"/>
                              <w:right w:w="15" w:type="dxa"/>
                            </w:tcMar>
                          </w:tcPr>
                          <w:p>
                            <w:pPr>
                              <w:textAlignment w:val="center"/>
                              <w:rPr>
                                <w:rFonts w:ascii="Aptos" w:hAnsi="Aptos"/>
                                <w:b/>
                                <w:bCs/>
                                <w:sz w:val="16"/>
                                <w:szCs w:val="16"/>
                              </w:rPr>
                            </w:pPr>
                            <w:r>
                              <w:rPr>
                                <w:rFonts w:ascii="Aptos" w:hAnsi="Aptos"/>
                                <w:b/>
                                <w:bCs/>
                                <w:sz w:val="16"/>
                                <w:szCs w:val="16"/>
                              </w:rPr>
                              <w:t>Οργανικά κέρδη / (ζημίες) μετά από φόρους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r>
                              <w:rPr>
                                <w:rFonts w:ascii="Aptos" w:hAnsi="Aptos"/>
                                <w:b/>
                                <w:bCs/>
                                <w:sz w:val="18"/>
                                <w:szCs w:val="18"/>
                                <w:lang w:val="en-US"/>
                              </w:rPr>
                              <w:t>.</w:t>
                            </w:r>
                            <w:r>
                              <w:rPr>
                                <w:rFonts w:ascii="Aptos" w:hAnsi="Aptos"/>
                                <w:b/>
                                <w:bCs/>
                                <w:sz w:val="18"/>
                                <w:szCs w:val="18"/>
                              </w:rPr>
                              <w:t xml:space="preserve">158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447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&gt;100%</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329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vAlign w:val="center"/>
                          </w:tcPr>
                          <w:p>
                            <w:pPr>
                              <w:jc w:val="right"/>
                              <w:rPr>
                                <w:rFonts w:ascii="Aptos" w:hAnsi="Aptos" w:eastAsia="Times New Roman" w:cs="Arial"/>
                                <w:b/>
                                <w:bCs/>
                                <w:kern w:val="24"/>
                                <w:sz w:val="18"/>
                                <w:szCs w:val="18"/>
                                <w:lang w:eastAsia="el-GR"/>
                              </w:rPr>
                            </w:pPr>
                            <w:r>
                              <w:rPr>
                                <w:rFonts w:ascii="Aptos" w:hAnsi="Aptos"/>
                                <w:b/>
                                <w:bCs/>
                                <w:sz w:val="18"/>
                                <w:szCs w:val="18"/>
                              </w:rPr>
                              <w:t xml:space="preserve">336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-2%</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b/>
                                <w:bCs/>
                                <w:sz w:val="16"/>
                                <w:szCs w:val="16"/>
                              </w:rPr>
                            </w:pPr>
                            <w:r>
                              <w:rPr>
                                <w:rFonts w:ascii="Aptos" w:hAnsi="Aptos"/>
                                <w:b/>
                                <w:bCs/>
                                <w:sz w:val="16"/>
                                <w:szCs w:val="16"/>
                              </w:rPr>
                              <w:t>Κέρδη / (ζημίες) μετά από φόρους που αναλογούν στους μετόχους της Τράπεζας</w:t>
                            </w:r>
                          </w:p>
                        </w:tc>
                        <w:tc>
                          <w:tcPr>
                            <w:tcW w:w="1152" w:type="dxa"/>
                            <w:tcBorders>
                              <w:top w:val="dashSmallGap" w:color="00ADBF" w:sz="4" w:space="0"/>
                              <w:left w:val="dashSmallGap" w:color="FF7415" w:sz="12" w:space="0"/>
                              <w:bottom w:val="dashSmallGap" w:color="FF7415" w:sz="12"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r>
                              <w:rPr>
                                <w:rFonts w:ascii="Aptos" w:hAnsi="Aptos"/>
                                <w:b/>
                                <w:bCs/>
                                <w:sz w:val="18"/>
                                <w:szCs w:val="18"/>
                                <w:lang w:val="en-US"/>
                              </w:rPr>
                              <w:t>.</w:t>
                            </w:r>
                            <w:r>
                              <w:rPr>
                                <w:rFonts w:ascii="Aptos" w:hAnsi="Aptos"/>
                                <w:b/>
                                <w:bCs/>
                                <w:sz w:val="18"/>
                                <w:szCs w:val="18"/>
                              </w:rPr>
                              <w:t xml:space="preserve">056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r>
                              <w:rPr>
                                <w:rFonts w:ascii="Aptos" w:hAnsi="Aptos"/>
                                <w:b/>
                                <w:bCs/>
                                <w:sz w:val="18"/>
                                <w:szCs w:val="18"/>
                                <w:lang w:val="en-US"/>
                              </w:rPr>
                              <w:t>.</w:t>
                            </w:r>
                            <w:r>
                              <w:rPr>
                                <w:rFonts w:ascii="Aptos" w:hAnsi="Aptos"/>
                                <w:b/>
                                <w:bCs/>
                                <w:sz w:val="18"/>
                                <w:szCs w:val="18"/>
                              </w:rPr>
                              <w:t xml:space="preserve">070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w:t>
                            </w:r>
                          </w:p>
                        </w:tc>
                        <w:tc>
                          <w:tcPr>
                            <w:tcW w:w="1152" w:type="dxa"/>
                            <w:tcBorders>
                              <w:top w:val="dashSmallGap" w:color="00ADBF" w:sz="4" w:space="0"/>
                              <w:left w:val="dashSmallGap" w:color="FF7415" w:sz="12" w:space="0"/>
                              <w:bottom w:val="dashSmallGap" w:color="FF7415" w:sz="12"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301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eastAsia="el-GR"/>
                              </w:rPr>
                            </w:pPr>
                            <w:r>
                              <w:rPr>
                                <w:rFonts w:ascii="Aptos" w:hAnsi="Aptos"/>
                                <w:b/>
                                <w:bCs/>
                                <w:sz w:val="18"/>
                                <w:szCs w:val="18"/>
                              </w:rPr>
                              <w:t xml:space="preserve">252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+19%</w:t>
                            </w:r>
                          </w:p>
                        </w:tc>
                      </w:tr>
                    </w:tbl>
                    <w:p>
                      <w:pPr>
                        <w:jc w:val="both"/>
                        <w:rPr>
                          <w:rFonts w:ascii="Aptos" w:hAnsi="Aptos" w:eastAsia="Times New Roman" w:cs="Segoe UI"/>
                          <w:kern w:val="24"/>
                          <w:sz w:val="20"/>
                          <w:szCs w:val="20"/>
                          <w:lang w:eastAsia="el-GR"/>
                        </w:rPr>
                      </w:pPr>
                    </w:p>
                    <w:tbl>
                      <w:tblPr>
                        <w:tblStyle w:val="4"/>
                        <w:tblW w:w="9936" w:type="dxa"/>
                        <w:tblInd w:w="0" w:type="dxa"/>
                        <w:tblLayout w:type="autofit"/>
                        <w:tblCellMar>
                          <w:top w:w="0" w:type="dxa"/>
                          <w:left w:w="0" w:type="dxa"/>
                          <w:bottom w:w="0" w:type="dxa"/>
                          <w:right w:w="0" w:type="dxa"/>
                        </w:tblCellMar>
                      </w:tblPr>
                      <w:tblGrid>
                        <w:gridCol w:w="2947"/>
                        <w:gridCol w:w="1229"/>
                        <w:gridCol w:w="1229"/>
                        <w:gridCol w:w="1137"/>
                        <w:gridCol w:w="1141"/>
                        <w:gridCol w:w="1123"/>
                        <w:gridCol w:w="1130"/>
                      </w:tblGrid>
                      <w:tr>
                        <w:tblPrEx>
                          <w:tblCellMar>
                            <w:top w:w="0" w:type="dxa"/>
                            <w:left w:w="0" w:type="dxa"/>
                            <w:bottom w:w="0" w:type="dxa"/>
                            <w:right w:w="0" w:type="dxa"/>
                          </w:tblCellMar>
                        </w:tblPrEx>
                        <w:trPr>
                          <w:trHeight w:val="288" w:hRule="atLeast"/>
                        </w:trPr>
                        <w:tc>
                          <w:tcPr>
                            <w:tcW w:w="3024" w:type="dxa"/>
                            <w:tcBorders>
                              <w:top w:val="nil"/>
                              <w:left w:val="nil"/>
                              <w:bottom w:val="dashSmallGap" w:color="00ADBF" w:sz="4" w:space="0"/>
                              <w:right w:val="dashSmallGap" w:color="FF7415" w:sz="12" w:space="0"/>
                            </w:tcBorders>
                            <w:shd w:val="clear" w:color="auto" w:fill="007B85"/>
                            <w:tcMar>
                              <w:top w:w="15" w:type="dxa"/>
                              <w:left w:w="144" w:type="dxa"/>
                              <w:bottom w:w="0" w:type="dxa"/>
                              <w:right w:w="144" w:type="dxa"/>
                            </w:tcMar>
                            <w:vAlign w:val="center"/>
                          </w:tcPr>
                          <w:p>
                            <w:pPr>
                              <w:rPr>
                                <w:rFonts w:ascii="Aptos" w:hAnsi="Aptos" w:eastAsia="Times New Roman" w:cs="Arial"/>
                                <w:b/>
                                <w:bCs/>
                                <w:color w:val="FFFFFF" w:themeColor="background1"/>
                                <w:kern w:val="24"/>
                                <w:sz w:val="18"/>
                                <w:szCs w:val="18"/>
                                <w:lang w:eastAsia="el-GR"/>
                                <w14:textFill>
                                  <w14:solidFill>
                                    <w14:schemeClr w14:val="bg1"/>
                                  </w14:solidFill>
                                </w14:textFill>
                              </w:rPr>
                            </w:pPr>
                            <w:r>
                              <w:rPr>
                                <w:rFonts w:ascii="Aptos" w:hAnsi="Aptos" w:eastAsia="Times New Roman" w:cs="Arial"/>
                                <w:b/>
                                <w:bCs/>
                                <w:color w:val="FFFFFF" w:themeColor="background1"/>
                                <w:kern w:val="24"/>
                                <w:sz w:val="18"/>
                                <w:szCs w:val="18"/>
                                <w:lang w:eastAsia="el-GR"/>
                                <w14:textFill>
                                  <w14:solidFill>
                                    <w14:schemeClr w14:val="bg1"/>
                                  </w14:solidFill>
                                </w14:textFill>
                              </w:rPr>
                              <w:t xml:space="preserve">Κατάσταση Αποτελεσμάτων | </w:t>
                            </w:r>
                          </w:p>
                          <w:p>
                            <w:pPr>
                              <w:rPr>
                                <w:rFonts w:ascii="Aptos" w:hAnsi="Aptos" w:eastAsia="Times New Roman" w:cs="Arial"/>
                                <w:color w:val="FFFFFF" w:themeColor="background1"/>
                                <w:sz w:val="18"/>
                                <w:szCs w:val="18"/>
                                <w:lang w:eastAsia="el-GR"/>
                                <w14:textFill>
                                  <w14:solidFill>
                                    <w14:schemeClr w14:val="bg1"/>
                                  </w14:solidFill>
                                </w14:textFill>
                              </w:rPr>
                            </w:pPr>
                            <w:r>
                              <w:rPr>
                                <w:rFonts w:ascii="Aptos" w:hAnsi="Aptos" w:eastAsia="Times New Roman" w:cs="Arial"/>
                                <w:b/>
                                <w:bCs/>
                                <w:color w:val="FFFFFF" w:themeColor="background1"/>
                                <w:kern w:val="24"/>
                                <w:sz w:val="18"/>
                                <w:szCs w:val="18"/>
                                <w:lang w:eastAsia="el-GR"/>
                                <w14:textFill>
                                  <w14:solidFill>
                                    <w14:schemeClr w14:val="bg1"/>
                                  </w14:solidFill>
                                </w14:textFill>
                              </w:rPr>
                              <w:t>Διεθνείς δραστηρ/τες (€ εκατ.)</w:t>
                            </w:r>
                          </w:p>
                        </w:tc>
                        <w:tc>
                          <w:tcPr>
                            <w:tcW w:w="1152" w:type="dxa"/>
                            <w:tcBorders>
                              <w:top w:val="dashSmallGap" w:color="FF7415" w:sz="12" w:space="0"/>
                              <w:left w:val="dashSmallGap" w:color="FF7415" w:sz="12" w:space="0"/>
                              <w:bottom w:val="dashSmallGap" w:color="00ADBF" w:sz="4" w:space="0"/>
                              <w:right w:val="dashSmallGap" w:color="FF7415" w:sz="12" w:space="0"/>
                            </w:tcBorders>
                            <w:shd w:val="clear" w:color="auto" w:fill="007B85"/>
                            <w:tcMar>
                              <w:top w:w="15" w:type="dxa"/>
                              <w:left w:w="144" w:type="dxa"/>
                              <w:bottom w:w="0" w:type="dxa"/>
                              <w:right w:w="144" w:type="dxa"/>
                            </w:tcMar>
                            <w:vAlign w:val="center"/>
                          </w:tcPr>
                          <w:p>
                            <w:pPr>
                              <w:jc w:val="right"/>
                              <w:rPr>
                                <w:rFonts w:ascii="Aptos" w:hAnsi="Aptos" w:eastAsia="Times New Roman" w:cs="Arial"/>
                                <w:color w:val="FFFFFF" w:themeColor="background1"/>
                                <w:sz w:val="18"/>
                                <w:szCs w:val="18"/>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Οικονομικό Έτος 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dashSmallGap" w:color="FF7415" w:sz="12" w:space="0"/>
                              <w:bottom w:val="dashSmallGap" w:color="00ADBF" w:sz="4" w:space="0"/>
                              <w:right w:val="nil"/>
                            </w:tcBorders>
                            <w:shd w:val="clear" w:color="auto" w:fill="007B85"/>
                            <w:tcMar>
                              <w:top w:w="15" w:type="dxa"/>
                              <w:left w:w="144" w:type="dxa"/>
                              <w:bottom w:w="0" w:type="dxa"/>
                              <w:right w:w="144" w:type="dxa"/>
                            </w:tcMar>
                            <w:vAlign w:val="center"/>
                          </w:tcPr>
                          <w:p>
                            <w:pPr>
                              <w:jc w:val="right"/>
                              <w:rPr>
                                <w:rFonts w:ascii="Aptos" w:hAnsi="Aptos" w:eastAsia="Times New Roman" w:cs="Arial"/>
                                <w:color w:val="FFFFFF" w:themeColor="background1"/>
                                <w:sz w:val="18"/>
                                <w:szCs w:val="18"/>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Οικονομικό Έτος 202</w:t>
                            </w:r>
                            <w:r>
                              <w:rPr>
                                <w:rFonts w:ascii="Aptos" w:hAnsi="Aptos" w:eastAsia="Times New Roman" w:cs="Arial"/>
                                <w:b/>
                                <w:bCs/>
                                <w:color w:val="FFFFFF" w:themeColor="background1"/>
                                <w:kern w:val="24"/>
                                <w:sz w:val="16"/>
                                <w:szCs w:val="16"/>
                                <w:lang w:eastAsia="el-GR"/>
                                <w14:textFill>
                                  <w14:solidFill>
                                    <w14:schemeClr w14:val="bg1"/>
                                  </w14:solidFill>
                                </w14:textFill>
                              </w:rPr>
                              <w:t>2</w:t>
                            </w:r>
                          </w:p>
                        </w:tc>
                        <w:tc>
                          <w:tcPr>
                            <w:tcW w:w="1152" w:type="dxa"/>
                            <w:tcBorders>
                              <w:top w:val="nil"/>
                              <w:left w:val="nil"/>
                              <w:bottom w:val="dashSmallGap" w:color="00ADBF" w:sz="4" w:space="0"/>
                              <w:right w:val="dashSmallGap" w:color="FF7415" w:sz="12" w:space="0"/>
                            </w:tcBorders>
                            <w:shd w:val="clear" w:color="auto" w:fill="007B85"/>
                            <w:tcMar>
                              <w:top w:w="15" w:type="dxa"/>
                              <w:left w:w="144" w:type="dxa"/>
                              <w:bottom w:w="0" w:type="dxa"/>
                              <w:right w:w="144" w:type="dxa"/>
                            </w:tcMar>
                            <w:vAlign w:val="center"/>
                          </w:tcPr>
                          <w:p>
                            <w:pPr>
                              <w:jc w:val="right"/>
                              <w:rPr>
                                <w:rFonts w:ascii="Aptos" w:hAnsi="Aptos" w:eastAsia="Times New Roman" w:cs="Arial"/>
                                <w:color w:val="FFFFFF" w:themeColor="background1"/>
                                <w:sz w:val="18"/>
                                <w:szCs w:val="18"/>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 (%)</w:t>
                            </w:r>
                          </w:p>
                        </w:tc>
                        <w:tc>
                          <w:tcPr>
                            <w:tcW w:w="1152" w:type="dxa"/>
                            <w:tcBorders>
                              <w:top w:val="dashSmallGap" w:color="FF7415" w:sz="12" w:space="0"/>
                              <w:left w:val="dashSmallGap" w:color="FF7415" w:sz="12" w:space="0"/>
                              <w:bottom w:val="dashSmallGap" w:color="00ADBF" w:sz="4" w:space="0"/>
                              <w:right w:val="dashSmallGap" w:color="FF7415" w:sz="12" w:space="0"/>
                            </w:tcBorders>
                            <w:shd w:val="clear" w:color="auto" w:fill="007B85"/>
                            <w:tcMar>
                              <w:top w:w="15" w:type="dxa"/>
                              <w:left w:w="144" w:type="dxa"/>
                              <w:bottom w:w="0" w:type="dxa"/>
                              <w:right w:w="144" w:type="dxa"/>
                            </w:tcMar>
                            <w:vAlign w:val="center"/>
                          </w:tcPr>
                          <w:p>
                            <w:pPr>
                              <w:jc w:val="right"/>
                              <w:rPr>
                                <w:rFonts w:ascii="Aptos" w:hAnsi="Aptos" w:eastAsia="Times New Roman" w:cs="Arial"/>
                                <w:color w:val="FFFFFF" w:themeColor="background1"/>
                                <w:sz w:val="18"/>
                                <w:szCs w:val="18"/>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Δ’ τρίμηνο 202</w:t>
                            </w:r>
                            <w:r>
                              <w:rPr>
                                <w:rFonts w:ascii="Aptos" w:hAnsi="Aptos" w:eastAsia="Times New Roman" w:cs="Arial"/>
                                <w:b/>
                                <w:bCs/>
                                <w:color w:val="FFFFFF" w:themeColor="background1"/>
                                <w:kern w:val="24"/>
                                <w:sz w:val="16"/>
                                <w:szCs w:val="16"/>
                                <w:lang w:eastAsia="el-GR"/>
                                <w14:textFill>
                                  <w14:solidFill>
                                    <w14:schemeClr w14:val="bg1"/>
                                  </w14:solidFill>
                                </w14:textFill>
                              </w:rPr>
                              <w:t>3</w:t>
                            </w:r>
                          </w:p>
                        </w:tc>
                        <w:tc>
                          <w:tcPr>
                            <w:tcW w:w="1152" w:type="dxa"/>
                            <w:tcBorders>
                              <w:top w:val="nil"/>
                              <w:left w:val="dashSmallGap" w:color="FF7415" w:sz="12" w:space="0"/>
                              <w:bottom w:val="dashSmallGap" w:color="00ADBF" w:sz="4" w:space="0"/>
                              <w:right w:val="nil"/>
                            </w:tcBorders>
                            <w:shd w:val="clear" w:color="auto" w:fill="007B85"/>
                            <w:vAlign w:val="center"/>
                          </w:tcPr>
                          <w:p>
                            <w:pPr>
                              <w:jc w:val="right"/>
                              <w:rPr>
                                <w:rFonts w:ascii="Aptos" w:hAnsi="Aptos" w:eastAsia="Times New Roman" w:cs="Arial"/>
                                <w:b/>
                                <w:bCs/>
                                <w:color w:val="FFFFFF" w:themeColor="background1"/>
                                <w:kern w:val="24"/>
                                <w:sz w:val="16"/>
                                <w:szCs w:val="16"/>
                                <w:lang w:eastAsia="el-GR"/>
                                <w14:textFill>
                                  <w14:solidFill>
                                    <w14:schemeClr w14:val="bg1"/>
                                  </w14:solidFill>
                                </w14:textFill>
                              </w:rPr>
                            </w:pPr>
                            <w:r>
                              <w:rPr>
                                <w:rFonts w:ascii="Aptos" w:hAnsi="Aptos" w:eastAsia="Times New Roman" w:cs="Arial"/>
                                <w:b/>
                                <w:bCs/>
                                <w:color w:val="FFFFFF" w:themeColor="background1"/>
                                <w:kern w:val="24"/>
                                <w:sz w:val="16"/>
                                <w:szCs w:val="16"/>
                                <w:lang w:val="en-US" w:eastAsia="el-GR"/>
                                <w14:textFill>
                                  <w14:solidFill>
                                    <w14:schemeClr w14:val="bg1"/>
                                  </w14:solidFill>
                                </w14:textFill>
                              </w:rPr>
                              <w:t>Γ’ τρίμηνο</w:t>
                            </w:r>
                            <w:r>
                              <w:rPr>
                                <w:rFonts w:ascii="Aptos" w:hAnsi="Aptos" w:eastAsia="Times New Roman" w:cs="Arial"/>
                                <w:b/>
                                <w:bCs/>
                                <w:color w:val="FFFFFF" w:themeColor="background1"/>
                                <w:kern w:val="24"/>
                                <w:sz w:val="16"/>
                                <w:szCs w:val="16"/>
                                <w:lang w:eastAsia="el-GR"/>
                                <w14:textFill>
                                  <w14:solidFill>
                                    <w14:schemeClr w14:val="bg1"/>
                                  </w14:solidFill>
                                </w14:textFill>
                              </w:rPr>
                              <w:t xml:space="preserve"> </w:t>
                            </w:r>
                          </w:p>
                          <w:p>
                            <w:pPr>
                              <w:jc w:val="right"/>
                              <w:rPr>
                                <w:rFonts w:ascii="Aptos" w:hAnsi="Aptos" w:eastAsia="Times New Roman" w:cs="Arial"/>
                                <w:b/>
                                <w:bCs/>
                                <w:color w:val="FFFFFF" w:themeColor="background1"/>
                                <w:kern w:val="24"/>
                                <w:sz w:val="18"/>
                                <w:szCs w:val="18"/>
                                <w:lang w:val="en-US" w:eastAsia="el-GR"/>
                                <w14:textFill>
                                  <w14:solidFill>
                                    <w14:schemeClr w14:val="bg1"/>
                                  </w14:solidFill>
                                </w14:textFill>
                              </w:rPr>
                            </w:pPr>
                            <w:r>
                              <w:rPr>
                                <w:rFonts w:ascii="Aptos" w:hAnsi="Aptos" w:eastAsia="Times New Roman" w:cs="Arial"/>
                                <w:b/>
                                <w:bCs/>
                                <w:color w:val="FFFFFF" w:themeColor="background1"/>
                                <w:kern w:val="24"/>
                                <w:sz w:val="16"/>
                                <w:szCs w:val="16"/>
                                <w:lang w:eastAsia="el-GR"/>
                                <w14:textFill>
                                  <w14:solidFill>
                                    <w14:schemeClr w14:val="bg1"/>
                                  </w14:solidFill>
                                </w14:textFill>
                              </w:rPr>
                              <w:t>2023</w:t>
                            </w:r>
                          </w:p>
                        </w:tc>
                        <w:tc>
                          <w:tcPr>
                            <w:tcW w:w="1152" w:type="dxa"/>
                            <w:tcBorders>
                              <w:top w:val="nil"/>
                              <w:left w:val="nil"/>
                              <w:bottom w:val="dashSmallGap" w:color="00ADBF" w:sz="4" w:space="0"/>
                              <w:right w:val="nil"/>
                            </w:tcBorders>
                            <w:shd w:val="clear" w:color="auto" w:fill="007B85"/>
                            <w:tcMar>
                              <w:top w:w="15" w:type="dxa"/>
                              <w:left w:w="144" w:type="dxa"/>
                              <w:bottom w:w="0" w:type="dxa"/>
                              <w:right w:w="144" w:type="dxa"/>
                            </w:tcMar>
                            <w:vAlign w:val="center"/>
                          </w:tcPr>
                          <w:p>
                            <w:pPr>
                              <w:jc w:val="right"/>
                              <w:rPr>
                                <w:rFonts w:ascii="Aptos" w:hAnsi="Aptos" w:eastAsia="Times New Roman" w:cs="Arial"/>
                                <w:color w:val="FFFFFF" w:themeColor="background1"/>
                                <w:sz w:val="18"/>
                                <w:szCs w:val="18"/>
                                <w:lang w:eastAsia="el-GR"/>
                                <w14:textFill>
                                  <w14:solidFill>
                                    <w14:schemeClr w14:val="bg1"/>
                                  </w14:solidFill>
                                </w14:textFill>
                              </w:rPr>
                            </w:pPr>
                            <w:r>
                              <w:rPr>
                                <w:rFonts w:ascii="Aptos" w:hAnsi="Aptos" w:eastAsia="Times New Roman" w:cs="Arial"/>
                                <w:b/>
                                <w:bCs/>
                                <w:color w:val="FFFFFF" w:themeColor="background1"/>
                                <w:kern w:val="24"/>
                                <w:sz w:val="16"/>
                                <w:szCs w:val="16"/>
                                <w:lang w:eastAsia="el-GR"/>
                                <w14:textFill>
                                  <w14:solidFill>
                                    <w14:schemeClr w14:val="bg1"/>
                                  </w14:solidFill>
                                </w14:textFill>
                              </w:rPr>
                              <w:t>Δ (%)</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kern w:val="24"/>
                                <w:sz w:val="18"/>
                                <w:szCs w:val="18"/>
                                <w:lang w:val="en-US" w:eastAsia="el-GR"/>
                              </w:rPr>
                            </w:pPr>
                            <w:r>
                              <w:rPr>
                                <w:rFonts w:ascii="Aptos" w:hAnsi="Aptos"/>
                                <w:sz w:val="16"/>
                                <w:szCs w:val="16"/>
                              </w:rPr>
                              <w:t>Καθαρά έσοδα από τόκους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103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76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lang w:val="en-US"/>
                              </w:rPr>
                              <w:t>+</w:t>
                            </w:r>
                            <w:r>
                              <w:rPr>
                                <w:rFonts w:ascii="Aptos" w:hAnsi="Aptos"/>
                                <w:sz w:val="18"/>
                                <w:szCs w:val="18"/>
                              </w:rPr>
                              <w:t>35%</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29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25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5" w:type="dxa"/>
                              <w:bottom w:w="0" w:type="dxa"/>
                              <w:right w:w="144" w:type="dxa"/>
                            </w:tcMar>
                            <w:vAlign w:val="center"/>
                          </w:tcPr>
                          <w:p>
                            <w:pPr>
                              <w:jc w:val="right"/>
                              <w:rPr>
                                <w:rFonts w:ascii="Aptos" w:hAnsi="Aptos" w:eastAsia="Times New Roman" w:cs="Arial"/>
                                <w:kern w:val="24"/>
                                <w:sz w:val="18"/>
                                <w:szCs w:val="18"/>
                                <w:lang w:val="en-US" w:eastAsia="el-GR"/>
                              </w:rPr>
                            </w:pPr>
                            <w:r>
                              <w:rPr>
                                <w:rFonts w:ascii="Aptos" w:hAnsi="Aptos"/>
                                <w:sz w:val="18"/>
                                <w:szCs w:val="18"/>
                              </w:rPr>
                              <w:t>+16%</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sz w:val="16"/>
                                <w:szCs w:val="16"/>
                              </w:rPr>
                              <w:t>Καθαρά έσοδα από προμήθειες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15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17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-13%</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4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4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5"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-5%</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b/>
                                <w:bCs/>
                                <w:sz w:val="16"/>
                                <w:szCs w:val="16"/>
                              </w:rPr>
                              <w:t>Οργανικά έσοδα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118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94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+26%</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33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vAlign w:val="center"/>
                          </w:tcPr>
                          <w:p>
                            <w:pPr>
                              <w:jc w:val="right"/>
                              <w:rPr>
                                <w:rFonts w:ascii="Aptos" w:hAnsi="Aptos" w:eastAsia="Times New Roman" w:cs="Arial"/>
                                <w:b/>
                                <w:bCs/>
                                <w:kern w:val="24"/>
                                <w:sz w:val="18"/>
                                <w:szCs w:val="18"/>
                                <w:lang w:eastAsia="el-GR"/>
                              </w:rPr>
                            </w:pPr>
                            <w:r>
                              <w:rPr>
                                <w:rFonts w:ascii="Aptos" w:hAnsi="Aptos"/>
                                <w:b/>
                                <w:bCs/>
                                <w:sz w:val="18"/>
                                <w:szCs w:val="18"/>
                              </w:rPr>
                              <w:t xml:space="preserve">29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+13%</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sz w:val="16"/>
                                <w:szCs w:val="16"/>
                              </w:rPr>
                              <w:t>Έσοδα από χρηματοοικονομικές πράξεις και λοιπά έσοδα1</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12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34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-64%</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eastAsia="el-GR"/>
                              </w:rPr>
                            </w:pPr>
                            <w:r>
                              <w:rPr>
                                <w:rFonts w:ascii="Aptos" w:hAnsi="Aptos"/>
                                <w:sz w:val="18"/>
                                <w:szCs w:val="18"/>
                              </w:rPr>
                              <w:t xml:space="preserve">0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-100%</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b/>
                                <w:bCs/>
                                <w:sz w:val="16"/>
                                <w:szCs w:val="16"/>
                              </w:rPr>
                              <w:t xml:space="preserve">Καθαρά λειτουργικά έσοδα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130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128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+2%</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33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b/>
                                <w:bCs/>
                                <w:sz w:val="18"/>
                                <w:szCs w:val="18"/>
                              </w:rPr>
                              <w:t xml:space="preserve">29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+12%</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sz w:val="16"/>
                                <w:szCs w:val="16"/>
                              </w:rPr>
                              <w:t>Λειτουργικές δαπάνες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(53)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(53)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-1%</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(14)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val="en-US" w:eastAsia="el-GR"/>
                              </w:rPr>
                            </w:pPr>
                            <w:r>
                              <w:rPr>
                                <w:rFonts w:ascii="Aptos" w:hAnsi="Aptos"/>
                                <w:sz w:val="18"/>
                                <w:szCs w:val="18"/>
                              </w:rPr>
                              <w:t xml:space="preserve">(13)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+11%</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b/>
                                <w:bCs/>
                                <w:sz w:val="16"/>
                                <w:szCs w:val="16"/>
                              </w:rPr>
                              <w:t>Οργανικά κέρδη / (ζημίες) προ προβλέψεων</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65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41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+60%</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19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b/>
                                <w:bCs/>
                                <w:sz w:val="18"/>
                                <w:szCs w:val="18"/>
                              </w:rPr>
                              <w:t xml:space="preserve">16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+15%</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b/>
                                <w:bCs/>
                                <w:sz w:val="16"/>
                                <w:szCs w:val="16"/>
                              </w:rPr>
                              <w:t>Κέρδη / (ζημίες) προ προβλέψεων</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77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75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+3%</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19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b/>
                                <w:bCs/>
                                <w:sz w:val="18"/>
                                <w:szCs w:val="18"/>
                              </w:rPr>
                              <w:t xml:space="preserve">17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+13%</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sz w:val="16"/>
                                <w:szCs w:val="16"/>
                              </w:rPr>
                              <w:t>Προβλέψεις για επισφαλή δάνεια</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(17)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(8)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&gt;100%</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(1)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eastAsia="el-GR"/>
                              </w:rPr>
                            </w:pPr>
                            <w:r>
                              <w:rPr>
                                <w:rFonts w:ascii="Aptos" w:hAnsi="Aptos"/>
                                <w:sz w:val="18"/>
                                <w:szCs w:val="18"/>
                              </w:rPr>
                              <w:t xml:space="preserve">(5)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-87%</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b/>
                                <w:bCs/>
                                <w:sz w:val="16"/>
                                <w:szCs w:val="16"/>
                              </w:rPr>
                              <w:t>Οργανικά κέρδη / (ζημίες)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48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33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+45%</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18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b/>
                                <w:bCs/>
                                <w:sz w:val="18"/>
                                <w:szCs w:val="18"/>
                              </w:rPr>
                              <w:t xml:space="preserve">11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+64%</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b/>
                                <w:bCs/>
                                <w:sz w:val="16"/>
                                <w:szCs w:val="16"/>
                              </w:rPr>
                              <w:t>Λειτουργικά κέρδη / (ζημίες)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60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67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-11%</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18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val="en-US" w:eastAsia="el-GR"/>
                              </w:rPr>
                            </w:pPr>
                            <w:r>
                              <w:rPr>
                                <w:rFonts w:ascii="Aptos" w:hAnsi="Aptos"/>
                                <w:b/>
                                <w:bCs/>
                                <w:sz w:val="18"/>
                                <w:szCs w:val="18"/>
                              </w:rPr>
                              <w:t xml:space="preserve">11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+60%</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sz w:val="16"/>
                                <w:szCs w:val="16"/>
                              </w:rPr>
                              <w:t xml:space="preserve">Φόροι </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(6)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(6)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+3%</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 xml:space="preserve">(2)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kern w:val="24"/>
                                <w:sz w:val="18"/>
                                <w:szCs w:val="18"/>
                                <w:lang w:eastAsia="el-GR"/>
                              </w:rPr>
                            </w:pPr>
                            <w:r>
                              <w:rPr>
                                <w:rFonts w:ascii="Aptos" w:hAnsi="Aptos"/>
                                <w:sz w:val="18"/>
                                <w:szCs w:val="18"/>
                              </w:rPr>
                              <w:t xml:space="preserve">(1)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sz w:val="18"/>
                                <w:szCs w:val="18"/>
                                <w:lang w:eastAsia="el-GR"/>
                              </w:rPr>
                            </w:pPr>
                            <w:r>
                              <w:rPr>
                                <w:rFonts w:ascii="Aptos" w:hAnsi="Aptos"/>
                                <w:sz w:val="18"/>
                                <w:szCs w:val="18"/>
                              </w:rPr>
                              <w:t>+80%</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b/>
                                <w:bCs/>
                                <w:sz w:val="16"/>
                                <w:szCs w:val="16"/>
                              </w:rPr>
                              <w:t>Οργανικά κέρδη / (ζημίες) μετά από φόρους</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41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27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+54%</w:t>
                            </w:r>
                          </w:p>
                        </w:tc>
                        <w:tc>
                          <w:tcPr>
                            <w:tcW w:w="1152" w:type="dxa"/>
                            <w:tcBorders>
                              <w:top w:val="dashSmallGap" w:color="00ADBF" w:sz="4" w:space="0"/>
                              <w:left w:val="dashSmallGap" w:color="FF7415" w:sz="12" w:space="0"/>
                              <w:bottom w:val="dashSmallGap" w:color="00ADBF" w:sz="4" w:space="0"/>
                              <w:right w:val="dashSmallGap" w:color="FF7415" w:sz="12"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16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F5F9F6"/>
                            <w:vAlign w:val="center"/>
                          </w:tcPr>
                          <w:p>
                            <w:pPr>
                              <w:jc w:val="right"/>
                              <w:rPr>
                                <w:rFonts w:ascii="Aptos" w:hAnsi="Aptos" w:eastAsia="Times New Roman" w:cs="Arial"/>
                                <w:b/>
                                <w:bCs/>
                                <w:kern w:val="24"/>
                                <w:sz w:val="18"/>
                                <w:szCs w:val="18"/>
                                <w:lang w:eastAsia="el-GR"/>
                              </w:rPr>
                            </w:pPr>
                            <w:r>
                              <w:rPr>
                                <w:rFonts w:ascii="Aptos" w:hAnsi="Aptos"/>
                                <w:b/>
                                <w:bCs/>
                                <w:sz w:val="18"/>
                                <w:szCs w:val="18"/>
                              </w:rPr>
                              <w:t xml:space="preserve">10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F5F9F6"/>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+63%</w:t>
                            </w:r>
                          </w:p>
                        </w:tc>
                      </w:tr>
                      <w:tr>
                        <w:tblPrEx>
                          <w:tblCellMar>
                            <w:top w:w="0" w:type="dxa"/>
                            <w:left w:w="0" w:type="dxa"/>
                            <w:bottom w:w="0" w:type="dxa"/>
                            <w:right w:w="0" w:type="dxa"/>
                          </w:tblCellMar>
                        </w:tblPrEx>
                        <w:trPr>
                          <w:trHeight w:val="288" w:hRule="atLeast"/>
                        </w:trPr>
                        <w:tc>
                          <w:tcPr>
                            <w:tcW w:w="3024"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42" w:type="dxa"/>
                              <w:bottom w:w="0" w:type="dxa"/>
                              <w:right w:w="15" w:type="dxa"/>
                            </w:tcMar>
                          </w:tcPr>
                          <w:p>
                            <w:pPr>
                              <w:textAlignment w:val="center"/>
                              <w:rPr>
                                <w:rFonts w:ascii="Aptos" w:hAnsi="Aptos" w:eastAsia="Times New Roman" w:cs="Arial"/>
                                <w:sz w:val="18"/>
                                <w:szCs w:val="18"/>
                                <w:lang w:eastAsia="el-GR"/>
                              </w:rPr>
                            </w:pPr>
                            <w:r>
                              <w:rPr>
                                <w:rFonts w:ascii="Aptos" w:hAnsi="Aptos"/>
                                <w:b/>
                                <w:bCs/>
                                <w:sz w:val="16"/>
                                <w:szCs w:val="16"/>
                              </w:rPr>
                              <w:t>Κέρδη / (ζημίες) μετά από φόρους που αναλογούν στους μετόχους της Τράπεζας</w:t>
                            </w:r>
                          </w:p>
                        </w:tc>
                        <w:tc>
                          <w:tcPr>
                            <w:tcW w:w="1152" w:type="dxa"/>
                            <w:tcBorders>
                              <w:top w:val="dashSmallGap" w:color="00ADBF" w:sz="4" w:space="0"/>
                              <w:left w:val="dashSmallGap" w:color="FF7415" w:sz="12" w:space="0"/>
                              <w:bottom w:val="dashSmallGap" w:color="FF7415" w:sz="12"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50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50 </w:t>
                            </w:r>
                          </w:p>
                        </w:tc>
                        <w:tc>
                          <w:tcPr>
                            <w:tcW w:w="1152" w:type="dxa"/>
                            <w:tcBorders>
                              <w:top w:val="dashSmallGap" w:color="00ADBF" w:sz="4" w:space="0"/>
                              <w:left w:val="dashSmallGap" w:color="00ADBF" w:sz="4" w:space="0"/>
                              <w:bottom w:val="dashSmallGap" w:color="00ADBF" w:sz="4"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+0%</w:t>
                            </w:r>
                          </w:p>
                        </w:tc>
                        <w:tc>
                          <w:tcPr>
                            <w:tcW w:w="1152" w:type="dxa"/>
                            <w:tcBorders>
                              <w:top w:val="dashSmallGap" w:color="00ADBF" w:sz="4" w:space="0"/>
                              <w:left w:val="dashSmallGap" w:color="FF7415" w:sz="12" w:space="0"/>
                              <w:bottom w:val="dashSmallGap" w:color="FF7415" w:sz="12" w:space="0"/>
                              <w:right w:val="dashSmallGap" w:color="FF7415" w:sz="12"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 xml:space="preserve">14 </w:t>
                            </w:r>
                          </w:p>
                        </w:tc>
                        <w:tc>
                          <w:tcPr>
                            <w:tcW w:w="1152" w:type="dxa"/>
                            <w:tcBorders>
                              <w:top w:val="dashSmallGap" w:color="00ADBF" w:sz="4" w:space="0"/>
                              <w:left w:val="dashSmallGap" w:color="FF7415" w:sz="12" w:space="0"/>
                              <w:bottom w:val="dashSmallGap" w:color="00ADBF" w:sz="4" w:space="0"/>
                              <w:right w:val="dashSmallGap" w:color="00ADBF" w:sz="4" w:space="0"/>
                            </w:tcBorders>
                            <w:shd w:val="clear" w:color="auto" w:fill="auto"/>
                            <w:vAlign w:val="center"/>
                          </w:tcPr>
                          <w:p>
                            <w:pPr>
                              <w:jc w:val="right"/>
                              <w:rPr>
                                <w:rFonts w:ascii="Aptos" w:hAnsi="Aptos" w:eastAsia="Times New Roman" w:cs="Arial"/>
                                <w:b/>
                                <w:bCs/>
                                <w:kern w:val="24"/>
                                <w:sz w:val="18"/>
                                <w:szCs w:val="18"/>
                                <w:lang w:eastAsia="el-GR"/>
                              </w:rPr>
                            </w:pPr>
                            <w:r>
                              <w:rPr>
                                <w:rFonts w:ascii="Aptos" w:hAnsi="Aptos"/>
                                <w:b/>
                                <w:bCs/>
                                <w:sz w:val="18"/>
                                <w:szCs w:val="18"/>
                              </w:rPr>
                              <w:t xml:space="preserve">10 </w:t>
                            </w:r>
                          </w:p>
                        </w:tc>
                        <w:tc>
                          <w:tcPr>
                            <w:tcW w:w="1152" w:type="dxa"/>
                            <w:tcBorders>
                              <w:top w:val="dashSmallGap" w:color="00ADBF" w:sz="4" w:space="0"/>
                              <w:left w:val="dashSmallGap" w:color="00ADBF" w:sz="4" w:space="0"/>
                              <w:bottom w:val="dashSmallGap" w:color="00ADBF" w:sz="4" w:space="0"/>
                              <w:right w:val="dashSmallGap" w:color="00ADBF" w:sz="4" w:space="0"/>
                            </w:tcBorders>
                            <w:shd w:val="clear" w:color="auto" w:fill="auto"/>
                            <w:tcMar>
                              <w:top w:w="15" w:type="dxa"/>
                              <w:left w:w="144" w:type="dxa"/>
                              <w:bottom w:w="0" w:type="dxa"/>
                              <w:right w:w="144" w:type="dxa"/>
                            </w:tcMar>
                            <w:vAlign w:val="center"/>
                          </w:tcPr>
                          <w:p>
                            <w:pPr>
                              <w:jc w:val="right"/>
                              <w:rPr>
                                <w:rFonts w:ascii="Aptos" w:hAnsi="Aptos" w:eastAsia="Times New Roman" w:cs="Arial"/>
                                <w:b/>
                                <w:bCs/>
                                <w:sz w:val="18"/>
                                <w:szCs w:val="18"/>
                                <w:lang w:eastAsia="el-GR"/>
                              </w:rPr>
                            </w:pPr>
                            <w:r>
                              <w:rPr>
                                <w:rFonts w:ascii="Aptos" w:hAnsi="Aptos"/>
                                <w:b/>
                                <w:bCs/>
                                <w:sz w:val="18"/>
                                <w:szCs w:val="18"/>
                              </w:rPr>
                              <w:t>+46%</w:t>
                            </w:r>
                          </w:p>
                        </w:tc>
                      </w:tr>
                    </w:tbl>
                    <w:p>
                      <w:pPr>
                        <w:jc w:val="both"/>
                        <w:rPr>
                          <w:rFonts w:ascii="Aptos" w:hAnsi="Aptos" w:eastAsia="Times New Roman" w:cs="Segoe UI"/>
                          <w:kern w:val="24"/>
                          <w:sz w:val="12"/>
                          <w:szCs w:val="12"/>
                          <w:lang w:val="en-US" w:eastAsia="el-GR"/>
                        </w:rPr>
                      </w:pPr>
                    </w:p>
                    <w:p>
                      <w:pPr>
                        <w:jc w:val="both"/>
                        <w:textAlignment w:val="baseline"/>
                        <w:rPr>
                          <w:rFonts w:ascii="Aptos" w:hAnsi="Aptos" w:cs="Segoe UI"/>
                          <w:kern w:val="24"/>
                          <w:sz w:val="7"/>
                          <w:szCs w:val="7"/>
                          <w:lang w:val="en-US"/>
                        </w:rPr>
                      </w:pPr>
                      <w:r>
                        <w:rPr>
                          <w:rFonts w:ascii="Aptos" w:hAnsi="Aptos" w:cs="Segoe UI"/>
                          <w:kern w:val="24"/>
                          <w:sz w:val="7"/>
                          <w:szCs w:val="7"/>
                          <w:lang w:val="en-US"/>
                        </w:rPr>
                        <w:br w:type="page"/>
                      </w:r>
                    </w:p>
                    <w:p>
                      <w:pPr>
                        <w:spacing w:before="120"/>
                        <w:jc w:val="both"/>
                        <w:rPr>
                          <w:rFonts w:ascii="Aptos Light" w:hAnsi="Aptos Light" w:eastAsiaTheme="minorEastAsia"/>
                          <w:kern w:val="24"/>
                          <w:sz w:val="16"/>
                          <w:szCs w:val="16"/>
                          <w:lang w:eastAsia="en-GB"/>
                        </w:rPr>
                      </w:pPr>
                    </w:p>
                  </w:txbxContent>
                </v:textbox>
              </v:shape>
            </w:pict>
          </mc:Fallback>
        </mc:AlternateContent>
      </w:r>
    </w:p>
    <w:p>
      <w:pPr>
        <w:rPr>
          <w:rFonts w:ascii="Aptos" w:hAnsi="Aptos" w:eastAsia="Times New Roman" w:cs="Segoe UI"/>
          <w:color w:val="595959"/>
          <w:kern w:val="24"/>
          <w:sz w:val="12"/>
          <w:szCs w:val="12"/>
          <w:lang w:eastAsia="el-GR"/>
        </w:rPr>
      </w:pPr>
      <w:r>
        <w:rPr>
          <w:rFonts w:ascii="Aptos" w:hAnsi="Aptos" w:eastAsia="Times New Roman" w:cs="Segoe UI"/>
          <w:color w:val="595959"/>
          <w:kern w:val="24"/>
          <w:sz w:val="12"/>
          <w:szCs w:val="12"/>
          <w:lang w:eastAsia="el-GR"/>
        </w:rPr>
        <w:br w:type="page"/>
      </w:r>
    </w:p>
    <w:p>
      <w:pPr>
        <w:pStyle w:val="30"/>
        <w:pBdr>
          <w:bottom w:val="none" w:color="auto" w:sz="0" w:space="0"/>
        </w:pBdr>
        <w:rPr>
          <w:rFonts w:ascii="Aptos" w:hAnsi="Aptos"/>
          <w:color w:val="595959"/>
          <w:szCs w:val="28"/>
          <w:lang w:val="el-GR"/>
        </w:rPr>
      </w:pPr>
      <w:r>
        <w:rPr>
          <w:rFonts w:ascii="Segoe UI" w:hAnsi="Segoe UI" w:cs="Segoe UI"/>
          <w:b w:val="0"/>
          <w:bCs w:val="0"/>
          <w:color w:val="007B85"/>
          <w:sz w:val="24"/>
          <w:lang w:val="el-GR" w:eastAsia="el-GR"/>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3175</wp:posOffset>
                </wp:positionV>
                <wp:extent cx="6480810" cy="411480"/>
                <wp:effectExtent l="0" t="0" r="0" b="7620"/>
                <wp:wrapSquare wrapText="bothSides"/>
                <wp:docPr id="49" name="Text Box 3"/>
                <wp:cNvGraphicFramePr/>
                <a:graphic xmlns:a="http://schemas.openxmlformats.org/drawingml/2006/main">
                  <a:graphicData uri="http://schemas.microsoft.com/office/word/2010/wordprocessingShape">
                    <wps:wsp>
                      <wps:cNvSpPr txBox="1">
                        <a:spLocks noChangeArrowheads="1"/>
                      </wps:cNvSpPr>
                      <wps:spPr bwMode="auto">
                        <a:xfrm>
                          <a:off x="0" y="0"/>
                          <a:ext cx="6480810" cy="411480"/>
                        </a:xfrm>
                        <a:prstGeom prst="rect">
                          <a:avLst/>
                        </a:prstGeom>
                        <a:solidFill>
                          <a:srgbClr val="003841"/>
                        </a:solidFill>
                        <a:ln w="9525">
                          <a:noFill/>
                        </a:ln>
                      </wps:spPr>
                      <wps:txbx>
                        <w:txbxContent>
                          <w:p>
                            <w:pPr>
                              <w:pStyle w:val="16"/>
                              <w:spacing w:before="0" w:beforeAutospacing="0" w:after="0" w:afterAutospacing="0" w:line="264" w:lineRule="auto"/>
                              <w:rPr>
                                <w:rFonts w:ascii="Aptos" w:hAnsi="Aptos" w:eastAsia="Calibri" w:cs="Segoe UI"/>
                                <w:bCs/>
                                <w:color w:val="FFFFFF" w:themeColor="background1"/>
                                <w:sz w:val="20"/>
                                <w:szCs w:val="20"/>
                                <w:lang w:eastAsia="el-GR"/>
                                <w14:textFill>
                                  <w14:solidFill>
                                    <w14:schemeClr w14:val="bg1"/>
                                  </w14:solidFill>
                                </w14:textFill>
                              </w:rPr>
                            </w:pPr>
                            <w:r>
                              <w:rPr>
                                <w:rFonts w:ascii="Aptos ExtraBold" w:hAnsi="Aptos ExtraBold" w:eastAsia="+mn-ea" w:cs="+mn-cs"/>
                                <w:b/>
                                <w:bCs/>
                                <w:color w:val="FFFFFF" w:themeColor="background1"/>
                                <w:kern w:val="24"/>
                                <w:sz w:val="36"/>
                                <w:szCs w:val="42"/>
                                <w14:textFill>
                                  <w14:solidFill>
                                    <w14:schemeClr w14:val="bg1"/>
                                  </w14:solidFill>
                                </w14:textFill>
                                <w14:props3d w14:extrusionH="0" w14:contourW="0" w14:prstMaterial="matte"/>
                              </w:rPr>
                              <w:t>Κερδοφορία</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top:0.25pt;height:32.4pt;width:510.3pt;mso-position-horizontal:left;mso-position-horizontal-relative:margin;mso-wrap-distance-bottom:0pt;mso-wrap-distance-left:9pt;mso-wrap-distance-right:9pt;mso-wrap-distance-top:0pt;z-index:251660288;mso-width-relative:page;mso-height-relative:page;" fillcolor="#003841" filled="t" stroked="f" coordsize="21600,21600" o:gfxdata="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e7lAHUAAAA&#10;BQEAAA8AAAAAAAAAAQAgAAAAIgAAAGRycy9kb3ducmV2LnhtbFBLAQIUABQAAAAIAIdO4kB402eE&#10;IQIAAEcEAAAOAAAAAAAAAAEAIAAAACMBAABkcnMvZTJvRG9jLnhtbFBLBQYAAAAABgAGAFkBAAC2&#10;BQAAAAA=&#10;">
                <v:fill on="t" focussize="0,0"/>
                <v:stroke on="f"/>
                <v:imagedata o:title=""/>
                <o:lock v:ext="edit" aspectratio="f"/>
                <v:textbox>
                  <w:txbxContent>
                    <w:p>
                      <w:pPr>
                        <w:pStyle w:val="16"/>
                        <w:spacing w:before="0" w:beforeAutospacing="0" w:after="0" w:afterAutospacing="0" w:line="264" w:lineRule="auto"/>
                        <w:rPr>
                          <w:rFonts w:ascii="Aptos" w:hAnsi="Aptos" w:eastAsia="Calibri" w:cs="Segoe UI"/>
                          <w:bCs/>
                          <w:color w:val="FFFFFF" w:themeColor="background1"/>
                          <w:sz w:val="20"/>
                          <w:szCs w:val="20"/>
                          <w:lang w:eastAsia="el-GR"/>
                          <w14:textFill>
                            <w14:solidFill>
                              <w14:schemeClr w14:val="bg1"/>
                            </w14:solidFill>
                          </w14:textFill>
                        </w:rPr>
                      </w:pPr>
                      <w:r>
                        <w:rPr>
                          <w:rFonts w:ascii="Aptos ExtraBold" w:hAnsi="Aptos ExtraBold" w:eastAsia="+mn-ea" w:cs="+mn-cs"/>
                          <w:b/>
                          <w:bCs/>
                          <w:color w:val="FFFFFF" w:themeColor="background1"/>
                          <w:kern w:val="24"/>
                          <w:sz w:val="36"/>
                          <w:szCs w:val="42"/>
                          <w14:textFill>
                            <w14:solidFill>
                              <w14:schemeClr w14:val="bg1"/>
                            </w14:solidFill>
                          </w14:textFill>
                          <w14:props3d w14:extrusionH="0" w14:contourW="0" w14:prstMaterial="matte"/>
                        </w:rPr>
                        <w:t>Κερδοφορία</w:t>
                      </w:r>
                    </w:p>
                  </w:txbxContent>
                </v:textbox>
                <w10:wrap type="square"/>
              </v:shape>
            </w:pict>
          </mc:Fallback>
        </mc:AlternateContent>
      </w:r>
      <w:r>
        <w:rPr>
          <w:rFonts w:ascii="Aptos" w:hAnsi="Aptos"/>
          <w:color w:val="007B85"/>
          <w:szCs w:val="28"/>
          <w:lang w:val="el-GR"/>
        </w:rPr>
        <w:t>Ελλάδα</w:t>
      </w:r>
    </w:p>
    <w:p>
      <w:pPr>
        <w:autoSpaceDE w:val="0"/>
        <w:autoSpaceDN w:val="0"/>
        <w:adjustRightInd w:val="0"/>
        <w:spacing w:after="160" w:line="320" w:lineRule="atLeast"/>
        <w:jc w:val="both"/>
        <w:rPr>
          <w:rFonts w:ascii="Aptos" w:hAnsi="Aptos" w:cs="Segoe UI"/>
          <w:sz w:val="20"/>
        </w:rPr>
      </w:pPr>
      <w:r>
        <w:rPr>
          <w:rFonts w:ascii="Aptos" w:hAnsi="Aptos" w:cs="Segoe UI"/>
          <w:sz w:val="20"/>
        </w:rPr>
        <w:t xml:space="preserve">Τα </w:t>
      </w:r>
      <w:r>
        <w:rPr>
          <w:rFonts w:ascii="Aptos" w:hAnsi="Aptos" w:cs="Segoe UI"/>
          <w:b/>
          <w:bCs/>
          <w:sz w:val="20"/>
        </w:rPr>
        <w:t>οργανικά κέρδη μετά φόρων</w:t>
      </w:r>
      <w:r>
        <w:rPr>
          <w:rFonts w:ascii="Aptos" w:hAnsi="Aptos" w:cs="Segoe UI"/>
          <w:sz w:val="20"/>
        </w:rPr>
        <w:t xml:space="preserve"> αυξήθηκαν κατά σχεδόν 3 φορές σε €1.158 εκατ. το 2023, υπερβαίνοντας σημαντικά το στόχο που είχαμε θέσει τον Αύγουστο 2023. Κύριοι συντελεστές αυτής της υψηλής επίδοσης, εκτός από την ισχυρή δυναμική των καθαρών επιτοκιακών εσόδων, ήταν η σημαντική αύξηση των καθαρών εσόδων από προμήθειες, η συντηρητική διαχείριση των δαπανών προσωπικού και των γενικών και διοικητικών εξόδων, καθώς και η συνεχιζόμενη ομαλοποίηση του κόστους πιστωτικού κινδύνου. Σε τριμηνιαία βάση, τα </w:t>
      </w:r>
      <w:r>
        <w:rPr>
          <w:rFonts w:ascii="Aptos" w:hAnsi="Aptos" w:cs="Segoe UI"/>
          <w:b/>
          <w:bCs/>
          <w:sz w:val="20"/>
        </w:rPr>
        <w:t>οργανικά κέρδη μετά φόρων</w:t>
      </w:r>
      <w:r>
        <w:rPr>
          <w:rFonts w:ascii="Aptos" w:hAnsi="Aptos" w:cs="Segoe UI"/>
          <w:sz w:val="20"/>
        </w:rPr>
        <w:t xml:space="preserve"> διαμορφώθηκαν σε €329 εκατ. το Δ’ τρίμηνο 2023.  </w:t>
      </w:r>
    </w:p>
    <w:p>
      <w:pPr>
        <w:autoSpaceDE w:val="0"/>
        <w:autoSpaceDN w:val="0"/>
        <w:adjustRightInd w:val="0"/>
        <w:spacing w:after="160" w:line="320" w:lineRule="atLeast"/>
        <w:jc w:val="both"/>
        <w:rPr>
          <w:rFonts w:ascii="Aptos" w:hAnsi="Aptos" w:cs="Segoe UI"/>
          <w:bCs/>
          <w:sz w:val="20"/>
        </w:rPr>
      </w:pPr>
      <w:r>
        <w:rPr>
          <w:rFonts w:ascii="Aptos" w:hAnsi="Aptos" w:cs="Segoe UI"/>
          <w:bCs/>
          <w:sz w:val="20"/>
        </w:rPr>
        <w:t>Τα υψηλότερα βασικά επιτόκια</w:t>
      </w:r>
      <w:r>
        <w:t xml:space="preserve"> </w:t>
      </w:r>
      <w:r>
        <w:rPr>
          <w:rFonts w:ascii="Aptos" w:hAnsi="Aptos" w:cs="Segoe UI"/>
          <w:bCs/>
          <w:sz w:val="20"/>
        </w:rPr>
        <w:t xml:space="preserve">της ΕΚΤ, σε συνδυασμό με την ισχυρή επέκταση των εγχώριων εξυπηρετούμενων δανείων κατά +€0,8 δισ. στο τελευταίο τρίμηνο, απορρόφησαν την αύξηση στο κόστος καταθέσεων και χρηματοδότησης, οδηγώντας τα </w:t>
      </w:r>
      <w:r>
        <w:rPr>
          <w:rFonts w:ascii="Aptos" w:hAnsi="Aptos" w:cs="Segoe UI"/>
          <w:b/>
          <w:sz w:val="20"/>
        </w:rPr>
        <w:t>καθαρά έσοδα από τόκους</w:t>
      </w:r>
      <w:r>
        <w:rPr>
          <w:rFonts w:ascii="Aptos" w:hAnsi="Aptos" w:cs="Segoe UI"/>
          <w:bCs/>
          <w:sz w:val="20"/>
        </w:rPr>
        <w:t xml:space="preserve"> +6% υψηλότερα σε σχέση με το προηγούμενο τρίμηνο, σε €594 εκατ. Η ανατιμολόγηση των βασικών επιτοκίων στα δάνεια (</w:t>
      </w:r>
      <w:r>
        <w:rPr>
          <w:rFonts w:ascii="Aptos" w:hAnsi="Aptos" w:cs="Segoe UI"/>
          <w:bCs/>
          <w:sz w:val="20"/>
          <w:lang w:val="en-US"/>
        </w:rPr>
        <w:t>loan</w:t>
      </w:r>
      <w:r>
        <w:rPr>
          <w:rFonts w:ascii="Aptos" w:hAnsi="Aptos" w:cs="Segoe UI"/>
          <w:bCs/>
          <w:sz w:val="20"/>
        </w:rPr>
        <w:t xml:space="preserve"> </w:t>
      </w:r>
      <w:r>
        <w:rPr>
          <w:rFonts w:ascii="Aptos" w:hAnsi="Aptos" w:cs="Segoe UI"/>
          <w:bCs/>
          <w:sz w:val="20"/>
          <w:lang w:val="en-US"/>
        </w:rPr>
        <w:t>pass</w:t>
      </w:r>
      <w:r>
        <w:rPr>
          <w:rFonts w:ascii="Aptos" w:hAnsi="Aptos" w:cs="Segoe UI"/>
          <w:bCs/>
          <w:sz w:val="20"/>
        </w:rPr>
        <w:t xml:space="preserve"> </w:t>
      </w:r>
      <w:r>
        <w:rPr>
          <w:rFonts w:ascii="Aptos" w:hAnsi="Aptos" w:cs="Segoe UI"/>
          <w:bCs/>
          <w:sz w:val="20"/>
          <w:lang w:val="en-US"/>
        </w:rPr>
        <w:t>through</w:t>
      </w:r>
      <w:r>
        <w:rPr>
          <w:rFonts w:ascii="Aptos" w:hAnsi="Aptos" w:cs="Segoe UI"/>
          <w:bCs/>
          <w:sz w:val="20"/>
        </w:rPr>
        <w:t>) έφτασε το 73% το Δ’ τρίμηνο 2023, υποστηρίζοντας την υγιή μείωση του δανειακού επιτοκιακού περιθωρίου, ενώ η ενσωμάτωση της αύξησης των βασικών επιτοκίων στα επιτόκια καταθέσεων (</w:t>
      </w:r>
      <w:r>
        <w:rPr>
          <w:rFonts w:ascii="Aptos" w:hAnsi="Aptos" w:cs="Segoe UI"/>
          <w:bCs/>
          <w:sz w:val="20"/>
          <w:lang w:val="en-US"/>
        </w:rPr>
        <w:t>deposit</w:t>
      </w:r>
      <w:r>
        <w:rPr>
          <w:rFonts w:ascii="Aptos" w:hAnsi="Aptos" w:cs="Segoe UI"/>
          <w:bCs/>
          <w:sz w:val="20"/>
        </w:rPr>
        <w:t xml:space="preserve"> </w:t>
      </w:r>
      <w:r>
        <w:rPr>
          <w:rFonts w:ascii="Aptos" w:hAnsi="Aptos" w:cs="Segoe UI"/>
          <w:bCs/>
          <w:sz w:val="20"/>
          <w:lang w:val="en-US"/>
        </w:rPr>
        <w:t>beta</w:t>
      </w:r>
      <w:r>
        <w:rPr>
          <w:rFonts w:ascii="Aptos" w:hAnsi="Aptos" w:cs="Segoe UI"/>
          <w:bCs/>
          <w:sz w:val="20"/>
        </w:rPr>
        <w:t xml:space="preserve">) παραμένει σχετικά χαμηλή, στο 11% για το σύνολο των καταθέσεων, αντανακλώντας την ισχυρή και σχετικά σταθερή βάση καταθέσεων πρώτης ζήτησης (79% του συνόλου), η οποία αποτελείται κυρίως από λογαριασμούς ταμιευτηρίου με μέσο υπόλοιπο ~€4 χιλ. ανά πελάτη. Το 2023, τα καθαρά έσοδα από τόκους αυξήθηκαν σε €2.160 εκατ., ως αποτέλεσμα των υψηλότερων βασικών επιτοκίων της ΕΚΤ, της υγιούς αύξησης των εξυπηρετούμενων δανείων κατά +€1,2 δισ. ετησίως στην Ελλάδα, καθώς και της αυξημένης συνεισφοράς των εσόδων από χρεόγραφα, ωθώντας το </w:t>
      </w:r>
      <w:r>
        <w:rPr>
          <w:rFonts w:ascii="Aptos" w:hAnsi="Aptos" w:cs="Segoe UI"/>
          <w:b/>
          <w:sz w:val="20"/>
        </w:rPr>
        <w:t>καθαρό επιτοκιακό περιθώριο</w:t>
      </w:r>
      <w:r>
        <w:rPr>
          <w:rFonts w:ascii="Aptos" w:hAnsi="Aptos" w:cs="Segoe UI"/>
          <w:bCs/>
          <w:sz w:val="20"/>
        </w:rPr>
        <w:t xml:space="preserve"> υψηλότερα στις 302 μονάδες βάσης. </w:t>
      </w:r>
    </w:p>
    <w:p>
      <w:pPr>
        <w:autoSpaceDE w:val="0"/>
        <w:autoSpaceDN w:val="0"/>
        <w:adjustRightInd w:val="0"/>
        <w:spacing w:after="160" w:line="320" w:lineRule="atLeast"/>
        <w:jc w:val="both"/>
        <w:rPr>
          <w:rFonts w:ascii="Aptos" w:hAnsi="Aptos" w:cs="Segoe UI"/>
          <w:bCs/>
          <w:sz w:val="20"/>
        </w:rPr>
      </w:pPr>
      <w:r>
        <w:rPr>
          <w:rFonts w:ascii="Aptos" w:hAnsi="Aptos" w:cs="Segoe UI"/>
          <w:bCs/>
          <w:sz w:val="20"/>
        </w:rPr>
        <w:t xml:space="preserve">Τα </w:t>
      </w:r>
      <w:r>
        <w:rPr>
          <w:rFonts w:ascii="Aptos" w:hAnsi="Aptos" w:cs="Segoe UI"/>
          <w:b/>
          <w:sz w:val="20"/>
        </w:rPr>
        <w:t>καθαρά έσοδα από προμήθειες</w:t>
      </w:r>
      <w:r>
        <w:rPr>
          <w:rFonts w:ascii="Aptos" w:hAnsi="Aptos" w:cs="Segoe UI"/>
          <w:bCs/>
          <w:sz w:val="20"/>
        </w:rPr>
        <w:t xml:space="preserve"> ανήλθαν σε €106 εκατ. το Δ΄ τρίμηνο 2023, σημειώνοντας αύξηση κατά +15% σε τριμηνιαία βάση, αποτυπώνοντας τους ισχυρούς ρυθμούς ανάπτυξης στις προμήθειες σχετιζόμενες με τη χορήγηση δανείων Λιανικής και Εταιρικής Τραπεζικής, τα επενδυτικά και τραπεζοασφαλιστικά (</w:t>
      </w:r>
      <w:r>
        <w:rPr>
          <w:rFonts w:ascii="Aptos" w:hAnsi="Aptos" w:cs="Segoe UI"/>
          <w:bCs/>
          <w:sz w:val="20"/>
          <w:lang w:val="en-US"/>
        </w:rPr>
        <w:t>bancassurance</w:t>
      </w:r>
      <w:r>
        <w:rPr>
          <w:rFonts w:ascii="Aptos" w:hAnsi="Aptos" w:cs="Segoe UI"/>
          <w:bCs/>
          <w:sz w:val="20"/>
        </w:rPr>
        <w:t xml:space="preserve">) προϊόντα, καθώς και τη χρηματοδότηση εμπορικών συναλλαγών (trade finance). Ως αποτέλεσμα, τα καθαρά έσοδα από προμήθειες αυξήθηκαν κατά +11% σε ετήσια βάση στα €367 εκατ. για το 2023. </w:t>
      </w:r>
    </w:p>
    <w:p>
      <w:pPr>
        <w:autoSpaceDE w:val="0"/>
        <w:autoSpaceDN w:val="0"/>
        <w:adjustRightInd w:val="0"/>
        <w:spacing w:after="160" w:line="320" w:lineRule="atLeast"/>
        <w:jc w:val="both"/>
        <w:rPr>
          <w:rFonts w:ascii="Aptos" w:hAnsi="Aptos" w:cs="Segoe UI"/>
          <w:bCs/>
          <w:sz w:val="20"/>
        </w:rPr>
      </w:pPr>
      <w:r>
        <w:rPr>
          <w:rFonts w:ascii="Aptos" w:hAnsi="Aptos" w:cs="Segoe UI"/>
          <w:bCs/>
          <w:sz w:val="20"/>
        </w:rPr>
        <w:t xml:space="preserve">Οι </w:t>
      </w:r>
      <w:r>
        <w:rPr>
          <w:rFonts w:ascii="Aptos" w:hAnsi="Aptos" w:cs="Segoe UI"/>
          <w:b/>
          <w:sz w:val="20"/>
        </w:rPr>
        <w:t>λειτουργικές δαπάνες</w:t>
      </w:r>
      <w:r>
        <w:rPr>
          <w:rFonts w:ascii="Aptos" w:hAnsi="Aptos" w:cs="Segoe UI"/>
          <w:bCs/>
          <w:sz w:val="20"/>
        </w:rPr>
        <w:t xml:space="preserve"> αυξήθηκαν κατά 4% σε ετήσια βάση, σε €783 εκατ. το 2023, αντανακλώντας τις υψηλότερες αποσβέσεις λόγω των στρατηγικών μας επενδύσεων στον τομέα της πληροφορικής και σε υποδομές τεχνολογίας, συμπεριλαμβανομένης της αντικατάστασης του συστήματος Βασικών Τραπεζικών Εργασιών (Core Banking System) της Τράπεζας, η οποία αναμένεται να ολοκληρωθεί το 2025. Ο συνεχιζόμενος μετασχηματισμός μας στον τομέα της πληροφορικής αποτελεί βασικό συγκριτικό πλεονέκτημα, ενισχύοντας τη λειτουργική μας αποτελεσματικότητα, αυτοματοποιώντας τις διαδικασίες που εφαρμόζουμε και βελτιώνοντας τις εμπορικές μας συναλλαγές.</w:t>
      </w:r>
      <w:r>
        <w:t xml:space="preserve"> </w:t>
      </w:r>
      <w:r>
        <w:rPr>
          <w:rFonts w:ascii="Aptos" w:hAnsi="Aptos" w:cs="Segoe UI"/>
          <w:bCs/>
          <w:sz w:val="20"/>
        </w:rPr>
        <w:t xml:space="preserve">Οι </w:t>
      </w:r>
      <w:r>
        <w:rPr>
          <w:rFonts w:ascii="Aptos" w:hAnsi="Aptos" w:cs="Segoe UI"/>
          <w:b/>
          <w:sz w:val="20"/>
        </w:rPr>
        <w:t>δαπάνες προσωπικού</w:t>
      </w:r>
      <w:r>
        <w:rPr>
          <w:rFonts w:ascii="Aptos" w:hAnsi="Aptos" w:cs="Segoe UI"/>
          <w:bCs/>
          <w:sz w:val="20"/>
        </w:rPr>
        <w:t xml:space="preserve"> αυξήθηκαν κατά +3% σε ετήσια βάση, αντανακλώντας τη νέα κλαδική συλλογική σύμβαση εργασίας και το σύστημα κυμαινόμενων αποδοχών, ενώ η αύξηση των </w:t>
      </w:r>
      <w:r>
        <w:rPr>
          <w:rFonts w:ascii="Aptos" w:hAnsi="Aptos" w:cs="Segoe UI"/>
          <w:b/>
          <w:sz w:val="20"/>
        </w:rPr>
        <w:t>γενικών και διοικητικών εξόδων</w:t>
      </w:r>
      <w:r>
        <w:rPr>
          <w:rFonts w:ascii="Aptos" w:hAnsi="Aptos" w:cs="Segoe UI"/>
          <w:bCs/>
          <w:sz w:val="20"/>
        </w:rPr>
        <w:t xml:space="preserve"> διαμορφώθηκε σε αισθητά χαμηλότερα επίπεδα του πληθωρισμού, στο +2% σε ετήσια βάση. Το Δ’ τρίμηνο 2023, οι λειτουργικές δαπάνες επηρεάστηκαν από εποχικότητα και μεταβλητές αμοιβές. Η αυστηρή διαχείριση των δαπανών προσωπικού και των γενικών και διοικητικών εξόδων, σε συνδυασμό με την ισχυρή αύξηση των οργανικών εσόδων μείωσε τον </w:t>
      </w:r>
      <w:r>
        <w:rPr>
          <w:rFonts w:ascii="Aptos" w:hAnsi="Aptos" w:cs="Segoe UI"/>
          <w:b/>
          <w:sz w:val="20"/>
        </w:rPr>
        <w:t>δείκτη κόστους προς οργανικά έσοδα</w:t>
      </w:r>
      <w:r>
        <w:rPr>
          <w:rFonts w:ascii="Aptos" w:hAnsi="Aptos" w:cs="Segoe UI"/>
          <w:bCs/>
          <w:sz w:val="20"/>
        </w:rPr>
        <w:t xml:space="preserve"> σε 31% το 2023 από 46% το 2022.</w:t>
      </w:r>
    </w:p>
    <w:p>
      <w:pPr>
        <w:autoSpaceDE w:val="0"/>
        <w:autoSpaceDN w:val="0"/>
        <w:adjustRightInd w:val="0"/>
        <w:spacing w:after="160" w:line="320" w:lineRule="atLeast"/>
        <w:jc w:val="both"/>
        <w:rPr>
          <w:rFonts w:ascii="Aptos" w:hAnsi="Aptos" w:cs="Segoe UI"/>
          <w:bCs/>
          <w:sz w:val="20"/>
        </w:rPr>
      </w:pPr>
      <w:r>
        <w:rPr>
          <w:rFonts w:ascii="Aptos" w:hAnsi="Aptos" w:cs="Segoe UI"/>
          <w:bCs/>
          <w:sz w:val="20"/>
        </w:rPr>
        <w:t xml:space="preserve">Οι </w:t>
      </w:r>
      <w:r>
        <w:rPr>
          <w:rFonts w:ascii="Aptos" w:hAnsi="Aptos" w:cs="Segoe UI"/>
          <w:b/>
          <w:sz w:val="20"/>
        </w:rPr>
        <w:t>προβλέψεις για επισφαλείς απαιτήσεις</w:t>
      </w:r>
      <w:r>
        <w:rPr>
          <w:rFonts w:ascii="Aptos" w:hAnsi="Aptos" w:cs="Segoe UI"/>
          <w:bCs/>
          <w:sz w:val="20"/>
        </w:rPr>
        <w:t xml:space="preserve"> ομαλοποιήθηκαν σε €189 εκατ. το 2023, ήτοι σε 62μ.β. επί του μέσου όρου δανείων μετά από προβλέψεις, έναντι €207 εκατ. το 2022. Το </w:t>
      </w:r>
      <w:r>
        <w:rPr>
          <w:rFonts w:ascii="Aptos" w:hAnsi="Aptos" w:cs="Segoe UI"/>
          <w:b/>
          <w:sz w:val="20"/>
        </w:rPr>
        <w:t>κόστος πιστωτικού κινδύνου</w:t>
      </w:r>
      <w:r>
        <w:rPr>
          <w:rFonts w:ascii="Aptos" w:hAnsi="Aptos" w:cs="Segoe UI"/>
          <w:bCs/>
          <w:sz w:val="20"/>
        </w:rPr>
        <w:t xml:space="preserve"> της Τράπεζας παραμένει στα χαμηλότερα επίπεδα του κλάδου και αντανακλά τα υψηλά επίπεδα κάλυψης ΜΕΑ από σωρευμένες προβλέψεις, καθώς και τη διατήρηση της δημιουργίας νέων ΜΕΑ σε χαμηλά επίπεδα, επιβεβαιώνοντας για άλλη μια φορά την ποιότητα του δανειακού μας χαρτοφυλακίου.</w:t>
      </w:r>
    </w:p>
    <w:tbl>
      <w:tblPr>
        <w:tblStyle w:val="58"/>
        <w:tblW w:w="10287"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5103"/>
        <w:gridCol w:w="518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872" w:hRule="atLeast"/>
          <w:jc w:val="center"/>
        </w:trPr>
        <w:tc>
          <w:tcPr>
            <w:tcW w:w="5103" w:type="dxa"/>
          </w:tcPr>
          <w:p>
            <w:pPr>
              <w:kinsoku w:val="0"/>
              <w:overflowPunct w:val="0"/>
              <w:spacing w:before="40"/>
              <w:ind w:left="547" w:hanging="547"/>
              <w:textAlignment w:val="baseline"/>
              <w:rPr>
                <w:rFonts w:ascii="Aptos" w:hAnsi="Aptos" w:eastAsia="Segoe UI" w:cs="Segoe UI"/>
                <w:b/>
                <w:color w:val="003841"/>
                <w:kern w:val="24"/>
                <w:sz w:val="20"/>
                <w:szCs w:val="20"/>
                <w:lang w:eastAsia="el-GR"/>
              </w:rPr>
            </w:pPr>
            <w:r>
              <w:rPr>
                <w:rFonts w:ascii="Aptos" w:hAnsi="Aptos" w:eastAsia="Segoe UI" w:cs="Segoe UI"/>
                <w:b/>
                <w:color w:val="003841"/>
                <w:kern w:val="24"/>
                <w:sz w:val="20"/>
                <w:szCs w:val="20"/>
                <w:lang w:eastAsia="el-GR"/>
              </w:rPr>
              <w:t xml:space="preserve">Καθαρά έσοδα από τόκους (€ εκατ., Ελλάδα) </w:t>
            </w:r>
          </w:p>
          <w:p>
            <w:pPr>
              <w:kinsoku w:val="0"/>
              <w:overflowPunct w:val="0"/>
              <w:spacing w:before="40"/>
              <w:ind w:left="547" w:hanging="547"/>
              <w:textAlignment w:val="baseline"/>
              <w:rPr>
                <w:rFonts w:ascii="Aptos" w:hAnsi="Aptos" w:eastAsia="Times New Roman" w:cs="Segoe UI"/>
                <w:color w:val="595959"/>
                <w:sz w:val="20"/>
                <w:szCs w:val="20"/>
                <w:lang w:val="en-US" w:eastAsia="el-GR"/>
              </w:rPr>
            </w:pPr>
            <w:r>
              <w:rPr>
                <w:rFonts w:ascii="Calibri" w:hAnsi="Calibri" w:eastAsia="Calibri" w:cs="Times New Roman"/>
                <w:color w:val="595959"/>
                <w:sz w:val="20"/>
                <w:szCs w:val="20"/>
                <w:lang w:eastAsia="el-GR"/>
              </w:rPr>
              <mc:AlternateContent>
                <mc:Choice Requires="wps">
                  <w:drawing>
                    <wp:anchor distT="0" distB="0" distL="114300" distR="114300" simplePos="0" relativeHeight="251687936" behindDoc="0" locked="0" layoutInCell="1" allowOverlap="1">
                      <wp:simplePos x="0" y="0"/>
                      <wp:positionH relativeFrom="column">
                        <wp:posOffset>2606040</wp:posOffset>
                      </wp:positionH>
                      <wp:positionV relativeFrom="paragraph">
                        <wp:posOffset>94615</wp:posOffset>
                      </wp:positionV>
                      <wp:extent cx="387985" cy="2066925"/>
                      <wp:effectExtent l="0" t="0" r="12065" b="28575"/>
                      <wp:wrapNone/>
                      <wp:docPr id="750847128" name="Rectangle 1"/>
                      <wp:cNvGraphicFramePr/>
                      <a:graphic xmlns:a="http://schemas.openxmlformats.org/drawingml/2006/main">
                        <a:graphicData uri="http://schemas.microsoft.com/office/word/2010/wordprocessingShape">
                          <wps:wsp>
                            <wps:cNvSpPr/>
                            <wps:spPr>
                              <a:xfrm>
                                <a:off x="0" y="0"/>
                                <a:ext cx="387985" cy="2066944"/>
                              </a:xfrm>
                              <a:prstGeom prst="rect">
                                <a:avLst/>
                              </a:prstGeom>
                              <a:noFill/>
                              <a:ln w="19050" cap="flat" cmpd="sng" algn="ctr">
                                <a:solidFill>
                                  <a:srgbClr val="FF7415"/>
                                </a:solidFill>
                                <a:prstDash val="sysDot"/>
                                <a:miter lim="800000"/>
                              </a:ln>
                              <a:effectLst/>
                            </wps:spPr>
                            <wps:txbx>
                              <w:txbxContent>
                                <w:p>
                                  <w:pPr>
                                    <w:jc w:val="center"/>
                                  </w:pPr>
                                </w:p>
                              </w:txbxContent>
                            </wps:txbx>
                            <wps:bodyPr/>
                          </wps:wsp>
                        </a:graphicData>
                      </a:graphic>
                    </wp:anchor>
                  </w:drawing>
                </mc:Choice>
                <mc:Fallback>
                  <w:pict>
                    <v:rect id="Rectangle 1" o:spid="_x0000_s1026" o:spt="1" style="position:absolute;left:0pt;margin-left:205.2pt;margin-top:7.45pt;height:162.75pt;width:30.55pt;z-index:251687936;mso-width-relative:page;mso-height-relative:page;" filled="f" stroked="t" coordsize="21600,21600" o:gfxdata="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8shCNkAAAAKAQAADwAAAAAAAAABACAAAAAiAAAAZHJzL2Rvd25yZXYueG1sUEsBAhQAFAAAAAgA&#10;h07iQOauYizrAQAA0wMAAA4AAAAAAAAAAQAgAAAAKAEAAGRycy9lMm9Eb2MueG1sUEsFBgAAAAAG&#10;AAYAWQEAAIUFAAAAAA==&#10;">
                      <v:fill on="f" focussize="0,0"/>
                      <v:stroke weight="1.5pt" color="#FF7415" miterlimit="8" joinstyle="miter" dashstyle="1 1"/>
                      <v:imagedata o:title=""/>
                      <o:lock v:ext="edit" aspectratio="f"/>
                      <v:textbox>
                        <w:txbxContent>
                          <w:p>
                            <w:pPr>
                              <w:jc w:val="center"/>
                            </w:pPr>
                          </w:p>
                        </w:txbxContent>
                      </v:textbox>
                    </v:rect>
                  </w:pict>
                </mc:Fallback>
              </mc:AlternateContent>
            </w:r>
            <w:r>
              <w:rPr>
                <w:rFonts w:ascii="Aptos" w:hAnsi="Aptos" w:eastAsia="Times New Roman" w:cs="Segoe UI"/>
                <w:color w:val="595959"/>
                <w:sz w:val="20"/>
                <w:szCs w:val="20"/>
                <w:lang w:eastAsia="el-GR"/>
              </w:rPr>
              <w:drawing>
                <wp:inline distT="0" distB="0" distL="0" distR="0">
                  <wp:extent cx="3103245" cy="2135505"/>
                  <wp:effectExtent l="0" t="0" r="1905" b="0"/>
                  <wp:docPr id="750847143" name="Chart 7508471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184" w:type="dxa"/>
          </w:tcPr>
          <w:p>
            <w:pPr>
              <w:kinsoku w:val="0"/>
              <w:overflowPunct w:val="0"/>
              <w:spacing w:before="40"/>
              <w:ind w:left="547" w:hanging="547"/>
              <w:textAlignment w:val="baseline"/>
              <w:rPr>
                <w:rFonts w:ascii="Aptos" w:hAnsi="Aptos" w:eastAsia="Segoe UI" w:cs="Segoe UI"/>
                <w:b/>
                <w:color w:val="003841"/>
                <w:kern w:val="24"/>
                <w:sz w:val="20"/>
                <w:szCs w:val="20"/>
                <w:lang w:eastAsia="el-GR"/>
              </w:rPr>
            </w:pPr>
            <w:r>
              <w:rPr>
                <w:rFonts w:ascii="Aptos" w:hAnsi="Aptos" w:eastAsia="Segoe UI" w:cs="Segoe UI"/>
                <w:b/>
                <w:color w:val="003841"/>
                <w:kern w:val="24"/>
                <w:sz w:val="20"/>
                <w:szCs w:val="20"/>
                <w:lang w:eastAsia="el-GR"/>
              </w:rPr>
              <w:t>Λειτουργικό κέρδος (€ δισ., Ελλάδα) | 2023</w:t>
            </w:r>
          </w:p>
          <w:p>
            <w:pPr>
              <w:kinsoku w:val="0"/>
              <w:overflowPunct w:val="0"/>
              <w:spacing w:before="40"/>
              <w:ind w:left="547" w:hanging="547"/>
              <w:textAlignment w:val="baseline"/>
              <w:rPr>
                <w:rFonts w:ascii="Aptos" w:hAnsi="Aptos" w:eastAsia="Segoe UI" w:cs="Segoe UI"/>
                <w:b/>
                <w:color w:val="595959"/>
                <w:kern w:val="24"/>
                <w:sz w:val="2"/>
                <w:szCs w:val="2"/>
                <w:lang w:val="en-US" w:eastAsia="el-GR"/>
              </w:rPr>
            </w:pPr>
            <w:r>
              <w:rPr>
                <w:rFonts w:ascii="Aptos" w:hAnsi="Aptos" w:eastAsia="Segoe UI" w:cs="Segoe UI"/>
                <w:b/>
                <w:color w:val="595959"/>
                <w:kern w:val="24"/>
                <w:sz w:val="2"/>
                <w:szCs w:val="2"/>
                <w:lang w:val="en-US" w:eastAsia="el-GR"/>
              </w:rPr>
              <w:t>,</w:t>
            </w:r>
          </w:p>
          <w:p>
            <w:pPr>
              <w:rPr>
                <w:rFonts w:ascii="Aptos" w:hAnsi="Aptos" w:eastAsia="Times New Roman" w:cs="Segoe UI"/>
                <w:sz w:val="14"/>
                <w:szCs w:val="14"/>
                <w:lang w:val="en-US" w:eastAsia="el-GR"/>
              </w:rPr>
            </w:pPr>
            <w:r>
              <w:rPr>
                <w:rFonts w:ascii="Aptos" w:hAnsi="Aptos" w:eastAsia="Times New Roman" w:cs="Segoe UI"/>
                <w:color w:val="595959"/>
                <w:sz w:val="20"/>
                <w:szCs w:val="20"/>
                <w:lang w:eastAsia="el-GR"/>
              </w:rPr>
              <mc:AlternateContent>
                <mc:Choice Requires="wps">
                  <w:drawing>
                    <wp:anchor distT="0" distB="0" distL="114300" distR="114300" simplePos="0" relativeHeight="251693056" behindDoc="0" locked="0" layoutInCell="1" allowOverlap="1">
                      <wp:simplePos x="0" y="0"/>
                      <wp:positionH relativeFrom="column">
                        <wp:posOffset>1206500</wp:posOffset>
                      </wp:positionH>
                      <wp:positionV relativeFrom="paragraph">
                        <wp:posOffset>521970</wp:posOffset>
                      </wp:positionV>
                      <wp:extent cx="446405" cy="197485"/>
                      <wp:effectExtent l="0" t="0" r="11430" b="12065"/>
                      <wp:wrapNone/>
                      <wp:docPr id="14" name="Oval 14"/>
                      <wp:cNvGraphicFramePr/>
                      <a:graphic xmlns:a="http://schemas.openxmlformats.org/drawingml/2006/main">
                        <a:graphicData uri="http://schemas.microsoft.com/office/word/2010/wordprocessingShape">
                          <wps:wsp>
                            <wps:cNvSpPr/>
                            <wps:spPr>
                              <a:xfrm>
                                <a:off x="0" y="0"/>
                                <a:ext cx="446227" cy="197511"/>
                              </a:xfrm>
                              <a:prstGeom prst="ellipse">
                                <a:avLst/>
                              </a:prstGeom>
                              <a:noFill/>
                              <a:ln w="12700" cap="flat" cmpd="sng" algn="ctr">
                                <a:solidFill>
                                  <a:srgbClr val="007B85"/>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5pt;margin-top:41.1pt;height:15.55pt;width:35.15pt;z-index:251693056;v-text-anchor:middle;mso-width-relative:page;mso-height-relative:page;" filled="f" stroked="t" coordsize="21600,21600" o:gfxdata="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RK14tkAAAAKAQAADwAAAAAAAAABACAAAAAiAAAAZHJzL2Rvd25y&#10;ZXYueG1sUEsBAhQAFAAAAAgAh07iQBFT70lvAgAA5gQAAA4AAAAAAAAAAQAgAAAAKAEAAGRycy9l&#10;Mm9Eb2MueG1sUEsFBgAAAAAGAAYAWQEAAAkGAAAAAA==&#10;">
                      <v:fill on="f" focussize="0,0"/>
                      <v:stroke weight="1pt" color="#007B85" miterlimit="8" joinstyle="miter"/>
                      <v:imagedata o:title=""/>
                      <o:lock v:ext="edit" aspectratio="f"/>
                      <v:textbox>
                        <w:txbxContent>
                          <w:p>
                            <w:pPr>
                              <w:jc w:val="center"/>
                            </w:pPr>
                          </w:p>
                        </w:txbxContent>
                      </v:textbox>
                    </v:shape>
                  </w:pict>
                </mc:Fallback>
              </mc:AlternateContent>
            </w:r>
            <w:r>
              <w:rPr>
                <w:rFonts w:ascii="Aptos" w:hAnsi="Aptos" w:eastAsia="Times New Roman" w:cs="Segoe UI"/>
                <w:color w:val="595959"/>
                <w:sz w:val="20"/>
                <w:szCs w:val="20"/>
                <w:lang w:eastAsia="el-GR"/>
              </w:rPr>
              <mc:AlternateContent>
                <mc:Choice Requires="wps">
                  <w:drawing>
                    <wp:anchor distT="0" distB="0" distL="114300" distR="114300" simplePos="0" relativeHeight="251686912" behindDoc="0" locked="0" layoutInCell="1" allowOverlap="1">
                      <wp:simplePos x="0" y="0"/>
                      <wp:positionH relativeFrom="column">
                        <wp:posOffset>2111375</wp:posOffset>
                      </wp:positionH>
                      <wp:positionV relativeFrom="paragraph">
                        <wp:posOffset>70485</wp:posOffset>
                      </wp:positionV>
                      <wp:extent cx="446405" cy="197485"/>
                      <wp:effectExtent l="0" t="0" r="11430" b="12065"/>
                      <wp:wrapNone/>
                      <wp:docPr id="750847147" name="Oval 750847147"/>
                      <wp:cNvGraphicFramePr/>
                      <a:graphic xmlns:a="http://schemas.openxmlformats.org/drawingml/2006/main">
                        <a:graphicData uri="http://schemas.microsoft.com/office/word/2010/wordprocessingShape">
                          <wps:wsp>
                            <wps:cNvSpPr/>
                            <wps:spPr>
                              <a:xfrm>
                                <a:off x="0" y="0"/>
                                <a:ext cx="446227" cy="197511"/>
                              </a:xfrm>
                              <a:prstGeom prst="ellipse">
                                <a:avLst/>
                              </a:prstGeom>
                              <a:noFill/>
                              <a:ln w="12700" cap="flat" cmpd="sng" algn="ctr">
                                <a:solidFill>
                                  <a:srgbClr val="FF7415"/>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66.25pt;margin-top:5.55pt;height:15.55pt;width:35.15pt;z-index:251686912;v-text-anchor:middle;mso-width-relative:page;mso-height-relative:page;" filled="f" stroked="t" coordsize="21600,21600" o:gfxdata="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L/+AzXAAAACQEAAA8AAAAAAAAAAQAgAAAAIgAAAGRycy9k&#10;b3ducmV2LnhtbFBLAQIUABQAAAAIAIdO4kAc3FKmdQIAAPQEAAAOAAAAAAAAAAEAIAAAACYBAABk&#10;cnMvZTJvRG9jLnhtbFBLBQYAAAAABgAGAFkBAAANBgAAAAA=&#10;">
                      <v:fill on="f" focussize="0,0"/>
                      <v:stroke weight="1pt" color="#FF7415" miterlimit="8" joinstyle="miter"/>
                      <v:imagedata o:title=""/>
                      <o:lock v:ext="edit" aspectratio="f"/>
                      <v:textbox>
                        <w:txbxContent>
                          <w:p>
                            <w:pPr>
                              <w:jc w:val="center"/>
                            </w:pPr>
                          </w:p>
                        </w:txbxContent>
                      </v:textbox>
                    </v:shape>
                  </w:pict>
                </mc:Fallback>
              </mc:AlternateContent>
            </w:r>
            <w:r>
              <w:rPr>
                <w:rFonts w:ascii="Aptos" w:hAnsi="Aptos" w:eastAsia="Times New Roman" w:cs="Segoe UI"/>
                <w:sz w:val="14"/>
                <w:szCs w:val="14"/>
                <w:lang w:eastAsia="el-GR"/>
              </w:rPr>
              <w:drawing>
                <wp:inline distT="0" distB="0" distL="0" distR="0">
                  <wp:extent cx="3103245" cy="2121535"/>
                  <wp:effectExtent l="0" t="0" r="1905" b="0"/>
                  <wp:docPr id="750847145" name="Chart 7508471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pPr>
        <w:pStyle w:val="32"/>
        <w:rPr>
          <w:rFonts w:ascii="Aptos" w:hAnsi="Aptos" w:cs="Segoe UI"/>
          <w:color w:val="007B85"/>
          <w:sz w:val="28"/>
          <w:szCs w:val="28"/>
          <w:lang w:val="el-GR"/>
        </w:rPr>
      </w:pPr>
      <w:r>
        <w:rPr>
          <w:rFonts w:ascii="Aptos" w:hAnsi="Aptos" w:cs="Segoe UI"/>
          <w:color w:val="007B85"/>
          <w:sz w:val="28"/>
          <w:szCs w:val="28"/>
          <w:lang w:val="el-GR"/>
        </w:rPr>
        <w:t>Διεθνείς δραστηριότητες</w:t>
      </w:r>
    </w:p>
    <w:p>
      <w:pPr>
        <w:autoSpaceDE w:val="0"/>
        <w:autoSpaceDN w:val="0"/>
        <w:adjustRightInd w:val="0"/>
        <w:spacing w:after="160" w:line="320" w:lineRule="atLeast"/>
        <w:jc w:val="both"/>
        <w:rPr>
          <w:rFonts w:ascii="Aptos" w:hAnsi="Aptos" w:cs="Segoe UI"/>
          <w:sz w:val="20"/>
        </w:rPr>
      </w:pPr>
      <w:r>
        <w:rPr>
          <w:rFonts w:ascii="Aptos" w:hAnsi="Aptos" w:cs="Segoe UI"/>
          <w:sz w:val="20"/>
        </w:rPr>
        <w:t xml:space="preserve">Στις διεθνείς δραστηριότητες, τα </w:t>
      </w:r>
      <w:r>
        <w:rPr>
          <w:rFonts w:ascii="Aptos" w:hAnsi="Aptos" w:cs="Segoe UI"/>
          <w:b/>
          <w:bCs/>
          <w:sz w:val="20"/>
        </w:rPr>
        <w:t>κέρδη μετά από φόρους αναλογούντα σε μετόχους της Τράπεζας</w:t>
      </w:r>
      <w:r>
        <w:rPr>
          <w:rFonts w:ascii="Aptos" w:hAnsi="Aptos" w:cs="Segoe UI"/>
          <w:sz w:val="20"/>
        </w:rPr>
        <w:t xml:space="preserve"> παρέμειναν αμετάβλητα σε ετήσια βάση στα €50 εκατ. το 2023, καθώς η αύξηση των καθαρών επιτοκιακών εσόδων κατά 35% ή €26 εκατ. ετησίως αντισταθμίστηκε από τις αυξημένες προβλέψεις για επισφαλείς απαιτήσεις (€17 εκατ. το 2023 από €8 εκατ. το 2022) και τα χαμηλότερα έσοδα από χρηματοοικονομικές πράξεις και λοιπά έσοδα (€12 εκατ. το 2023 από €34 εκατ. το 2022).</w:t>
      </w:r>
    </w:p>
    <w:p>
      <w:pPr>
        <w:autoSpaceDE w:val="0"/>
        <w:autoSpaceDN w:val="0"/>
        <w:adjustRightInd w:val="0"/>
        <w:spacing w:after="160" w:line="320" w:lineRule="atLeast"/>
        <w:jc w:val="both"/>
        <w:rPr>
          <w:rFonts w:ascii="Aptos" w:hAnsi="Aptos" w:cs="Segoe UI"/>
          <w:sz w:val="20"/>
        </w:rPr>
      </w:pPr>
    </w:p>
    <w:p>
      <w:pPr>
        <w:autoSpaceDE w:val="0"/>
        <w:autoSpaceDN w:val="0"/>
        <w:adjustRightInd w:val="0"/>
        <w:spacing w:before="240" w:after="160" w:line="320" w:lineRule="atLeast"/>
        <w:jc w:val="both"/>
        <w:rPr>
          <w:rFonts w:ascii="Aptos" w:hAnsi="Aptos" w:cs="Segoe UI"/>
          <w:bCs/>
          <w:sz w:val="20"/>
        </w:rPr>
      </w:pPr>
      <w:r>
        <w:rPr>
          <w:rFonts w:ascii="Aptos" w:hAnsi="Aptos" w:cs="Segoe UI"/>
          <w:sz w:val="20"/>
          <w:lang w:val="en-US"/>
        </w:rPr>
        <mc:AlternateContent>
          <mc:Choice Requires="wps">
            <w:drawing>
              <wp:anchor distT="0" distB="0" distL="114300" distR="114300" simplePos="0" relativeHeight="251694080" behindDoc="0" locked="0" layoutInCell="1" allowOverlap="1">
                <wp:simplePos x="0" y="0"/>
                <wp:positionH relativeFrom="margin">
                  <wp:align>left</wp:align>
                </wp:positionH>
                <wp:positionV relativeFrom="paragraph">
                  <wp:posOffset>20320</wp:posOffset>
                </wp:positionV>
                <wp:extent cx="6478270" cy="411480"/>
                <wp:effectExtent l="0" t="0" r="0" b="7620"/>
                <wp:wrapSquare wrapText="bothSides"/>
                <wp:docPr id="16" name="Text Box 3"/>
                <wp:cNvGraphicFramePr/>
                <a:graphic xmlns:a="http://schemas.openxmlformats.org/drawingml/2006/main">
                  <a:graphicData uri="http://schemas.microsoft.com/office/word/2010/wordprocessingShape">
                    <wps:wsp>
                      <wps:cNvSpPr txBox="1">
                        <a:spLocks noChangeArrowheads="1"/>
                      </wps:cNvSpPr>
                      <wps:spPr bwMode="auto">
                        <a:xfrm>
                          <a:off x="0" y="0"/>
                          <a:ext cx="6478438" cy="411480"/>
                        </a:xfrm>
                        <a:prstGeom prst="rect">
                          <a:avLst/>
                        </a:prstGeom>
                        <a:solidFill>
                          <a:srgbClr val="003841"/>
                        </a:solidFill>
                        <a:ln w="9525">
                          <a:noFill/>
                        </a:ln>
                      </wps:spPr>
                      <wps:txbx>
                        <w:txbxContent>
                          <w:p>
                            <w:pPr>
                              <w:pStyle w:val="16"/>
                              <w:spacing w:before="0" w:beforeAutospacing="0" w:after="0" w:afterAutospacing="0" w:line="264" w:lineRule="auto"/>
                              <w:rPr>
                                <w:rFonts w:ascii="Aptos" w:hAnsi="Aptos" w:eastAsia="Calibri" w:cs="Segoe UI"/>
                                <w:bCs/>
                                <w:color w:val="FFFFFF" w:themeColor="background1"/>
                                <w:sz w:val="20"/>
                                <w:szCs w:val="20"/>
                                <w:lang w:val="en-US" w:eastAsia="el-GR"/>
                                <w14:textFill>
                                  <w14:solidFill>
                                    <w14:schemeClr w14:val="bg1"/>
                                  </w14:solidFill>
                                </w14:textFill>
                              </w:rPr>
                            </w:pPr>
                            <w:r>
                              <w:rPr>
                                <w:rFonts w:ascii="Aptos ExtraBold" w:hAnsi="Aptos ExtraBold" w:eastAsia="+mn-ea" w:cs="+mn-cs"/>
                                <w:b/>
                                <w:bCs/>
                                <w:color w:val="FFFFFF" w:themeColor="background1"/>
                                <w:kern w:val="24"/>
                                <w:sz w:val="36"/>
                                <w:szCs w:val="42"/>
                                <w14:textFill>
                                  <w14:solidFill>
                                    <w14:schemeClr w14:val="bg1"/>
                                  </w14:solidFill>
                                </w14:textFill>
                                <w14:props3d w14:extrusionH="0" w14:contourW="0" w14:prstMaterial="matte"/>
                              </w:rPr>
                              <w:t>Ποιότητα Δανειακού Χαρτοφυλακίου</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top:1.6pt;height:32.4pt;width:510.1pt;mso-position-horizontal:left;mso-position-horizontal-relative:margin;mso-wrap-distance-bottom:0pt;mso-wrap-distance-left:9pt;mso-wrap-distance-right:9pt;mso-wrap-distance-top:0pt;z-index:251694080;mso-width-relative:page;mso-height-relative:page;" fillcolor="#003841" filled="t" stroked="f" coordsize="21600,21600" o:gfxdata="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BxfD9QA&#10;AAAGAQAADwAAAAAAAAABACAAAAAiAAAAZHJzL2Rvd25yZXYueG1sUEsBAhQAFAAAAAgAh07iQBok&#10;HMEjAgAARwQAAA4AAAAAAAAAAQAgAAAAIwEAAGRycy9lMm9Eb2MueG1sUEsFBgAAAAAGAAYAWQEA&#10;ALgFAAAAAA==&#10;">
                <v:fill on="t" focussize="0,0"/>
                <v:stroke on="f"/>
                <v:imagedata o:title=""/>
                <o:lock v:ext="edit" aspectratio="f"/>
                <v:textbox>
                  <w:txbxContent>
                    <w:p>
                      <w:pPr>
                        <w:pStyle w:val="16"/>
                        <w:spacing w:before="0" w:beforeAutospacing="0" w:after="0" w:afterAutospacing="0" w:line="264" w:lineRule="auto"/>
                        <w:rPr>
                          <w:rFonts w:ascii="Aptos" w:hAnsi="Aptos" w:eastAsia="Calibri" w:cs="Segoe UI"/>
                          <w:bCs/>
                          <w:color w:val="FFFFFF" w:themeColor="background1"/>
                          <w:sz w:val="20"/>
                          <w:szCs w:val="20"/>
                          <w:lang w:val="en-US" w:eastAsia="el-GR"/>
                          <w14:textFill>
                            <w14:solidFill>
                              <w14:schemeClr w14:val="bg1"/>
                            </w14:solidFill>
                          </w14:textFill>
                        </w:rPr>
                      </w:pPr>
                      <w:r>
                        <w:rPr>
                          <w:rFonts w:ascii="Aptos ExtraBold" w:hAnsi="Aptos ExtraBold" w:eastAsia="+mn-ea" w:cs="+mn-cs"/>
                          <w:b/>
                          <w:bCs/>
                          <w:color w:val="FFFFFF" w:themeColor="background1"/>
                          <w:kern w:val="24"/>
                          <w:sz w:val="36"/>
                          <w:szCs w:val="42"/>
                          <w14:textFill>
                            <w14:solidFill>
                              <w14:schemeClr w14:val="bg1"/>
                            </w14:solidFill>
                          </w14:textFill>
                          <w14:props3d w14:extrusionH="0" w14:contourW="0" w14:prstMaterial="matte"/>
                        </w:rPr>
                        <w:t>Ποιότητα Δανειακού Χαρτοφυλακίου</w:t>
                      </w:r>
                    </w:p>
                  </w:txbxContent>
                </v:textbox>
                <w10:wrap type="square"/>
              </v:shape>
            </w:pict>
          </mc:Fallback>
        </mc:AlternateContent>
      </w:r>
      <w:r>
        <w:rPr>
          <w:rFonts w:ascii="Aptos" w:hAnsi="Aptos" w:cs="Segoe UI"/>
          <w:bCs/>
          <w:sz w:val="20"/>
        </w:rPr>
        <w:t xml:space="preserve">Τα </w:t>
      </w:r>
      <w:r>
        <w:rPr>
          <w:rFonts w:ascii="Aptos" w:hAnsi="Aptos" w:cs="Segoe UI"/>
          <w:b/>
          <w:sz w:val="20"/>
        </w:rPr>
        <w:t>ΜΕΑ</w:t>
      </w:r>
      <w:r>
        <w:rPr>
          <w:rFonts w:ascii="Aptos" w:hAnsi="Aptos" w:cs="Segoe UI"/>
          <w:bCs/>
          <w:sz w:val="20"/>
        </w:rPr>
        <w:t xml:space="preserve"> σε επίπεδο Ομίλου μειώθηκαν κατά €0,5 δισ. σε ετήσια βάση και διαμορφώθηκαν σε €1,3 δισ. το 2023, ως αποτέλεσμα μη οργανικών ενεργειών. Οι οργανικές ροές ΜΕΑ ανήλθαν σε μόλις €0,2 δισ. για το σύνολο του έτους, παραμένοντας πολύ χαμηλότερες των εκτιμήσεών μας, παρά τα υψηλότερα επιτόκια και τις πληθωριστικές πιέσεις, με τις αθετήσεις (defaults) και τις εκ νέου αθετήσεις (redefaults) να αντισταθμίζονται σε μεγάλο βαθμό από την αποκατάσταση της τακτικής εξυπηρέτησης δανείων (</w:t>
      </w:r>
      <w:r>
        <w:rPr>
          <w:rFonts w:ascii="Aptos" w:hAnsi="Aptos" w:cs="Segoe UI"/>
          <w:bCs/>
          <w:sz w:val="20"/>
          <w:lang w:val="en-US"/>
        </w:rPr>
        <w:t>curings</w:t>
      </w:r>
      <w:r>
        <w:rPr>
          <w:rFonts w:ascii="Aptos" w:hAnsi="Aptos" w:cs="Segoe UI"/>
          <w:bCs/>
          <w:sz w:val="20"/>
        </w:rPr>
        <w:t xml:space="preserve"> ) στη Λιανική Τραπεζική. </w:t>
      </w:r>
    </w:p>
    <w:p>
      <w:pPr>
        <w:autoSpaceDE w:val="0"/>
        <w:autoSpaceDN w:val="0"/>
        <w:adjustRightInd w:val="0"/>
        <w:spacing w:before="240" w:after="160" w:line="320" w:lineRule="atLeast"/>
        <w:jc w:val="both"/>
        <w:rPr>
          <w:rFonts w:ascii="Aptos" w:hAnsi="Aptos" w:cs="Segoe UI"/>
          <w:bCs/>
          <w:sz w:val="20"/>
        </w:rPr>
      </w:pPr>
      <w:r>
        <w:rPr>
          <w:rFonts w:ascii="Aptos" w:hAnsi="Aptos" w:cs="Segoe UI"/>
          <w:bCs/>
          <w:sz w:val="20"/>
        </w:rPr>
        <w:t xml:space="preserve">Ως αποτέλεσμα, ο </w:t>
      </w:r>
      <w:r>
        <w:rPr>
          <w:rFonts w:ascii="Aptos" w:hAnsi="Aptos" w:cs="Segoe UI"/>
          <w:b/>
          <w:sz w:val="20"/>
        </w:rPr>
        <w:t>δείκτης ΜΕΑ</w:t>
      </w:r>
      <w:r>
        <w:rPr>
          <w:rFonts w:ascii="Aptos" w:hAnsi="Aptos" w:cs="Segoe UI"/>
          <w:bCs/>
          <w:sz w:val="20"/>
        </w:rPr>
        <w:t xml:space="preserve"> σε επίπεδο Ομίλου μειώθηκε σε 3,7% το 2023 από 5,2% το 2022, με τον </w:t>
      </w:r>
      <w:r>
        <w:rPr>
          <w:rFonts w:ascii="Aptos" w:hAnsi="Aptos" w:cs="Segoe UI"/>
          <w:b/>
          <w:sz w:val="20"/>
        </w:rPr>
        <w:t xml:space="preserve">δείκτη κάλυψης ΜΕΑ </w:t>
      </w:r>
      <w:r>
        <w:rPr>
          <w:rFonts w:ascii="Aptos" w:hAnsi="Aptos" w:cs="Segoe UI"/>
          <w:bCs/>
          <w:sz w:val="20"/>
        </w:rPr>
        <w:t>από σωρευμένες προβλέψεις να διαμορφώνεται σε 87,5%, παραμένοντας στα υψηλότερα επίπεδα του κλάδου. Στις διεθνείς δραστηριότητες, ο δείκτης ΜΕΑ μειώθηκε σε 4,9%, με τον αντίστοιχο δείκτη κάλυψης από σωρευμένες προβλέψεις να διαμορφώνεται στο 91,8%.</w:t>
      </w:r>
    </w:p>
    <w:tbl>
      <w:tblPr>
        <w:tblStyle w:val="58"/>
        <w:tblW w:w="102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3"/>
        <w:gridCol w:w="5103"/>
        <w:gridCol w:w="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 w:type="dxa"/>
          <w:trHeight w:val="1872" w:hRule="atLeast"/>
        </w:trPr>
        <w:tc>
          <w:tcPr>
            <w:tcW w:w="5103" w:type="dxa"/>
          </w:tcPr>
          <w:p>
            <w:pPr>
              <w:kinsoku w:val="0"/>
              <w:overflowPunct w:val="0"/>
              <w:spacing w:before="40"/>
              <w:ind w:left="547" w:hanging="547"/>
              <w:textAlignment w:val="baseline"/>
              <w:rPr>
                <w:rFonts w:ascii="Aptos" w:hAnsi="Aptos" w:eastAsia="Segoe UI" w:cs="Segoe UI"/>
                <w:b/>
                <w:color w:val="003841"/>
                <w:kern w:val="24"/>
                <w:sz w:val="20"/>
                <w:szCs w:val="20"/>
                <w:lang w:eastAsia="el-GR"/>
              </w:rPr>
            </w:pPr>
            <w:r>
              <w:rPr>
                <w:rFonts w:ascii="Aptos" w:hAnsi="Aptos" w:eastAsia="Segoe UI" w:cs="Segoe UI"/>
                <w:b/>
                <w:color w:val="003841"/>
                <w:kern w:val="24"/>
                <w:sz w:val="20"/>
                <w:szCs w:val="20"/>
                <w:lang w:eastAsia="el-GR"/>
              </w:rPr>
              <w:t>Κίνηση ΜΕΑ (Όμιλος)</w:t>
            </w:r>
            <w:r>
              <w:rPr>
                <w:rFonts w:ascii="Aptos" w:hAnsi="Aptos" w:eastAsia="Segoe UI" w:cs="Segoe UI"/>
                <w:b/>
                <w:color w:val="003841"/>
                <w:kern w:val="24"/>
                <w:sz w:val="20"/>
                <w:szCs w:val="20"/>
                <w:lang w:val="en-US" w:eastAsia="el-GR"/>
              </w:rPr>
              <w:t xml:space="preserve"> | </w:t>
            </w:r>
            <w:r>
              <w:rPr>
                <w:rFonts w:ascii="Aptos" w:hAnsi="Aptos" w:eastAsia="Segoe UI" w:cs="Segoe UI"/>
                <w:b/>
                <w:color w:val="003841"/>
                <w:kern w:val="24"/>
                <w:sz w:val="20"/>
                <w:szCs w:val="20"/>
                <w:lang w:eastAsia="el-GR"/>
              </w:rPr>
              <w:t>2023</w:t>
            </w:r>
          </w:p>
          <w:p>
            <w:pPr>
              <w:kinsoku w:val="0"/>
              <w:overflowPunct w:val="0"/>
              <w:spacing w:before="40"/>
              <w:ind w:left="547" w:hanging="547"/>
              <w:textAlignment w:val="baseline"/>
              <w:rPr>
                <w:rFonts w:ascii="Aptos" w:hAnsi="Aptos" w:eastAsia="Times New Roman" w:cs="Segoe UI"/>
                <w:color w:val="595959"/>
                <w:sz w:val="20"/>
                <w:szCs w:val="20"/>
                <w:lang w:val="en-US" w:eastAsia="el-GR"/>
              </w:rPr>
            </w:pPr>
            <w:r>
              <w:rPr>
                <w:rFonts w:ascii="Aptos" w:hAnsi="Aptos" w:eastAsia="Times New Roman" w:cs="Segoe UI"/>
                <w:color w:val="595959"/>
                <w:sz w:val="20"/>
                <w:szCs w:val="20"/>
                <w:lang w:eastAsia="el-GR"/>
              </w:rPr>
              <w:drawing>
                <wp:inline distT="0" distB="0" distL="0" distR="0">
                  <wp:extent cx="3103245" cy="1692275"/>
                  <wp:effectExtent l="0" t="0" r="1905" b="3175"/>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5103" w:type="dxa"/>
          </w:tcPr>
          <w:p>
            <w:pPr>
              <w:kinsoku w:val="0"/>
              <w:overflowPunct w:val="0"/>
              <w:spacing w:before="40"/>
              <w:ind w:left="547" w:hanging="547"/>
              <w:textAlignment w:val="baseline"/>
              <w:rPr>
                <w:rFonts w:ascii="Aptos" w:hAnsi="Aptos" w:eastAsia="Segoe UI" w:cs="Segoe UI"/>
                <w:b/>
                <w:color w:val="003841"/>
                <w:kern w:val="24"/>
                <w:sz w:val="20"/>
                <w:szCs w:val="20"/>
                <w:lang w:eastAsia="el-GR"/>
              </w:rPr>
            </w:pPr>
            <w:r>
              <w:rPr>
                <w:rFonts w:ascii="Aptos" w:hAnsi="Aptos" w:eastAsia="Segoe UI" w:cs="Segoe UI"/>
                <w:b/>
                <w:color w:val="003841"/>
                <w:kern w:val="24"/>
                <w:sz w:val="20"/>
                <w:szCs w:val="20"/>
                <w:lang w:eastAsia="el-GR"/>
              </w:rPr>
              <w:t xml:space="preserve">ΜΕΑ μετά προβλέψεων προς </w:t>
            </w:r>
            <w:r>
              <w:rPr>
                <w:rFonts w:ascii="Aptos" w:hAnsi="Aptos" w:eastAsia="Segoe UI" w:cs="Segoe UI"/>
                <w:b/>
                <w:color w:val="003841"/>
                <w:kern w:val="24"/>
                <w:sz w:val="20"/>
                <w:szCs w:val="20"/>
                <w:lang w:val="en-US" w:eastAsia="el-GR"/>
              </w:rPr>
              <w:t>CET</w:t>
            </w:r>
            <w:r>
              <w:rPr>
                <w:rFonts w:ascii="Aptos" w:hAnsi="Aptos" w:eastAsia="Segoe UI" w:cs="Segoe UI"/>
                <w:b/>
                <w:color w:val="003841"/>
                <w:kern w:val="24"/>
                <w:sz w:val="20"/>
                <w:szCs w:val="20"/>
                <w:lang w:eastAsia="el-GR"/>
              </w:rPr>
              <w:t xml:space="preserve">1 (%, Όμιλος) </w:t>
            </w:r>
          </w:p>
          <w:p>
            <w:pPr>
              <w:kinsoku w:val="0"/>
              <w:overflowPunct w:val="0"/>
              <w:spacing w:before="40"/>
              <w:textAlignment w:val="baseline"/>
              <w:rPr>
                <w:rFonts w:ascii="Aptos" w:hAnsi="Aptos" w:eastAsia="Segoe UI" w:cs="Segoe UI"/>
                <w:b/>
                <w:color w:val="595959"/>
                <w:kern w:val="24"/>
                <w:sz w:val="2"/>
                <w:szCs w:val="2"/>
                <w:lang w:val="en-US" w:eastAsia="el-GR"/>
              </w:rPr>
            </w:pPr>
            <w:r>
              <w:rPr>
                <w:rFonts w:ascii="Aptos" w:hAnsi="Aptos" w:eastAsia="Segoe UI" w:cs="Segoe UI"/>
                <w:b/>
                <w:color w:val="595959"/>
                <w:kern w:val="24"/>
                <w:sz w:val="2"/>
                <w:szCs w:val="2"/>
                <w:lang w:eastAsia="el-GR"/>
              </w:rPr>
              <w:drawing>
                <wp:inline distT="0" distB="0" distL="0" distR="0">
                  <wp:extent cx="3103245" cy="1698625"/>
                  <wp:effectExtent l="0" t="0" r="1905" b="0"/>
                  <wp:docPr id="93" name="Chart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5103" w:type="dxa"/>
          </w:tcPr>
          <w:p>
            <w:pPr>
              <w:kinsoku w:val="0"/>
              <w:overflowPunct w:val="0"/>
              <w:spacing w:before="40"/>
              <w:ind w:left="547" w:hanging="547"/>
              <w:textAlignment w:val="baseline"/>
              <w:rPr>
                <w:rFonts w:ascii="Aptos" w:hAnsi="Aptos" w:eastAsia="Segoe UI" w:cs="Segoe UI"/>
                <w:b/>
                <w:color w:val="003841"/>
                <w:kern w:val="24"/>
                <w:sz w:val="20"/>
                <w:szCs w:val="20"/>
                <w:lang w:eastAsia="el-GR"/>
              </w:rPr>
            </w:pPr>
            <w:r>
              <w:rPr>
                <w:rFonts w:ascii="Aptos" w:hAnsi="Aptos" w:eastAsia="Segoe UI" w:cs="Segoe UI"/>
                <w:b/>
                <w:color w:val="003841"/>
                <w:kern w:val="24"/>
                <w:sz w:val="20"/>
                <w:szCs w:val="20"/>
                <w:lang w:eastAsia="el-GR"/>
              </w:rPr>
              <w:t>Δείκτες &amp; ποσοστά κάλυψης ΜΕΑ | Δ’ τρίμηνο 2023</w:t>
            </w:r>
          </w:p>
          <w:p>
            <w:pPr>
              <w:kinsoku w:val="0"/>
              <w:overflowPunct w:val="0"/>
              <w:spacing w:before="40"/>
              <w:ind w:left="547" w:hanging="547"/>
              <w:textAlignment w:val="baseline"/>
              <w:rPr>
                <w:rFonts w:ascii="Aptos" w:hAnsi="Aptos" w:eastAsia="Times New Roman" w:cs="Segoe UI"/>
                <w:color w:val="595959"/>
                <w:sz w:val="20"/>
                <w:szCs w:val="20"/>
                <w:lang w:val="en-US" w:eastAsia="el-GR"/>
              </w:rPr>
            </w:pPr>
            <w:r>
              <w:rPr>
                <w:rFonts w:ascii="Calibri" w:hAnsi="Calibri" w:eastAsia="Calibri" w:cs="Times New Roman"/>
                <w:color w:val="595959"/>
                <w:sz w:val="20"/>
                <w:szCs w:val="20"/>
                <w:lang w:eastAsia="el-GR"/>
              </w:rPr>
              <mc:AlternateContent>
                <mc:Choice Requires="wps">
                  <w:drawing>
                    <wp:anchor distT="0" distB="0" distL="114300" distR="114300" simplePos="0" relativeHeight="251695104" behindDoc="0" locked="0" layoutInCell="1" allowOverlap="1">
                      <wp:simplePos x="0" y="0"/>
                      <wp:positionH relativeFrom="column">
                        <wp:posOffset>1529715</wp:posOffset>
                      </wp:positionH>
                      <wp:positionV relativeFrom="paragraph">
                        <wp:posOffset>429895</wp:posOffset>
                      </wp:positionV>
                      <wp:extent cx="847725" cy="1257300"/>
                      <wp:effectExtent l="0" t="0" r="28575" b="19050"/>
                      <wp:wrapNone/>
                      <wp:docPr id="18" name="Rectangle 1"/>
                      <wp:cNvGraphicFramePr/>
                      <a:graphic xmlns:a="http://schemas.openxmlformats.org/drawingml/2006/main">
                        <a:graphicData uri="http://schemas.microsoft.com/office/word/2010/wordprocessingShape">
                          <wps:wsp>
                            <wps:cNvSpPr/>
                            <wps:spPr>
                              <a:xfrm>
                                <a:off x="0" y="0"/>
                                <a:ext cx="847725" cy="1257300"/>
                              </a:xfrm>
                              <a:prstGeom prst="rect">
                                <a:avLst/>
                              </a:prstGeom>
                              <a:noFill/>
                              <a:ln w="19050" cap="flat" cmpd="sng" algn="ctr">
                                <a:solidFill>
                                  <a:srgbClr val="FF7415"/>
                                </a:solidFill>
                                <a:prstDash val="sysDot"/>
                                <a:miter lim="800000"/>
                              </a:ln>
                              <a:effectLst/>
                            </wps:spPr>
                            <wps:txbx>
                              <w:txbxContent>
                                <w:p>
                                  <w:pPr>
                                    <w:jc w:val="center"/>
                                  </w:pPr>
                                </w:p>
                              </w:txbxContent>
                            </wps:txbx>
                            <wps:bodyPr/>
                          </wps:wsp>
                        </a:graphicData>
                      </a:graphic>
                    </wp:anchor>
                  </w:drawing>
                </mc:Choice>
                <mc:Fallback>
                  <w:pict>
                    <v:rect id="Rectangle 1" o:spid="_x0000_s1026" o:spt="1" style="position:absolute;left:0pt;margin-left:120.45pt;margin-top:33.85pt;height:99pt;width:66.75pt;z-index:251695104;mso-width-relative:page;mso-height-relative:page;" filled="f" stroked="t" coordsize="21600,21600" o:gfxdata="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xby7/b&#10;AAAACgEAAA8AAAAAAAAAAQAgAAAAIgAAAGRycy9kb3ducmV2LnhtbFBLAQIUABQAAAAIAIdO4kDl&#10;P5FV5AEAAMwDAAAOAAAAAAAAAAEAIAAAACoBAABkcnMvZTJvRG9jLnhtbFBLBQYAAAAABgAGAFkB&#10;AACABQAAAAA=&#10;">
                      <v:fill on="f" focussize="0,0"/>
                      <v:stroke weight="1.5pt" color="#FF7415" miterlimit="8" joinstyle="miter" dashstyle="1 1"/>
                      <v:imagedata o:title=""/>
                      <o:lock v:ext="edit" aspectratio="f"/>
                      <v:textbox>
                        <w:txbxContent>
                          <w:p>
                            <w:pPr>
                              <w:jc w:val="center"/>
                            </w:pPr>
                          </w:p>
                        </w:txbxContent>
                      </v:textbox>
                    </v:rect>
                  </w:pict>
                </mc:Fallback>
              </mc:AlternateContent>
            </w:r>
            <w:r>
              <w:rPr>
                <w:rFonts w:ascii="Aptos" w:hAnsi="Aptos" w:eastAsia="Times New Roman" w:cs="Segoe UI"/>
                <w:color w:val="595959"/>
                <w:sz w:val="20"/>
                <w:szCs w:val="20"/>
                <w:lang w:eastAsia="el-GR"/>
              </w:rPr>
              <mc:AlternateContent>
                <mc:Choice Requires="wps">
                  <w:drawing>
                    <wp:anchor distT="0" distB="0" distL="114300" distR="114300" simplePos="0" relativeHeight="251696128" behindDoc="0" locked="0" layoutInCell="1" allowOverlap="1">
                      <wp:simplePos x="0" y="0"/>
                      <wp:positionH relativeFrom="column">
                        <wp:posOffset>1697355</wp:posOffset>
                      </wp:positionH>
                      <wp:positionV relativeFrom="paragraph">
                        <wp:posOffset>1035685</wp:posOffset>
                      </wp:positionV>
                      <wp:extent cx="474980" cy="197485"/>
                      <wp:effectExtent l="0" t="0" r="20320" b="12065"/>
                      <wp:wrapNone/>
                      <wp:docPr id="21" name="Oval 21"/>
                      <wp:cNvGraphicFramePr/>
                      <a:graphic xmlns:a="http://schemas.openxmlformats.org/drawingml/2006/main">
                        <a:graphicData uri="http://schemas.microsoft.com/office/word/2010/wordprocessingShape">
                          <wps:wsp>
                            <wps:cNvSpPr/>
                            <wps:spPr>
                              <a:xfrm>
                                <a:off x="0" y="0"/>
                                <a:ext cx="474980" cy="197485"/>
                              </a:xfrm>
                              <a:prstGeom prst="ellipse">
                                <a:avLst/>
                              </a:prstGeom>
                              <a:noFill/>
                              <a:ln w="12700" cap="flat" cmpd="sng" algn="ctr">
                                <a:solidFill>
                                  <a:srgbClr val="FF7415"/>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3.65pt;margin-top:81.55pt;height:15.55pt;width:37.4pt;z-index:251696128;v-text-anchor:middle;mso-width-relative:page;mso-height-relative:page;" filled="f" stroked="t" coordsize="21600,21600" o:gfxdata="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UzPFFdkAAAALAQAADwAAAAAAAAABACAAAAAiAAAAZHJzL2Rvd25yZXYu&#10;eG1sUEsBAhQAFAAAAAgAh07iQAXe9wdsAgAA5gQAAA4AAAAAAAAAAQAgAAAAKAEAAGRycy9lMm9E&#10;b2MueG1sUEsFBgAAAAAGAAYAWQEAAAYGAAAAAA==&#10;">
                      <v:fill on="f" focussize="0,0"/>
                      <v:stroke weight="1pt" color="#FF7415" miterlimit="8" joinstyle="miter"/>
                      <v:imagedata o:title=""/>
                      <o:lock v:ext="edit" aspectratio="f"/>
                      <v:textbox>
                        <w:txbxContent>
                          <w:p>
                            <w:pPr>
                              <w:jc w:val="center"/>
                            </w:pPr>
                          </w:p>
                        </w:txbxContent>
                      </v:textbox>
                    </v:shape>
                  </w:pict>
                </mc:Fallback>
              </mc:AlternateContent>
            </w:r>
            <w:r>
              <w:rPr>
                <w:rFonts w:ascii="Aptos" w:hAnsi="Aptos" w:eastAsia="Times New Roman" w:cs="Segoe UI"/>
                <w:color w:val="595959"/>
                <w:sz w:val="20"/>
                <w:szCs w:val="20"/>
                <w:lang w:eastAsia="el-GR"/>
              </w:rPr>
              <w:drawing>
                <wp:inline distT="0" distB="0" distL="0" distR="0">
                  <wp:extent cx="3128645" cy="1708150"/>
                  <wp:effectExtent l="0" t="0" r="0" b="6350"/>
                  <wp:docPr id="1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5184" w:type="dxa"/>
            <w:gridSpan w:val="2"/>
          </w:tcPr>
          <w:p>
            <w:pPr>
              <w:kinsoku w:val="0"/>
              <w:overflowPunct w:val="0"/>
              <w:spacing w:before="40"/>
              <w:ind w:left="547" w:hanging="547"/>
              <w:textAlignment w:val="baseline"/>
              <w:rPr>
                <w:rFonts w:ascii="Aptos" w:hAnsi="Aptos" w:eastAsia="Segoe UI" w:cs="Segoe UI"/>
                <w:b/>
                <w:color w:val="003841"/>
                <w:kern w:val="24"/>
                <w:sz w:val="20"/>
                <w:szCs w:val="20"/>
                <w:lang w:val="en-US" w:eastAsia="el-GR"/>
              </w:rPr>
            </w:pPr>
            <w:r>
              <w:rPr>
                <w:rFonts w:ascii="Aptos" w:hAnsi="Aptos" w:eastAsia="Segoe UI" w:cs="Segoe UI"/>
                <w:b/>
                <w:color w:val="003841"/>
                <w:kern w:val="24"/>
                <w:sz w:val="20"/>
                <w:szCs w:val="20"/>
                <w:lang w:eastAsia="el-GR"/>
              </w:rPr>
              <w:t>Μεταβολή ΜΕΑ</w:t>
            </w:r>
            <w:r>
              <w:rPr>
                <w:rFonts w:ascii="Aptos" w:hAnsi="Aptos" w:eastAsia="Segoe UI" w:cs="Segoe UI"/>
                <w:b/>
                <w:color w:val="003841"/>
                <w:kern w:val="24"/>
                <w:sz w:val="20"/>
                <w:szCs w:val="20"/>
                <w:lang w:val="en-US" w:eastAsia="el-GR"/>
              </w:rPr>
              <w:t xml:space="preserve"> (€ </w:t>
            </w:r>
            <w:r>
              <w:rPr>
                <w:rFonts w:ascii="Aptos" w:hAnsi="Aptos" w:eastAsia="Segoe UI" w:cs="Segoe UI"/>
                <w:b/>
                <w:color w:val="003841"/>
                <w:kern w:val="24"/>
                <w:sz w:val="20"/>
                <w:szCs w:val="20"/>
                <w:lang w:eastAsia="el-GR"/>
              </w:rPr>
              <w:t>δισ., Όμιλος</w:t>
            </w:r>
            <w:r>
              <w:rPr>
                <w:rFonts w:ascii="Aptos" w:hAnsi="Aptos" w:eastAsia="Segoe UI" w:cs="Segoe UI"/>
                <w:b/>
                <w:color w:val="003841"/>
                <w:kern w:val="24"/>
                <w:sz w:val="20"/>
                <w:szCs w:val="20"/>
                <w:lang w:val="en-US" w:eastAsia="el-GR"/>
              </w:rPr>
              <w:t xml:space="preserve">) </w:t>
            </w:r>
          </w:p>
          <w:p>
            <w:pPr>
              <w:kinsoku w:val="0"/>
              <w:overflowPunct w:val="0"/>
              <w:spacing w:before="40"/>
              <w:ind w:left="547" w:hanging="547"/>
              <w:textAlignment w:val="baseline"/>
              <w:rPr>
                <w:rFonts w:ascii="Aptos" w:hAnsi="Aptos" w:eastAsia="Segoe UI" w:cs="Segoe UI"/>
                <w:b/>
                <w:color w:val="595959"/>
                <w:kern w:val="24"/>
                <w:sz w:val="2"/>
                <w:szCs w:val="2"/>
                <w:lang w:val="en-US" w:eastAsia="el-GR"/>
              </w:rPr>
            </w:pPr>
            <w:r>
              <w:rPr>
                <w:rFonts w:ascii="Aptos" w:hAnsi="Aptos" w:eastAsia="Segoe UI" w:cs="Segoe UI"/>
                <w:b/>
                <w:color w:val="595959"/>
                <w:kern w:val="24"/>
                <w:sz w:val="2"/>
                <w:szCs w:val="2"/>
                <w:lang w:val="en-US" w:eastAsia="el-GR"/>
              </w:rPr>
              <w:t>,</w:t>
            </w:r>
          </w:p>
          <w:p>
            <w:pPr>
              <w:rPr>
                <w:rFonts w:ascii="Aptos" w:hAnsi="Aptos" w:eastAsia="Times New Roman" w:cs="Segoe UI"/>
                <w:color w:val="595959"/>
                <w:sz w:val="20"/>
                <w:szCs w:val="20"/>
                <w:lang w:val="en-US" w:eastAsia="el-GR"/>
              </w:rPr>
            </w:pPr>
            <w:r>
              <w:rPr>
                <w:rFonts w:ascii="Calibri" w:hAnsi="Calibri" w:eastAsia="Calibri" w:cs="Times New Roman"/>
                <w:color w:val="595959"/>
                <w:sz w:val="20"/>
                <w:szCs w:val="20"/>
                <w:lang w:eastAsia="el-GR"/>
              </w:rPr>
              <mc:AlternateContent>
                <mc:Choice Requires="wps">
                  <w:drawing>
                    <wp:anchor distT="0" distB="0" distL="114300" distR="114300" simplePos="0" relativeHeight="251681792" behindDoc="0" locked="0" layoutInCell="1" allowOverlap="1">
                      <wp:simplePos x="0" y="0"/>
                      <wp:positionH relativeFrom="column">
                        <wp:posOffset>2713990</wp:posOffset>
                      </wp:positionH>
                      <wp:positionV relativeFrom="paragraph">
                        <wp:posOffset>99060</wp:posOffset>
                      </wp:positionV>
                      <wp:extent cx="387985" cy="1548130"/>
                      <wp:effectExtent l="0" t="0" r="12065" b="13970"/>
                      <wp:wrapNone/>
                      <wp:docPr id="750847110" name="Rectangle 1"/>
                      <wp:cNvGraphicFramePr/>
                      <a:graphic xmlns:a="http://schemas.openxmlformats.org/drawingml/2006/main">
                        <a:graphicData uri="http://schemas.microsoft.com/office/word/2010/wordprocessingShape">
                          <wps:wsp>
                            <wps:cNvSpPr/>
                            <wps:spPr>
                              <a:xfrm>
                                <a:off x="0" y="0"/>
                                <a:ext cx="387985" cy="1548130"/>
                              </a:xfrm>
                              <a:prstGeom prst="rect">
                                <a:avLst/>
                              </a:prstGeom>
                              <a:noFill/>
                              <a:ln w="19050">
                                <a:solidFill>
                                  <a:srgbClr val="FF7415"/>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pPr>
                                    <w:jc w:val="center"/>
                                  </w:pPr>
                                </w:p>
                              </w:txbxContent>
                            </wps:txbx>
                            <wps:bodyPr/>
                          </wps:wsp>
                        </a:graphicData>
                      </a:graphic>
                    </wp:anchor>
                  </w:drawing>
                </mc:Choice>
                <mc:Fallback>
                  <w:pict>
                    <v:rect id="Rectangle 1" o:spid="_x0000_s1026" o:spt="1" style="position:absolute;left:0pt;margin-left:213.7pt;margin-top:7.8pt;height:121.9pt;width:30.55pt;z-index:251681792;mso-width-relative:page;mso-height-relative:page;" filled="f" stroked="t" coordsize="21600,21600" o:gfxdata="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inpC&#10;2wAAAAoBAAAPAAAAAAAAAAEAIAAAACIAAABkcnMvZG93bnJldi54bWxQSwECFAAUAAAACACHTuJA&#10;wDaE7+UBAADFAwAADgAAAAAAAAABACAAAAAqAQAAZHJzL2Uyb0RvYy54bWxQSwUGAAAAAAYABgBZ&#10;AQAAgQUAAAAA&#10;">
                      <v:fill on="f" focussize="0,0"/>
                      <v:stroke weight="1.5pt" color="#FF7415 [3204]" miterlimit="8" joinstyle="miter" dashstyle="1 1"/>
                      <v:imagedata o:title=""/>
                      <o:lock v:ext="edit" aspectratio="f"/>
                      <v:textbox>
                        <w:txbxContent>
                          <w:p>
                            <w:pPr>
                              <w:jc w:val="center"/>
                            </w:pPr>
                          </w:p>
                        </w:txbxContent>
                      </v:textbox>
                    </v:rect>
                  </w:pict>
                </mc:Fallback>
              </mc:AlternateContent>
            </w:r>
            <w:r>
              <w:rPr>
                <w:rFonts w:ascii="Calibri" w:hAnsi="Calibri" w:eastAsia="Calibri" w:cs="Times New Roman"/>
                <w:color w:val="595959"/>
                <w:sz w:val="20"/>
                <w:szCs w:val="20"/>
                <w:lang w:eastAsia="el-GR"/>
              </w:rPr>
              <mc:AlternateContent>
                <mc:Choice Requires="wps">
                  <w:drawing>
                    <wp:anchor distT="0" distB="0" distL="114300" distR="114300" simplePos="0" relativeHeight="251680768" behindDoc="0" locked="0" layoutInCell="1" allowOverlap="1">
                      <wp:simplePos x="0" y="0"/>
                      <wp:positionH relativeFrom="column">
                        <wp:posOffset>-1270</wp:posOffset>
                      </wp:positionH>
                      <wp:positionV relativeFrom="paragraph">
                        <wp:posOffset>132080</wp:posOffset>
                      </wp:positionV>
                      <wp:extent cx="687705" cy="245745"/>
                      <wp:effectExtent l="0" t="0" r="0" b="0"/>
                      <wp:wrapNone/>
                      <wp:docPr id="750847109" name="TextBox 39"/>
                      <wp:cNvGraphicFramePr/>
                      <a:graphic xmlns:a="http://schemas.openxmlformats.org/drawingml/2006/main">
                        <a:graphicData uri="http://schemas.microsoft.com/office/word/2010/wordprocessingShape">
                          <wps:wsp>
                            <wps:cNvSpPr txBox="1"/>
                            <wps:spPr>
                              <a:xfrm>
                                <a:off x="0" y="0"/>
                                <a:ext cx="687629" cy="245745"/>
                              </a:xfrm>
                              <a:prstGeom prst="rect">
                                <a:avLst/>
                              </a:prstGeom>
                              <a:noFill/>
                            </wps:spPr>
                            <wps:txbx>
                              <w:txbxContent>
                                <w:p>
                                  <w:pPr>
                                    <w:jc w:val="center"/>
                                    <w:textAlignment w:val="center"/>
                                    <w:rPr>
                                      <w:rFonts w:ascii="Aptos" w:hAnsi="Aptos"/>
                                      <w:kern w:val="24"/>
                                      <w:sz w:val="14"/>
                                      <w:szCs w:val="14"/>
                                    </w:rPr>
                                  </w:pPr>
                                  <w:r>
                                    <w:rPr>
                                      <w:rFonts w:ascii="Aptos" w:hAnsi="Aptos"/>
                                      <w:kern w:val="24"/>
                                      <w:sz w:val="14"/>
                                      <w:szCs w:val="14"/>
                                    </w:rPr>
                                    <w:t>Δείκτης ΜΕΑ</w:t>
                                  </w:r>
                                  <w:r>
                                    <w:rPr>
                                      <w:rFonts w:ascii="Aptos" w:hAnsi="Aptos"/>
                                      <w:kern w:val="24"/>
                                      <w:sz w:val="14"/>
                                      <w:szCs w:val="14"/>
                                      <w:lang w:val="en-US"/>
                                    </w:rPr>
                                    <w:t xml:space="preserve"> </w:t>
                                  </w:r>
                                </w:p>
                              </w:txbxContent>
                            </wps:txbx>
                            <wps:bodyPr wrap="square" rtlCol="0">
                              <a:spAutoFit/>
                            </wps:bodyPr>
                          </wps:wsp>
                        </a:graphicData>
                      </a:graphic>
                    </wp:anchor>
                  </w:drawing>
                </mc:Choice>
                <mc:Fallback>
                  <w:pict>
                    <v:shape id="TextBox 39" o:spid="_x0000_s1026" o:spt="202" type="#_x0000_t202" style="position:absolute;left:0pt;margin-left:-0.1pt;margin-top:10.4pt;height:19.35pt;width:54.15pt;z-index:251680768;mso-width-relative:page;mso-height-relative:page;" filled="f" stroked="f" coordsize="21600,21600" o:gfxdata="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H8TQNQA&#10;AAAHAQAADwAAAAAAAAABACAAAAAiAAAAZHJzL2Rvd25yZXYueG1sUEsBAhQAFAAAAAgAh07iQIMB&#10;nqaxAQAAYwMAAA4AAAAAAAAAAQAgAAAAIwEAAGRycy9lMm9Eb2MueG1sUEsFBgAAAAAGAAYAWQEA&#10;AEYFAAAAAA==&#10;">
                      <v:fill on="f" focussize="0,0"/>
                      <v:stroke on="f"/>
                      <v:imagedata o:title=""/>
                      <o:lock v:ext="edit" aspectratio="f"/>
                      <v:textbox style="mso-fit-shape-to-text:t;">
                        <w:txbxContent>
                          <w:p>
                            <w:pPr>
                              <w:jc w:val="center"/>
                              <w:textAlignment w:val="center"/>
                              <w:rPr>
                                <w:rFonts w:ascii="Aptos" w:hAnsi="Aptos"/>
                                <w:kern w:val="24"/>
                                <w:sz w:val="14"/>
                                <w:szCs w:val="14"/>
                              </w:rPr>
                            </w:pPr>
                            <w:r>
                              <w:rPr>
                                <w:rFonts w:ascii="Aptos" w:hAnsi="Aptos"/>
                                <w:kern w:val="24"/>
                                <w:sz w:val="14"/>
                                <w:szCs w:val="14"/>
                              </w:rPr>
                              <w:t>Δείκτης ΜΕΑ</w:t>
                            </w:r>
                            <w:r>
                              <w:rPr>
                                <w:rFonts w:ascii="Aptos" w:hAnsi="Aptos"/>
                                <w:kern w:val="24"/>
                                <w:sz w:val="14"/>
                                <w:szCs w:val="14"/>
                                <w:lang w:val="en-US"/>
                              </w:rPr>
                              <w:t xml:space="preserve"> </w:t>
                            </w:r>
                          </w:p>
                        </w:txbxContent>
                      </v:textbox>
                    </v:shape>
                  </w:pict>
                </mc:Fallback>
              </mc:AlternateContent>
            </w:r>
            <w:r>
              <w:rPr>
                <w:rFonts w:ascii="Calibri" w:hAnsi="Calibri" w:eastAsia="Calibri" w:cs="Times New Roman"/>
                <w:color w:val="595959"/>
                <w:sz w:val="20"/>
                <w:szCs w:val="20"/>
                <w:lang w:eastAsia="el-GR"/>
              </w:rPr>
              <mc:AlternateContent>
                <mc:Choice Requires="wps">
                  <w:drawing>
                    <wp:anchor distT="0" distB="0" distL="114300" distR="114300" simplePos="0" relativeHeight="251676672" behindDoc="0" locked="0" layoutInCell="1" allowOverlap="1">
                      <wp:simplePos x="0" y="0"/>
                      <wp:positionH relativeFrom="column">
                        <wp:posOffset>1806575</wp:posOffset>
                      </wp:positionH>
                      <wp:positionV relativeFrom="paragraph">
                        <wp:posOffset>135255</wp:posOffset>
                      </wp:positionV>
                      <wp:extent cx="395605" cy="245745"/>
                      <wp:effectExtent l="0" t="0" r="0" b="0"/>
                      <wp:wrapNone/>
                      <wp:docPr id="750847106" name="TextBox 39"/>
                      <wp:cNvGraphicFramePr/>
                      <a:graphic xmlns:a="http://schemas.openxmlformats.org/drawingml/2006/main">
                        <a:graphicData uri="http://schemas.microsoft.com/office/word/2010/wordprocessingShape">
                          <wps:wsp>
                            <wps:cNvSpPr txBox="1"/>
                            <wps:spPr>
                              <a:xfrm>
                                <a:off x="0" y="0"/>
                                <a:ext cx="395605" cy="245745"/>
                              </a:xfrm>
                              <a:prstGeom prst="rect">
                                <a:avLst/>
                              </a:prstGeom>
                              <a:noFill/>
                            </wps:spPr>
                            <wps:txbx>
                              <w:txbxContent>
                                <w:p>
                                  <w:pPr>
                                    <w:jc w:val="center"/>
                                    <w:textAlignment w:val="center"/>
                                    <w:rPr>
                                      <w:rFonts w:ascii="Aptos" w:hAnsi="Aptos"/>
                                      <w:kern w:val="24"/>
                                      <w:sz w:val="14"/>
                                      <w:szCs w:val="14"/>
                                    </w:rPr>
                                  </w:pPr>
                                  <w:r>
                                    <w:rPr>
                                      <w:rFonts w:ascii="Aptos" w:hAnsi="Aptos"/>
                                      <w:kern w:val="24"/>
                                      <w:sz w:val="14"/>
                                      <w:szCs w:val="14"/>
                                    </w:rPr>
                                    <w:t>5,2%</w:t>
                                  </w:r>
                                </w:p>
                              </w:txbxContent>
                            </wps:txbx>
                            <wps:bodyPr wrap="square" rtlCol="0">
                              <a:spAutoFit/>
                            </wps:bodyPr>
                          </wps:wsp>
                        </a:graphicData>
                      </a:graphic>
                    </wp:anchor>
                  </w:drawing>
                </mc:Choice>
                <mc:Fallback>
                  <w:pict>
                    <v:shape id="TextBox 39" o:spid="_x0000_s1026" o:spt="202" type="#_x0000_t202" style="position:absolute;left:0pt;margin-left:142.25pt;margin-top:10.65pt;height:19.35pt;width:31.15pt;z-index:251676672;mso-width-relative:page;mso-height-relative:page;" filled="f" stroked="f" coordsize="21600,21600" o:gfxdata="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j6&#10;fbvXAAAACQEAAA8AAAAAAAAAAQAgAAAAIgAAAGRycy9kb3ducmV2LnhtbFBLAQIUABQAAAAIAIdO&#10;4kC/J8H2sgEAAGMDAAAOAAAAAAAAAAEAIAAAACYBAABkcnMvZTJvRG9jLnhtbFBLBQYAAAAABgAG&#10;AFkBAABKBQAAAAA=&#10;">
                      <v:fill on="f" focussize="0,0"/>
                      <v:stroke on="f"/>
                      <v:imagedata o:title=""/>
                      <o:lock v:ext="edit" aspectratio="f"/>
                      <v:textbox style="mso-fit-shape-to-text:t;">
                        <w:txbxContent>
                          <w:p>
                            <w:pPr>
                              <w:jc w:val="center"/>
                              <w:textAlignment w:val="center"/>
                              <w:rPr>
                                <w:rFonts w:ascii="Aptos" w:hAnsi="Aptos"/>
                                <w:kern w:val="24"/>
                                <w:sz w:val="14"/>
                                <w:szCs w:val="14"/>
                              </w:rPr>
                            </w:pPr>
                            <w:r>
                              <w:rPr>
                                <w:rFonts w:ascii="Aptos" w:hAnsi="Aptos"/>
                                <w:kern w:val="24"/>
                                <w:sz w:val="14"/>
                                <w:szCs w:val="14"/>
                              </w:rPr>
                              <w:t>5,2%</w:t>
                            </w:r>
                          </w:p>
                        </w:txbxContent>
                      </v:textbox>
                    </v:shape>
                  </w:pict>
                </mc:Fallback>
              </mc:AlternateContent>
            </w:r>
            <w:r>
              <w:rPr>
                <w:rFonts w:ascii="Calibri" w:hAnsi="Calibri" w:eastAsia="Calibri" w:cs="Times New Roman"/>
                <w:color w:val="595959"/>
                <w:sz w:val="20"/>
                <w:szCs w:val="20"/>
                <w:lang w:eastAsia="el-GR"/>
              </w:rPr>
              <mc:AlternateContent>
                <mc:Choice Requires="wps">
                  <w:drawing>
                    <wp:anchor distT="0" distB="0" distL="114300" distR="114300" simplePos="0" relativeHeight="251678720" behindDoc="0" locked="0" layoutInCell="1" allowOverlap="1">
                      <wp:simplePos x="0" y="0"/>
                      <wp:positionH relativeFrom="column">
                        <wp:posOffset>2268855</wp:posOffset>
                      </wp:positionH>
                      <wp:positionV relativeFrom="paragraph">
                        <wp:posOffset>137795</wp:posOffset>
                      </wp:positionV>
                      <wp:extent cx="395605" cy="245745"/>
                      <wp:effectExtent l="0" t="0" r="0" b="0"/>
                      <wp:wrapNone/>
                      <wp:docPr id="750847105" name="TextBox 39"/>
                      <wp:cNvGraphicFramePr/>
                      <a:graphic xmlns:a="http://schemas.openxmlformats.org/drawingml/2006/main">
                        <a:graphicData uri="http://schemas.microsoft.com/office/word/2010/wordprocessingShape">
                          <wps:wsp>
                            <wps:cNvSpPr txBox="1"/>
                            <wps:spPr>
                              <a:xfrm>
                                <a:off x="0" y="0"/>
                                <a:ext cx="395605" cy="245745"/>
                              </a:xfrm>
                              <a:prstGeom prst="rect">
                                <a:avLst/>
                              </a:prstGeom>
                              <a:noFill/>
                            </wps:spPr>
                            <wps:txbx>
                              <w:txbxContent>
                                <w:p>
                                  <w:pPr>
                                    <w:jc w:val="center"/>
                                    <w:textAlignment w:val="center"/>
                                    <w:rPr>
                                      <w:rFonts w:ascii="Aptos" w:hAnsi="Aptos"/>
                                      <w:kern w:val="24"/>
                                      <w:sz w:val="14"/>
                                      <w:szCs w:val="14"/>
                                    </w:rPr>
                                  </w:pPr>
                                  <w:r>
                                    <w:rPr>
                                      <w:rFonts w:ascii="Aptos" w:hAnsi="Aptos"/>
                                      <w:kern w:val="24"/>
                                      <w:sz w:val="14"/>
                                      <w:szCs w:val="14"/>
                                      <w:lang w:val="en-US"/>
                                    </w:rPr>
                                    <w:t>3</w:t>
                                  </w:r>
                                  <w:r>
                                    <w:rPr>
                                      <w:rFonts w:ascii="Aptos" w:hAnsi="Aptos"/>
                                      <w:kern w:val="24"/>
                                      <w:sz w:val="14"/>
                                      <w:szCs w:val="14"/>
                                    </w:rPr>
                                    <w:t>,</w:t>
                                  </w:r>
                                  <w:r>
                                    <w:rPr>
                                      <w:rFonts w:ascii="Aptos" w:hAnsi="Aptos"/>
                                      <w:kern w:val="24"/>
                                      <w:sz w:val="14"/>
                                      <w:szCs w:val="14"/>
                                      <w:lang w:val="en-US"/>
                                    </w:rPr>
                                    <w:t>7</w:t>
                                  </w:r>
                                  <w:r>
                                    <w:rPr>
                                      <w:rFonts w:ascii="Aptos" w:hAnsi="Aptos"/>
                                      <w:kern w:val="24"/>
                                      <w:sz w:val="14"/>
                                      <w:szCs w:val="14"/>
                                    </w:rPr>
                                    <w:t>%</w:t>
                                  </w:r>
                                </w:p>
                              </w:txbxContent>
                            </wps:txbx>
                            <wps:bodyPr wrap="square" rtlCol="0">
                              <a:spAutoFit/>
                            </wps:bodyPr>
                          </wps:wsp>
                        </a:graphicData>
                      </a:graphic>
                    </wp:anchor>
                  </w:drawing>
                </mc:Choice>
                <mc:Fallback>
                  <w:pict>
                    <v:shape id="TextBox 39" o:spid="_x0000_s1026" o:spt="202" type="#_x0000_t202" style="position:absolute;left:0pt;margin-left:178.65pt;margin-top:10.85pt;height:19.35pt;width:31.15pt;z-index:251678720;mso-width-relative:page;mso-height-relative:page;" filled="f" stroked="f" coordsize="21600,21600" o:gfxdata="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uoB&#10;JdcAAAAJAQAADwAAAAAAAAABACAAAAAiAAAAZHJzL2Rvd25yZXYueG1sUEsBAhQAFAAAAAgAh07i&#10;QHjwq5+xAQAAYwMAAA4AAAAAAAAAAQAgAAAAJgEAAGRycy9lMm9Eb2MueG1sUEsFBgAAAAAGAAYA&#10;WQEAAEkFAAAAAA==&#10;">
                      <v:fill on="f" focussize="0,0"/>
                      <v:stroke on="f"/>
                      <v:imagedata o:title=""/>
                      <o:lock v:ext="edit" aspectratio="f"/>
                      <v:textbox style="mso-fit-shape-to-text:t;">
                        <w:txbxContent>
                          <w:p>
                            <w:pPr>
                              <w:jc w:val="center"/>
                              <w:textAlignment w:val="center"/>
                              <w:rPr>
                                <w:rFonts w:ascii="Aptos" w:hAnsi="Aptos"/>
                                <w:kern w:val="24"/>
                                <w:sz w:val="14"/>
                                <w:szCs w:val="14"/>
                              </w:rPr>
                            </w:pPr>
                            <w:r>
                              <w:rPr>
                                <w:rFonts w:ascii="Aptos" w:hAnsi="Aptos"/>
                                <w:kern w:val="24"/>
                                <w:sz w:val="14"/>
                                <w:szCs w:val="14"/>
                                <w:lang w:val="en-US"/>
                              </w:rPr>
                              <w:t>3</w:t>
                            </w:r>
                            <w:r>
                              <w:rPr>
                                <w:rFonts w:ascii="Aptos" w:hAnsi="Aptos"/>
                                <w:kern w:val="24"/>
                                <w:sz w:val="14"/>
                                <w:szCs w:val="14"/>
                              </w:rPr>
                              <w:t>,</w:t>
                            </w:r>
                            <w:r>
                              <w:rPr>
                                <w:rFonts w:ascii="Aptos" w:hAnsi="Aptos"/>
                                <w:kern w:val="24"/>
                                <w:sz w:val="14"/>
                                <w:szCs w:val="14"/>
                                <w:lang w:val="en-US"/>
                              </w:rPr>
                              <w:t>7</w:t>
                            </w:r>
                            <w:r>
                              <w:rPr>
                                <w:rFonts w:ascii="Aptos" w:hAnsi="Aptos"/>
                                <w:kern w:val="24"/>
                                <w:sz w:val="14"/>
                                <w:szCs w:val="14"/>
                              </w:rPr>
                              <w:t>%</w:t>
                            </w:r>
                          </w:p>
                        </w:txbxContent>
                      </v:textbox>
                    </v:shape>
                  </w:pict>
                </mc:Fallback>
              </mc:AlternateContent>
            </w:r>
            <w:r>
              <w:rPr>
                <w:rFonts w:ascii="Calibri" w:hAnsi="Calibri" w:eastAsia="Calibri" w:cs="Times New Roman"/>
                <w:color w:val="595959"/>
                <w:sz w:val="20"/>
                <w:szCs w:val="20"/>
                <w:lang w:eastAsia="el-GR"/>
              </w:rPr>
              <mc:AlternateContent>
                <mc:Choice Requires="wps">
                  <w:drawing>
                    <wp:anchor distT="0" distB="0" distL="114300" distR="114300" simplePos="0" relativeHeight="251679744" behindDoc="0" locked="0" layoutInCell="1" allowOverlap="1">
                      <wp:simplePos x="0" y="0"/>
                      <wp:positionH relativeFrom="column">
                        <wp:posOffset>2707640</wp:posOffset>
                      </wp:positionH>
                      <wp:positionV relativeFrom="paragraph">
                        <wp:posOffset>136525</wp:posOffset>
                      </wp:positionV>
                      <wp:extent cx="395605" cy="245745"/>
                      <wp:effectExtent l="0" t="0" r="0" b="0"/>
                      <wp:wrapNone/>
                      <wp:docPr id="750847108" name="TextBox 39"/>
                      <wp:cNvGraphicFramePr/>
                      <a:graphic xmlns:a="http://schemas.openxmlformats.org/drawingml/2006/main">
                        <a:graphicData uri="http://schemas.microsoft.com/office/word/2010/wordprocessingShape">
                          <wps:wsp>
                            <wps:cNvSpPr txBox="1"/>
                            <wps:spPr>
                              <a:xfrm>
                                <a:off x="0" y="0"/>
                                <a:ext cx="395605" cy="245745"/>
                              </a:xfrm>
                              <a:prstGeom prst="rect">
                                <a:avLst/>
                              </a:prstGeom>
                              <a:noFill/>
                            </wps:spPr>
                            <wps:txbx>
                              <w:txbxContent>
                                <w:p>
                                  <w:pPr>
                                    <w:jc w:val="center"/>
                                    <w:textAlignment w:val="center"/>
                                    <w:rPr>
                                      <w:rFonts w:ascii="Aptos" w:hAnsi="Aptos"/>
                                      <w:b/>
                                      <w:bCs/>
                                      <w:kern w:val="24"/>
                                      <w:sz w:val="14"/>
                                      <w:szCs w:val="14"/>
                                    </w:rPr>
                                  </w:pPr>
                                  <w:r>
                                    <w:rPr>
                                      <w:rFonts w:ascii="Aptos" w:hAnsi="Aptos"/>
                                      <w:b/>
                                      <w:bCs/>
                                      <w:kern w:val="24"/>
                                      <w:sz w:val="14"/>
                                      <w:szCs w:val="14"/>
                                      <w:lang w:val="en-US"/>
                                    </w:rPr>
                                    <w:t>3</w:t>
                                  </w:r>
                                  <w:r>
                                    <w:rPr>
                                      <w:rFonts w:ascii="Aptos" w:hAnsi="Aptos"/>
                                      <w:b/>
                                      <w:bCs/>
                                      <w:kern w:val="24"/>
                                      <w:sz w:val="14"/>
                                      <w:szCs w:val="14"/>
                                    </w:rPr>
                                    <w:t>,</w:t>
                                  </w:r>
                                  <w:r>
                                    <w:rPr>
                                      <w:rFonts w:ascii="Aptos" w:hAnsi="Aptos"/>
                                      <w:b/>
                                      <w:bCs/>
                                      <w:kern w:val="24"/>
                                      <w:sz w:val="14"/>
                                      <w:szCs w:val="14"/>
                                      <w:lang w:val="en-US"/>
                                    </w:rPr>
                                    <w:t>7</w:t>
                                  </w:r>
                                  <w:r>
                                    <w:rPr>
                                      <w:rFonts w:ascii="Aptos" w:hAnsi="Aptos"/>
                                      <w:b/>
                                      <w:bCs/>
                                      <w:kern w:val="24"/>
                                      <w:sz w:val="14"/>
                                      <w:szCs w:val="14"/>
                                    </w:rPr>
                                    <w:t>%</w:t>
                                  </w:r>
                                </w:p>
                              </w:txbxContent>
                            </wps:txbx>
                            <wps:bodyPr wrap="square" rtlCol="0">
                              <a:spAutoFit/>
                            </wps:bodyPr>
                          </wps:wsp>
                        </a:graphicData>
                      </a:graphic>
                    </wp:anchor>
                  </w:drawing>
                </mc:Choice>
                <mc:Fallback>
                  <w:pict>
                    <v:shape id="TextBox 39" o:spid="_x0000_s1026" o:spt="202" type="#_x0000_t202" style="position:absolute;left:0pt;margin-left:213.2pt;margin-top:10.75pt;height:19.35pt;width:31.15pt;z-index:251679744;mso-width-relative:page;mso-height-relative:page;" filled="f" stroked="f" coordsize="21600,21600" o:gfxdata="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zH&#10;8v/XAAAACQEAAA8AAAAAAAAAAQAgAAAAIgAAAGRycy9kb3ducmV2LnhtbFBLAQIUABQAAAAIAIdO&#10;4kCnGYdwsgEAAGMDAAAOAAAAAAAAAAEAIAAAACYBAABkcnMvZTJvRG9jLnhtbFBLBQYAAAAABgAG&#10;AFkBAABKBQAAAAA=&#10;">
                      <v:fill on="f" focussize="0,0"/>
                      <v:stroke on="f"/>
                      <v:imagedata o:title=""/>
                      <o:lock v:ext="edit" aspectratio="f"/>
                      <v:textbox style="mso-fit-shape-to-text:t;">
                        <w:txbxContent>
                          <w:p>
                            <w:pPr>
                              <w:jc w:val="center"/>
                              <w:textAlignment w:val="center"/>
                              <w:rPr>
                                <w:rFonts w:ascii="Aptos" w:hAnsi="Aptos"/>
                                <w:b/>
                                <w:bCs/>
                                <w:kern w:val="24"/>
                                <w:sz w:val="14"/>
                                <w:szCs w:val="14"/>
                              </w:rPr>
                            </w:pPr>
                            <w:r>
                              <w:rPr>
                                <w:rFonts w:ascii="Aptos" w:hAnsi="Aptos"/>
                                <w:b/>
                                <w:bCs/>
                                <w:kern w:val="24"/>
                                <w:sz w:val="14"/>
                                <w:szCs w:val="14"/>
                                <w:lang w:val="en-US"/>
                              </w:rPr>
                              <w:t>3</w:t>
                            </w:r>
                            <w:r>
                              <w:rPr>
                                <w:rFonts w:ascii="Aptos" w:hAnsi="Aptos"/>
                                <w:b/>
                                <w:bCs/>
                                <w:kern w:val="24"/>
                                <w:sz w:val="14"/>
                                <w:szCs w:val="14"/>
                              </w:rPr>
                              <w:t>,</w:t>
                            </w:r>
                            <w:r>
                              <w:rPr>
                                <w:rFonts w:ascii="Aptos" w:hAnsi="Aptos"/>
                                <w:b/>
                                <w:bCs/>
                                <w:kern w:val="24"/>
                                <w:sz w:val="14"/>
                                <w:szCs w:val="14"/>
                                <w:lang w:val="en-US"/>
                              </w:rPr>
                              <w:t>7</w:t>
                            </w:r>
                            <w:r>
                              <w:rPr>
                                <w:rFonts w:ascii="Aptos" w:hAnsi="Aptos"/>
                                <w:b/>
                                <w:bCs/>
                                <w:kern w:val="24"/>
                                <w:sz w:val="14"/>
                                <w:szCs w:val="14"/>
                              </w:rPr>
                              <w:t>%</w:t>
                            </w:r>
                          </w:p>
                        </w:txbxContent>
                      </v:textbox>
                    </v:shape>
                  </w:pict>
                </mc:Fallback>
              </mc:AlternateContent>
            </w:r>
            <w:r>
              <w:rPr>
                <w:rFonts w:ascii="Calibri" w:hAnsi="Calibri" w:eastAsia="Calibri" w:cs="Times New Roman"/>
                <w:color w:val="595959"/>
                <w:sz w:val="20"/>
                <w:szCs w:val="20"/>
                <w:lang w:eastAsia="el-GR"/>
              </w:rPr>
              <mc:AlternateContent>
                <mc:Choice Requires="wps">
                  <w:drawing>
                    <wp:anchor distT="0" distB="0" distL="114300" distR="114300" simplePos="0" relativeHeight="251677696" behindDoc="0" locked="0" layoutInCell="1" allowOverlap="1">
                      <wp:simplePos x="0" y="0"/>
                      <wp:positionH relativeFrom="column">
                        <wp:posOffset>1362075</wp:posOffset>
                      </wp:positionH>
                      <wp:positionV relativeFrom="paragraph">
                        <wp:posOffset>135890</wp:posOffset>
                      </wp:positionV>
                      <wp:extent cx="395605" cy="245745"/>
                      <wp:effectExtent l="0" t="0" r="0" b="0"/>
                      <wp:wrapNone/>
                      <wp:docPr id="750847107" name="TextBox 39"/>
                      <wp:cNvGraphicFramePr/>
                      <a:graphic xmlns:a="http://schemas.openxmlformats.org/drawingml/2006/main">
                        <a:graphicData uri="http://schemas.microsoft.com/office/word/2010/wordprocessingShape">
                          <wps:wsp>
                            <wps:cNvSpPr txBox="1"/>
                            <wps:spPr>
                              <a:xfrm>
                                <a:off x="0" y="0"/>
                                <a:ext cx="395605" cy="245745"/>
                              </a:xfrm>
                              <a:prstGeom prst="rect">
                                <a:avLst/>
                              </a:prstGeom>
                              <a:noFill/>
                            </wps:spPr>
                            <wps:txbx>
                              <w:txbxContent>
                                <w:p>
                                  <w:pPr>
                                    <w:jc w:val="center"/>
                                    <w:textAlignment w:val="center"/>
                                    <w:rPr>
                                      <w:rFonts w:ascii="Aptos" w:hAnsi="Aptos"/>
                                      <w:kern w:val="24"/>
                                      <w:sz w:val="14"/>
                                      <w:szCs w:val="14"/>
                                    </w:rPr>
                                  </w:pPr>
                                  <w:r>
                                    <w:rPr>
                                      <w:rFonts w:ascii="Aptos" w:hAnsi="Aptos"/>
                                      <w:kern w:val="24"/>
                                      <w:sz w:val="14"/>
                                      <w:szCs w:val="14"/>
                                    </w:rPr>
                                    <w:t>5,2%</w:t>
                                  </w:r>
                                </w:p>
                              </w:txbxContent>
                            </wps:txbx>
                            <wps:bodyPr wrap="square" rtlCol="0">
                              <a:spAutoFit/>
                            </wps:bodyPr>
                          </wps:wsp>
                        </a:graphicData>
                      </a:graphic>
                    </wp:anchor>
                  </w:drawing>
                </mc:Choice>
                <mc:Fallback>
                  <w:pict>
                    <v:shape id="TextBox 39" o:spid="_x0000_s1026" o:spt="202" type="#_x0000_t202" style="position:absolute;left:0pt;margin-left:107.25pt;margin-top:10.7pt;height:19.35pt;width:31.15pt;z-index:251677696;mso-width-relative:page;mso-height-relative:page;" filled="f" stroked="f" coordsize="21600,21600" o:gfxdata="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Jog&#10;ntYAAAAJAQAADwAAAAAAAAABACAAAAAiAAAAZHJzL2Rvd25yZXYueG1sUEsBAhQAFAAAAAgAh07i&#10;QD2XN2eyAQAAYwMAAA4AAAAAAAAAAQAgAAAAJQEAAGRycy9lMm9Eb2MueG1sUEsFBgAAAAAGAAYA&#10;WQEAAEkFAAAAAA==&#10;">
                      <v:fill on="f" focussize="0,0"/>
                      <v:stroke on="f"/>
                      <v:imagedata o:title=""/>
                      <o:lock v:ext="edit" aspectratio="f"/>
                      <v:textbox style="mso-fit-shape-to-text:t;">
                        <w:txbxContent>
                          <w:p>
                            <w:pPr>
                              <w:jc w:val="center"/>
                              <w:textAlignment w:val="center"/>
                              <w:rPr>
                                <w:rFonts w:ascii="Aptos" w:hAnsi="Aptos"/>
                                <w:kern w:val="24"/>
                                <w:sz w:val="14"/>
                                <w:szCs w:val="14"/>
                              </w:rPr>
                            </w:pPr>
                            <w:r>
                              <w:rPr>
                                <w:rFonts w:ascii="Aptos" w:hAnsi="Aptos"/>
                                <w:kern w:val="24"/>
                                <w:sz w:val="14"/>
                                <w:szCs w:val="14"/>
                              </w:rPr>
                              <w:t>5,2%</w:t>
                            </w:r>
                          </w:p>
                        </w:txbxContent>
                      </v:textbox>
                    </v:shape>
                  </w:pict>
                </mc:Fallback>
              </mc:AlternateContent>
            </w:r>
            <w:r>
              <w:rPr>
                <w:rFonts w:ascii="Calibri" w:hAnsi="Calibri" w:eastAsia="Calibri" w:cs="Times New Roman"/>
                <w:color w:val="595959"/>
                <w:sz w:val="20"/>
                <w:szCs w:val="20"/>
                <w:lang w:eastAsia="el-GR"/>
              </w:rPr>
              <mc:AlternateContent>
                <mc:Choice Requires="wps">
                  <w:drawing>
                    <wp:anchor distT="0" distB="0" distL="114300" distR="114300" simplePos="0" relativeHeight="251675648" behindDoc="0" locked="0" layoutInCell="1" allowOverlap="1">
                      <wp:simplePos x="0" y="0"/>
                      <wp:positionH relativeFrom="column">
                        <wp:posOffset>854710</wp:posOffset>
                      </wp:positionH>
                      <wp:positionV relativeFrom="paragraph">
                        <wp:posOffset>135255</wp:posOffset>
                      </wp:positionV>
                      <wp:extent cx="395605" cy="245745"/>
                      <wp:effectExtent l="0" t="0" r="0" b="0"/>
                      <wp:wrapNone/>
                      <wp:docPr id="40" name="TextBox 39"/>
                      <wp:cNvGraphicFramePr/>
                      <a:graphic xmlns:a="http://schemas.openxmlformats.org/drawingml/2006/main">
                        <a:graphicData uri="http://schemas.microsoft.com/office/word/2010/wordprocessingShape">
                          <wps:wsp>
                            <wps:cNvSpPr txBox="1"/>
                            <wps:spPr>
                              <a:xfrm>
                                <a:off x="0" y="0"/>
                                <a:ext cx="395605" cy="245745"/>
                              </a:xfrm>
                              <a:prstGeom prst="rect">
                                <a:avLst/>
                              </a:prstGeom>
                              <a:noFill/>
                            </wps:spPr>
                            <wps:txbx>
                              <w:txbxContent>
                                <w:p>
                                  <w:pPr>
                                    <w:jc w:val="center"/>
                                    <w:textAlignment w:val="center"/>
                                    <w:rPr>
                                      <w:rFonts w:ascii="Aptos" w:hAnsi="Aptos"/>
                                      <w:kern w:val="24"/>
                                      <w:sz w:val="14"/>
                                      <w:szCs w:val="14"/>
                                    </w:rPr>
                                  </w:pPr>
                                  <w:r>
                                    <w:rPr>
                                      <w:rFonts w:ascii="Aptos" w:hAnsi="Aptos"/>
                                      <w:kern w:val="24"/>
                                      <w:sz w:val="14"/>
                                      <w:szCs w:val="14"/>
                                    </w:rPr>
                                    <w:t>5,2%</w:t>
                                  </w:r>
                                </w:p>
                              </w:txbxContent>
                            </wps:txbx>
                            <wps:bodyPr wrap="square" rtlCol="0">
                              <a:spAutoFit/>
                            </wps:bodyPr>
                          </wps:wsp>
                        </a:graphicData>
                      </a:graphic>
                    </wp:anchor>
                  </w:drawing>
                </mc:Choice>
                <mc:Fallback>
                  <w:pict>
                    <v:shape id="TextBox 39" o:spid="_x0000_s1026" o:spt="202" type="#_x0000_t202" style="position:absolute;left:0pt;margin-left:67.3pt;margin-top:10.65pt;height:19.35pt;width:31.15pt;z-index:251675648;mso-width-relative:page;mso-height-relative:page;" filled="f" stroked="f" coordsize="21600,21600" o:gfxdata="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hwgjrVAAAACQEA&#10;AA8AAAAAAAAAAQAgAAAAIgAAAGRycy9kb3ducmV2LnhtbFBLAQIUABQAAAAIAIdO4kAYrRAEqwEA&#10;AFwDAAAOAAAAAAAAAAEAIAAAACQBAABkcnMvZTJvRG9jLnhtbFBLBQYAAAAABgAGAFkBAABBBQAA&#10;AAA=&#10;">
                      <v:fill on="f" focussize="0,0"/>
                      <v:stroke on="f"/>
                      <v:imagedata o:title=""/>
                      <o:lock v:ext="edit" aspectratio="f"/>
                      <v:textbox style="mso-fit-shape-to-text:t;">
                        <w:txbxContent>
                          <w:p>
                            <w:pPr>
                              <w:jc w:val="center"/>
                              <w:textAlignment w:val="center"/>
                              <w:rPr>
                                <w:rFonts w:ascii="Aptos" w:hAnsi="Aptos"/>
                                <w:kern w:val="24"/>
                                <w:sz w:val="14"/>
                                <w:szCs w:val="14"/>
                              </w:rPr>
                            </w:pPr>
                            <w:r>
                              <w:rPr>
                                <w:rFonts w:ascii="Aptos" w:hAnsi="Aptos"/>
                                <w:kern w:val="24"/>
                                <w:sz w:val="14"/>
                                <w:szCs w:val="14"/>
                              </w:rPr>
                              <w:t>5,2%</w:t>
                            </w:r>
                          </w:p>
                        </w:txbxContent>
                      </v:textbox>
                    </v:shape>
                  </w:pict>
                </mc:Fallback>
              </mc:AlternateContent>
            </w:r>
            <w:r>
              <w:rPr>
                <w:rFonts w:ascii="Aptos" w:hAnsi="Aptos" w:eastAsia="Calibri" w:cs="Segoe UI"/>
                <w:color w:val="595959"/>
                <w:sz w:val="16"/>
                <w:szCs w:val="16"/>
                <w:lang w:eastAsia="el-GR"/>
              </w:rPr>
              <w:drawing>
                <wp:inline distT="0" distB="0" distL="0" distR="0">
                  <wp:extent cx="3196590" cy="1705610"/>
                  <wp:effectExtent l="0" t="0" r="3810" b="8890"/>
                  <wp:docPr id="750847122" name="Chart 750847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 w:type="dxa"/>
          <w:trHeight w:val="2160" w:hRule="atLeast"/>
        </w:trPr>
        <w:tc>
          <w:tcPr>
            <w:tcW w:w="5103" w:type="dxa"/>
          </w:tcPr>
          <w:p>
            <w:pPr>
              <w:kinsoku w:val="0"/>
              <w:overflowPunct w:val="0"/>
              <w:spacing w:before="40"/>
              <w:ind w:left="547" w:hanging="547"/>
              <w:textAlignment w:val="baseline"/>
              <w:rPr>
                <w:rFonts w:ascii="Aptos" w:hAnsi="Aptos" w:eastAsia="Segoe UI" w:cs="Segoe UI"/>
                <w:b/>
                <w:color w:val="003841"/>
                <w:kern w:val="24"/>
                <w:sz w:val="10"/>
                <w:szCs w:val="10"/>
                <w:lang w:eastAsia="el-GR"/>
              </w:rPr>
            </w:pPr>
            <w:bookmarkStart w:id="0" w:name="_Hlk159858295"/>
          </w:p>
          <w:p>
            <w:pPr>
              <w:kinsoku w:val="0"/>
              <w:overflowPunct w:val="0"/>
              <w:spacing w:before="40"/>
              <w:ind w:left="547" w:hanging="547"/>
              <w:textAlignment w:val="baseline"/>
              <w:rPr>
                <w:rFonts w:ascii="Aptos" w:hAnsi="Aptos" w:eastAsia="Segoe UI" w:cs="Segoe UI"/>
                <w:b/>
                <w:color w:val="003841"/>
                <w:kern w:val="24"/>
                <w:sz w:val="20"/>
                <w:szCs w:val="20"/>
                <w:lang w:eastAsia="el-GR"/>
              </w:rPr>
            </w:pPr>
            <w:r>
              <w:rPr>
                <w:rFonts w:ascii="Aptos" w:hAnsi="Aptos" w:eastAsia="Segoe UI" w:cs="Segoe UI"/>
                <w:b/>
                <w:color w:val="003841"/>
                <w:kern w:val="24"/>
                <w:sz w:val="20"/>
                <w:szCs w:val="20"/>
                <w:lang w:eastAsia="el-GR"/>
              </w:rPr>
              <w:t xml:space="preserve">ΜΕΑ ανά κατηγορία δανείων (€ δισ., Ελλάδα) | </w:t>
            </w:r>
          </w:p>
          <w:p>
            <w:pPr>
              <w:kinsoku w:val="0"/>
              <w:overflowPunct w:val="0"/>
              <w:spacing w:before="40"/>
              <w:ind w:left="547" w:hanging="547"/>
              <w:textAlignment w:val="baseline"/>
              <w:rPr>
                <w:rFonts w:ascii="Aptos" w:hAnsi="Aptos" w:eastAsia="Segoe UI" w:cs="Segoe UI"/>
                <w:b/>
                <w:color w:val="003841"/>
                <w:kern w:val="24"/>
                <w:sz w:val="20"/>
                <w:szCs w:val="20"/>
                <w:lang w:eastAsia="el-GR"/>
              </w:rPr>
            </w:pPr>
            <w:r>
              <w:rPr>
                <w:rFonts w:ascii="Aptos" w:hAnsi="Aptos" w:eastAsia="Segoe UI" w:cs="Segoe UI"/>
                <w:b/>
                <w:color w:val="003841"/>
                <w:kern w:val="24"/>
                <w:sz w:val="20"/>
                <w:szCs w:val="20"/>
                <w:lang w:eastAsia="el-GR"/>
              </w:rPr>
              <w:t>Δ’ τρίμηνο 2023</w:t>
            </w:r>
          </w:p>
          <w:p>
            <w:pPr>
              <w:kinsoku w:val="0"/>
              <w:overflowPunct w:val="0"/>
              <w:spacing w:before="40"/>
              <w:ind w:left="547" w:hanging="547"/>
              <w:jc w:val="both"/>
              <w:textAlignment w:val="baseline"/>
              <w:rPr>
                <w:rFonts w:ascii="Aptos" w:hAnsi="Aptos" w:eastAsia="Times New Roman" w:cs="Segoe UI"/>
                <w:color w:val="595959"/>
                <w:sz w:val="20"/>
                <w:szCs w:val="20"/>
                <w:lang w:eastAsia="el-GR"/>
              </w:rPr>
            </w:pPr>
            <w:r>
              <w:rPr>
                <w:rFonts w:ascii="Aptos" w:hAnsi="Aptos" w:eastAsia="Calibri" w:cs="Times New Roman"/>
                <w:color w:val="595959"/>
                <w:sz w:val="20"/>
                <w:szCs w:val="20"/>
                <w:lang w:eastAsia="el-GR"/>
              </w:rPr>
              <mc:AlternateContent>
                <mc:Choice Requires="wps">
                  <w:drawing>
                    <wp:anchor distT="0" distB="0" distL="114300" distR="114300" simplePos="0" relativeHeight="251663360" behindDoc="0" locked="0" layoutInCell="1" allowOverlap="1">
                      <wp:simplePos x="0" y="0"/>
                      <wp:positionH relativeFrom="column">
                        <wp:posOffset>2294255</wp:posOffset>
                      </wp:positionH>
                      <wp:positionV relativeFrom="paragraph">
                        <wp:posOffset>1385570</wp:posOffset>
                      </wp:positionV>
                      <wp:extent cx="158750" cy="95250"/>
                      <wp:effectExtent l="38100" t="0" r="0" b="0"/>
                      <wp:wrapNone/>
                      <wp:docPr id="54" name="Rectangular Callout 37"/>
                      <wp:cNvGraphicFramePr/>
                      <a:graphic xmlns:a="http://schemas.openxmlformats.org/drawingml/2006/main">
                        <a:graphicData uri="http://schemas.microsoft.com/office/word/2010/wordprocessingShape">
                          <wps:wsp>
                            <wps:cNvSpPr/>
                            <wps:spPr>
                              <a:xfrm>
                                <a:off x="0" y="0"/>
                                <a:ext cx="158750" cy="95250"/>
                              </a:xfrm>
                              <a:prstGeom prst="wedgeRectCallout">
                                <a:avLst>
                                  <a:gd name="adj1" fmla="val -63868"/>
                                  <a:gd name="adj2" fmla="val -206"/>
                                </a:avLst>
                              </a:prstGeom>
                              <a:solidFill>
                                <a:srgbClr val="F5F9F6"/>
                              </a:solidFill>
                              <a:ln w="3175" cap="flat" cmpd="sng" algn="ctr">
                                <a:noFill/>
                                <a:prstDash val="solid"/>
                                <a:miter lim="800000"/>
                              </a:ln>
                              <a:effectLst/>
                            </wps:spPr>
                            <wps:txbx>
                              <w:txbxContent>
                                <w:p>
                                  <w:pPr>
                                    <w:jc w:val="center"/>
                                    <w:textAlignment w:val="baseline"/>
                                    <w:rPr>
                                      <w:rFonts w:ascii="Segoe UI" w:hAnsi="Segoe UI" w:cs="Segoe UI"/>
                                      <w:b/>
                                      <w:bCs/>
                                      <w:color w:val="808080" w:themeColor="text1" w:themeTint="80"/>
                                      <w:kern w:val="24"/>
                                      <w:sz w:val="10"/>
                                      <w:szCs w:val="10"/>
                                      <w:lang w:val="en-US"/>
                                      <w14:textFill>
                                        <w14:solidFill>
                                          <w14:schemeClr w14:val="tx1">
                                            <w14:lumMod w14:val="50000"/>
                                            <w14:lumOff w14:val="50000"/>
                                          </w14:schemeClr>
                                        </w14:solidFill>
                                      </w14:textFill>
                                    </w:rPr>
                                  </w:pPr>
                                </w:p>
                              </w:txbxContent>
                            </wps:txbx>
                            <wps:bodyPr wrap="square" anchor="ctr">
                              <a:noAutofit/>
                            </wps:bodyPr>
                          </wps:wsp>
                        </a:graphicData>
                      </a:graphic>
                    </wp:anchor>
                  </w:drawing>
                </mc:Choice>
                <mc:Fallback>
                  <w:pict>
                    <v:shape id="Rectangular Callout 37" o:spid="_x0000_s1026" o:spt="61" type="#_x0000_t61" style="position:absolute;left:0pt;margin-left:180.65pt;margin-top:109.1pt;height:7.5pt;width:12.5pt;z-index:251663360;v-text-anchor:middle;mso-width-relative:page;mso-height-relative:page;" fillcolor="#F5F9F6" filled="t" stroked="f" coordsize="21600,21600" o:gfxdata="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KfXBvYAAAACwEAAA8AAAAAAAAAAQAgAAAAIgAAAGRycy9kb3ducmV2LnhtbFBLAQIUABQA&#10;AAAIAIdO4kCKcT1cKQIAAGUEAAAOAAAAAAAAAAEAIAAAACcBAABkcnMvZTJvRG9jLnhtbFBLBQYA&#10;AAAABgAGAFkBAADCBQAAAAA=&#10;" adj="-2995,10756">
                      <v:fill on="t" focussize="0,0"/>
                      <v:stroke on="f" weight="0.25pt" miterlimit="8" joinstyle="miter"/>
                      <v:imagedata o:title=""/>
                      <o:lock v:ext="edit" aspectratio="f"/>
                      <v:textbox>
                        <w:txbxContent>
                          <w:p>
                            <w:pPr>
                              <w:jc w:val="center"/>
                              <w:textAlignment w:val="baseline"/>
                              <w:rPr>
                                <w:rFonts w:ascii="Segoe UI" w:hAnsi="Segoe UI" w:cs="Segoe UI"/>
                                <w:b/>
                                <w:bCs/>
                                <w:color w:val="808080" w:themeColor="text1" w:themeTint="80"/>
                                <w:kern w:val="24"/>
                                <w:sz w:val="10"/>
                                <w:szCs w:val="10"/>
                                <w:lang w:val="en-US"/>
                                <w14:textFill>
                                  <w14:solidFill>
                                    <w14:schemeClr w14:val="tx1">
                                      <w14:lumMod w14:val="50000"/>
                                      <w14:lumOff w14:val="50000"/>
                                    </w14:schemeClr>
                                  </w14:solidFill>
                                </w14:textFill>
                              </w:rPr>
                            </w:pPr>
                          </w:p>
                        </w:txbxContent>
                      </v:textbox>
                    </v:shape>
                  </w:pict>
                </mc:Fallback>
              </mc:AlternateContent>
            </w:r>
            <w:r>
              <w:rPr>
                <w:rFonts w:ascii="Aptos" w:hAnsi="Aptos" w:eastAsia="Calibri" w:cs="Times New Roman"/>
                <w:color w:val="595959"/>
                <w:sz w:val="20"/>
                <w:szCs w:val="20"/>
                <w:lang w:eastAsia="el-GR"/>
              </w:rPr>
              <mc:AlternateContent>
                <mc:Choice Requires="wps">
                  <w:drawing>
                    <wp:anchor distT="0" distB="0" distL="114300" distR="114300" simplePos="0" relativeHeight="251661312" behindDoc="0" locked="0" layoutInCell="1" allowOverlap="1">
                      <wp:simplePos x="0" y="0"/>
                      <wp:positionH relativeFrom="column">
                        <wp:posOffset>1530350</wp:posOffset>
                      </wp:positionH>
                      <wp:positionV relativeFrom="paragraph">
                        <wp:posOffset>1378585</wp:posOffset>
                      </wp:positionV>
                      <wp:extent cx="95250" cy="95250"/>
                      <wp:effectExtent l="0" t="0" r="0" b="0"/>
                      <wp:wrapNone/>
                      <wp:docPr id="32" name="TextBox 34"/>
                      <wp:cNvGraphicFramePr/>
                      <a:graphic xmlns:a="http://schemas.openxmlformats.org/drawingml/2006/main">
                        <a:graphicData uri="http://schemas.microsoft.com/office/word/2010/wordprocessingShape">
                          <wps:wsp>
                            <wps:cNvSpPr txBox="1"/>
                            <wps:spPr>
                              <a:xfrm>
                                <a:off x="0" y="0"/>
                                <a:ext cx="95250" cy="95250"/>
                              </a:xfrm>
                              <a:prstGeom prst="rect">
                                <a:avLst/>
                              </a:prstGeom>
                              <a:solidFill>
                                <a:srgbClr val="F5F9F6"/>
                              </a:solidFill>
                            </wps:spPr>
                            <wps:txbx>
                              <w:txbxContent>
                                <w:p>
                                  <w:pPr>
                                    <w:jc w:val="center"/>
                                    <w:textAlignment w:val="baseline"/>
                                    <w:rPr>
                                      <w:rFonts w:ascii="Segoe UI" w:hAnsi="Segoe UI" w:cs="Segoe UI"/>
                                      <w:kern w:val="24"/>
                                      <w:sz w:val="16"/>
                                      <w:szCs w:val="16"/>
                                      <w:lang w:val="en-US"/>
                                    </w:rPr>
                                  </w:pPr>
                                </w:p>
                              </w:txbxContent>
                            </wps:txbx>
                            <wps:bodyPr wrap="square" rtlCol="0">
                              <a:noAutofit/>
                            </wps:bodyPr>
                          </wps:wsp>
                        </a:graphicData>
                      </a:graphic>
                    </wp:anchor>
                  </w:drawing>
                </mc:Choice>
                <mc:Fallback>
                  <w:pict>
                    <v:shape id="TextBox 34" o:spid="_x0000_s1026" o:spt="202" type="#_x0000_t202" style="position:absolute;left:0pt;margin-left:120.5pt;margin-top:108.55pt;height:7.5pt;width:7.5pt;z-index:251661312;mso-width-relative:page;mso-height-relative:page;" fillcolor="#F5F9F6" filled="t" stroked="f" coordsize="21600,21600" o:gfxdata="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NWHITaAAAACwEAAA8AAAAAAAAAAQAgAAAAIgAAAGRycy9kb3ducmV2Lnht&#10;bFBLAQIUABQAAAAIAIdO4kClGwRkvgEAAIMDAAAOAAAAAAAAAAEAIAAAACkBAABkcnMvZTJvRG9j&#10;LnhtbFBLBQYAAAAABgAGAFkBAABZBQAAAAA=&#10;">
                      <v:fill on="t" focussize="0,0"/>
                      <v:stroke on="f"/>
                      <v:imagedata o:title=""/>
                      <o:lock v:ext="edit" aspectratio="f"/>
                      <v:textbox>
                        <w:txbxContent>
                          <w:p>
                            <w:pPr>
                              <w:jc w:val="center"/>
                              <w:textAlignment w:val="baseline"/>
                              <w:rPr>
                                <w:rFonts w:ascii="Segoe UI" w:hAnsi="Segoe UI" w:cs="Segoe UI"/>
                                <w:kern w:val="24"/>
                                <w:sz w:val="16"/>
                                <w:szCs w:val="16"/>
                                <w:lang w:val="en-US"/>
                              </w:rPr>
                            </w:pPr>
                          </w:p>
                        </w:txbxContent>
                      </v:textbox>
                    </v:shape>
                  </w:pict>
                </mc:Fallback>
              </mc:AlternateContent>
            </w:r>
            <w:r>
              <w:rPr>
                <w:rFonts w:ascii="Aptos" w:hAnsi="Aptos" w:eastAsia="Calibri" w:cs="Times New Roman"/>
                <w:color w:val="595959"/>
                <w:sz w:val="20"/>
                <w:szCs w:val="20"/>
                <w:lang w:eastAsia="el-GR"/>
              </w:rPr>
              <mc:AlternateContent>
                <mc:Choice Requires="wps">
                  <w:drawing>
                    <wp:anchor distT="0" distB="0" distL="114300" distR="114300" simplePos="0" relativeHeight="251662336" behindDoc="0" locked="0" layoutInCell="1" allowOverlap="1">
                      <wp:simplePos x="0" y="0"/>
                      <wp:positionH relativeFrom="column">
                        <wp:posOffset>722630</wp:posOffset>
                      </wp:positionH>
                      <wp:positionV relativeFrom="paragraph">
                        <wp:posOffset>1362710</wp:posOffset>
                      </wp:positionV>
                      <wp:extent cx="95250" cy="95250"/>
                      <wp:effectExtent l="0" t="0" r="0" b="0"/>
                      <wp:wrapNone/>
                      <wp:docPr id="41" name="TextBox 34"/>
                      <wp:cNvGraphicFramePr/>
                      <a:graphic xmlns:a="http://schemas.openxmlformats.org/drawingml/2006/main">
                        <a:graphicData uri="http://schemas.microsoft.com/office/word/2010/wordprocessingShape">
                          <wps:wsp>
                            <wps:cNvSpPr txBox="1"/>
                            <wps:spPr>
                              <a:xfrm>
                                <a:off x="0" y="0"/>
                                <a:ext cx="95250" cy="95250"/>
                              </a:xfrm>
                              <a:prstGeom prst="rect">
                                <a:avLst/>
                              </a:prstGeom>
                              <a:solidFill>
                                <a:srgbClr val="F5F9F6"/>
                              </a:solidFill>
                            </wps:spPr>
                            <wps:txbx>
                              <w:txbxContent>
                                <w:p>
                                  <w:pPr>
                                    <w:jc w:val="center"/>
                                    <w:textAlignment w:val="baseline"/>
                                    <w:rPr>
                                      <w:rFonts w:ascii="Segoe UI" w:hAnsi="Segoe UI" w:cs="Segoe UI"/>
                                      <w:kern w:val="24"/>
                                      <w:sz w:val="16"/>
                                      <w:szCs w:val="16"/>
                                      <w:lang w:val="en-US"/>
                                    </w:rPr>
                                  </w:pPr>
                                </w:p>
                              </w:txbxContent>
                            </wps:txbx>
                            <wps:bodyPr wrap="square" rtlCol="0">
                              <a:noAutofit/>
                            </wps:bodyPr>
                          </wps:wsp>
                        </a:graphicData>
                      </a:graphic>
                    </wp:anchor>
                  </w:drawing>
                </mc:Choice>
                <mc:Fallback>
                  <w:pict>
                    <v:shape id="TextBox 34" o:spid="_x0000_s1026" o:spt="202" type="#_x0000_t202" style="position:absolute;left:0pt;margin-left:56.9pt;margin-top:107.3pt;height:7.5pt;width:7.5pt;z-index:251662336;mso-width-relative:page;mso-height-relative:page;" fillcolor="#F5F9F6" filled="t" stroked="f" coordsize="21600,21600" o:gfxdata="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Yv+5XaAAAACwEAAA8AAAAAAAAAAQAgAAAAIgAAAGRycy9kb3ducmV2Lnht&#10;bFBLAQIUABQAAAAIAIdO4kB/Y+FzvgEAAIMDAAAOAAAAAAAAAAEAIAAAACkBAABkcnMvZTJvRG9j&#10;LnhtbFBLBQYAAAAABgAGAFkBAABZBQAAAAA=&#10;">
                      <v:fill on="t" focussize="0,0"/>
                      <v:stroke on="f"/>
                      <v:imagedata o:title=""/>
                      <o:lock v:ext="edit" aspectratio="f"/>
                      <v:textbox>
                        <w:txbxContent>
                          <w:p>
                            <w:pPr>
                              <w:jc w:val="center"/>
                              <w:textAlignment w:val="baseline"/>
                              <w:rPr>
                                <w:rFonts w:ascii="Segoe UI" w:hAnsi="Segoe UI" w:cs="Segoe UI"/>
                                <w:kern w:val="24"/>
                                <w:sz w:val="16"/>
                                <w:szCs w:val="16"/>
                                <w:lang w:val="en-US"/>
                              </w:rPr>
                            </w:pPr>
                          </w:p>
                        </w:txbxContent>
                      </v:textbox>
                    </v:shape>
                  </w:pict>
                </mc:Fallback>
              </mc:AlternateContent>
            </w:r>
            <w:r>
              <w:rPr>
                <w:rFonts w:ascii="Aptos" w:hAnsi="Aptos" w:eastAsia="Times New Roman" w:cs="Segoe UI"/>
                <w:color w:val="595959"/>
                <w:sz w:val="20"/>
                <w:szCs w:val="20"/>
                <w:lang w:eastAsia="el-GR"/>
              </w:rPr>
              <w:drawing>
                <wp:inline distT="0" distB="0" distL="0" distR="0">
                  <wp:extent cx="3103245" cy="1720850"/>
                  <wp:effectExtent l="0" t="0" r="1905"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Aptos" w:hAnsi="Aptos" w:eastAsia="Times New Roman" w:cs="Segoe UI"/>
                <w:color w:val="595959"/>
                <w:sz w:val="20"/>
                <w:szCs w:val="20"/>
                <w:lang w:eastAsia="el-GR"/>
              </w:rPr>
              <w:t xml:space="preserve">           </w:t>
            </w:r>
          </w:p>
        </w:tc>
        <w:tc>
          <w:tcPr>
            <w:tcW w:w="5103" w:type="dxa"/>
          </w:tcPr>
          <w:p>
            <w:pPr>
              <w:kinsoku w:val="0"/>
              <w:overflowPunct w:val="0"/>
              <w:spacing w:before="40"/>
              <w:ind w:left="547" w:hanging="547"/>
              <w:jc w:val="both"/>
              <w:textAlignment w:val="baseline"/>
              <w:rPr>
                <w:rFonts w:ascii="Aptos" w:hAnsi="Aptos" w:eastAsia="Segoe UI" w:cs="Segoe UI"/>
                <w:b/>
                <w:bCs/>
                <w:color w:val="003841"/>
                <w:kern w:val="24"/>
                <w:sz w:val="10"/>
                <w:szCs w:val="10"/>
                <w:lang w:eastAsia="el-GR"/>
              </w:rPr>
            </w:pPr>
          </w:p>
          <w:p>
            <w:pPr>
              <w:kinsoku w:val="0"/>
              <w:overflowPunct w:val="0"/>
              <w:spacing w:before="40"/>
              <w:ind w:left="547" w:hanging="547"/>
              <w:jc w:val="both"/>
              <w:textAlignment w:val="baseline"/>
              <w:rPr>
                <w:rFonts w:ascii="Aptos" w:hAnsi="Aptos" w:eastAsia="Segoe UI" w:cs="Segoe UI"/>
                <w:b/>
                <w:color w:val="003841"/>
                <w:kern w:val="24"/>
                <w:sz w:val="20"/>
                <w:szCs w:val="20"/>
                <w:lang w:eastAsia="el-GR"/>
              </w:rPr>
            </w:pPr>
            <w:r>
              <w:rPr>
                <w:rFonts w:ascii="Aptos" w:hAnsi="Aptos" w:eastAsia="Segoe UI" w:cs="Segoe UI"/>
                <w:b/>
                <w:bCs/>
                <w:color w:val="003841"/>
                <w:kern w:val="24"/>
                <w:sz w:val="20"/>
                <w:szCs w:val="20"/>
                <w:lang w:eastAsia="el-GR"/>
              </w:rPr>
              <w:t xml:space="preserve">Ρυθμισμένα δάνεια (€ δισ., Ελλάδα) </w:t>
            </w:r>
            <w:r>
              <w:rPr>
                <w:rFonts w:ascii="Aptos" w:hAnsi="Aptos" w:eastAsia="Segoe UI" w:cs="Segoe UI"/>
                <w:b/>
                <w:color w:val="003841"/>
                <w:kern w:val="24"/>
                <w:sz w:val="20"/>
                <w:szCs w:val="20"/>
                <w:lang w:eastAsia="el-GR"/>
              </w:rPr>
              <w:t>|</w:t>
            </w:r>
          </w:p>
          <w:p>
            <w:pPr>
              <w:kinsoku w:val="0"/>
              <w:overflowPunct w:val="0"/>
              <w:spacing w:before="40"/>
              <w:ind w:left="547" w:hanging="547"/>
              <w:jc w:val="both"/>
              <w:textAlignment w:val="baseline"/>
              <w:rPr>
                <w:rFonts w:ascii="Aptos" w:hAnsi="Aptos" w:eastAsia="Segoe UI" w:cs="Segoe UI"/>
                <w:b/>
                <w:color w:val="003841"/>
                <w:kern w:val="24"/>
                <w:sz w:val="20"/>
                <w:szCs w:val="20"/>
                <w:lang w:eastAsia="el-GR"/>
              </w:rPr>
            </w:pPr>
            <w:r>
              <w:rPr>
                <w:rFonts w:ascii="Aptos" w:hAnsi="Aptos" w:eastAsia="Segoe UI" w:cs="Segoe UI"/>
                <w:b/>
                <w:color w:val="003841"/>
                <w:kern w:val="24"/>
                <w:sz w:val="20"/>
                <w:szCs w:val="20"/>
                <w:lang w:eastAsia="el-GR"/>
              </w:rPr>
              <w:t>Δ’ τρίμηνο 2023</w:t>
            </w:r>
          </w:p>
          <w:p>
            <w:pPr>
              <w:kinsoku w:val="0"/>
              <w:overflowPunct w:val="0"/>
              <w:spacing w:before="40"/>
              <w:ind w:left="547" w:hanging="547"/>
              <w:jc w:val="both"/>
              <w:textAlignment w:val="baseline"/>
              <w:rPr>
                <w:rFonts w:ascii="Aptos" w:hAnsi="Aptos" w:eastAsia="Segoe UI" w:cs="Segoe UI"/>
                <w:b/>
                <w:color w:val="595959"/>
                <w:kern w:val="24"/>
                <w:sz w:val="16"/>
                <w:szCs w:val="16"/>
                <w:lang w:val="en-US" w:eastAsia="el-GR"/>
              </w:rPr>
            </w:pPr>
            <w:r>
              <w:rPr>
                <w:rFonts w:ascii="Aptos" w:hAnsi="Aptos" w:eastAsia="Calibri" w:cs="Times New Roman"/>
                <w:color w:val="595959"/>
                <w:sz w:val="20"/>
                <w:szCs w:val="20"/>
                <w:lang w:eastAsia="el-GR"/>
              </w:rPr>
              <mc:AlternateContent>
                <mc:Choice Requires="wps">
                  <w:drawing>
                    <wp:anchor distT="0" distB="0" distL="114300" distR="114300" simplePos="0" relativeHeight="251664384" behindDoc="0" locked="0" layoutInCell="1" allowOverlap="1">
                      <wp:simplePos x="0" y="0"/>
                      <wp:positionH relativeFrom="column">
                        <wp:posOffset>1249680</wp:posOffset>
                      </wp:positionH>
                      <wp:positionV relativeFrom="paragraph">
                        <wp:posOffset>720725</wp:posOffset>
                      </wp:positionV>
                      <wp:extent cx="570865" cy="260985"/>
                      <wp:effectExtent l="0" t="0" r="0" b="0"/>
                      <wp:wrapNone/>
                      <wp:docPr id="39" name="TextBox 11"/>
                      <wp:cNvGraphicFramePr/>
                      <a:graphic xmlns:a="http://schemas.openxmlformats.org/drawingml/2006/main">
                        <a:graphicData uri="http://schemas.microsoft.com/office/word/2010/wordprocessingShape">
                          <wps:wsp>
                            <wps:cNvSpPr txBox="1"/>
                            <wps:spPr>
                              <a:xfrm>
                                <a:off x="0" y="0"/>
                                <a:ext cx="570865" cy="260985"/>
                              </a:xfrm>
                              <a:prstGeom prst="rect">
                                <a:avLst/>
                              </a:prstGeom>
                              <a:noFill/>
                            </wps:spPr>
                            <wps:txbx>
                              <w:txbxContent>
                                <w:p>
                                  <w:pPr>
                                    <w:pStyle w:val="16"/>
                                    <w:spacing w:before="0" w:beforeAutospacing="0" w:after="0" w:afterAutospacing="0"/>
                                    <w:jc w:val="center"/>
                                    <w:textAlignment w:val="baseline"/>
                                    <w:rPr>
                                      <w:rFonts w:ascii="Aptos" w:hAnsi="Aptos"/>
                                      <w:color w:val="595959"/>
                                      <w:sz w:val="18"/>
                                      <w:szCs w:val="18"/>
                                      <w:lang w:val="en-US"/>
                                    </w:rPr>
                                  </w:pPr>
                                  <w:r>
                                    <w:rPr>
                                      <w:rFonts w:ascii="Aptos" w:hAnsi="Aptos" w:eastAsia="+mn-ea" w:cs="Arial"/>
                                      <w:b/>
                                      <w:bCs/>
                                      <w:color w:val="595959"/>
                                      <w:kern w:val="24"/>
                                      <w:sz w:val="18"/>
                                      <w:szCs w:val="18"/>
                                    </w:rPr>
                                    <w:t>2,</w:t>
                                  </w:r>
                                  <w:r>
                                    <w:rPr>
                                      <w:rFonts w:ascii="Aptos" w:hAnsi="Aptos" w:eastAsia="+mn-ea" w:cs="Arial"/>
                                      <w:b/>
                                      <w:bCs/>
                                      <w:color w:val="595959"/>
                                      <w:kern w:val="24"/>
                                      <w:sz w:val="18"/>
                                      <w:szCs w:val="18"/>
                                      <w:lang w:val="en-US"/>
                                    </w:rPr>
                                    <w:t>0</w:t>
                                  </w:r>
                                </w:p>
                              </w:txbxContent>
                            </wps:txbx>
                            <wps:bodyPr wrap="square" rtlCol="0">
                              <a:spAutoFit/>
                            </wps:bodyPr>
                          </wps:wsp>
                        </a:graphicData>
                      </a:graphic>
                    </wp:anchor>
                  </w:drawing>
                </mc:Choice>
                <mc:Fallback>
                  <w:pict>
                    <v:shape id="TextBox 11" o:spid="_x0000_s1026" o:spt="202" type="#_x0000_t202" style="position:absolute;left:0pt;margin-left:98.4pt;margin-top:56.75pt;height:20.55pt;width:44.95pt;z-index:251664384;mso-width-relative:page;mso-height-relative:page;" filled="f" stroked="f" coordsize="21600,21600" o:gfxdata="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1pvPnYAAAA&#10;CwEAAA8AAAAAAAAAAQAgAAAAIgAAAGRycy9kb3ducmV2LnhtbFBLAQIUABQAAAAIAIdO4kBV0B+m&#10;qwEAAFwDAAAOAAAAAAAAAAEAIAAAACcBAABkcnMvZTJvRG9jLnhtbFBLBQYAAAAABgAGAFkBAABE&#10;BQAAAAA=&#10;">
                      <v:fill on="f" focussize="0,0"/>
                      <v:stroke on="f"/>
                      <v:imagedata o:title=""/>
                      <o:lock v:ext="edit" aspectratio="f"/>
                      <v:textbox style="mso-fit-shape-to-text:t;">
                        <w:txbxContent>
                          <w:p>
                            <w:pPr>
                              <w:pStyle w:val="16"/>
                              <w:spacing w:before="0" w:beforeAutospacing="0" w:after="0" w:afterAutospacing="0"/>
                              <w:jc w:val="center"/>
                              <w:textAlignment w:val="baseline"/>
                              <w:rPr>
                                <w:rFonts w:ascii="Aptos" w:hAnsi="Aptos"/>
                                <w:color w:val="595959"/>
                                <w:sz w:val="18"/>
                                <w:szCs w:val="18"/>
                                <w:lang w:val="en-US"/>
                              </w:rPr>
                            </w:pPr>
                            <w:r>
                              <w:rPr>
                                <w:rFonts w:ascii="Aptos" w:hAnsi="Aptos" w:eastAsia="+mn-ea" w:cs="Arial"/>
                                <w:b/>
                                <w:bCs/>
                                <w:color w:val="595959"/>
                                <w:kern w:val="24"/>
                                <w:sz w:val="18"/>
                                <w:szCs w:val="18"/>
                              </w:rPr>
                              <w:t>2,</w:t>
                            </w:r>
                            <w:r>
                              <w:rPr>
                                <w:rFonts w:ascii="Aptos" w:hAnsi="Aptos" w:eastAsia="+mn-ea" w:cs="Arial"/>
                                <w:b/>
                                <w:bCs/>
                                <w:color w:val="595959"/>
                                <w:kern w:val="24"/>
                                <w:sz w:val="18"/>
                                <w:szCs w:val="18"/>
                                <w:lang w:val="en-US"/>
                              </w:rPr>
                              <w:t>0</w:t>
                            </w:r>
                          </w:p>
                        </w:txbxContent>
                      </v:textbox>
                    </v:shape>
                  </w:pict>
                </mc:Fallback>
              </mc:AlternateContent>
            </w:r>
            <w:r>
              <w:rPr>
                <w:rFonts w:ascii="Aptos" w:hAnsi="Aptos" w:eastAsia="Times New Roman" w:cs="Segoe UI"/>
                <w:color w:val="595959"/>
                <w:sz w:val="20"/>
                <w:szCs w:val="20"/>
                <w:lang w:eastAsia="el-GR"/>
              </w:rPr>
              <w:drawing>
                <wp:inline distT="0" distB="0" distL="0" distR="0">
                  <wp:extent cx="3140710" cy="1712595"/>
                  <wp:effectExtent l="0" t="0" r="2540" b="1905"/>
                  <wp:docPr id="750847125" name="Chart 750847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bookmarkEnd w:id="0"/>
    </w:tbl>
    <w:p>
      <w:pPr>
        <w:rPr>
          <w:rFonts w:ascii="Aptos" w:hAnsi="Aptos" w:cs="Segoe UI"/>
          <w:color w:val="595959"/>
          <w:lang w:val="en-US"/>
        </w:rPr>
      </w:pPr>
      <w:r>
        <w:rPr>
          <w:rFonts w:ascii="Aptos" w:hAnsi="Aptos" w:cs="Segoe UI"/>
          <w:sz w:val="20"/>
          <w:lang w:val="en-US"/>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331470</wp:posOffset>
                </wp:positionV>
                <wp:extent cx="6478270" cy="411480"/>
                <wp:effectExtent l="0" t="0" r="0" b="7620"/>
                <wp:wrapSquare wrapText="bothSides"/>
                <wp:docPr id="53" name="Text Box 3"/>
                <wp:cNvGraphicFramePr/>
                <a:graphic xmlns:a="http://schemas.openxmlformats.org/drawingml/2006/main">
                  <a:graphicData uri="http://schemas.microsoft.com/office/word/2010/wordprocessingShape">
                    <wps:wsp>
                      <wps:cNvSpPr txBox="1">
                        <a:spLocks noChangeArrowheads="1"/>
                      </wps:cNvSpPr>
                      <wps:spPr bwMode="auto">
                        <a:xfrm>
                          <a:off x="0" y="0"/>
                          <a:ext cx="6478270" cy="411480"/>
                        </a:xfrm>
                        <a:prstGeom prst="rect">
                          <a:avLst/>
                        </a:prstGeom>
                        <a:solidFill>
                          <a:srgbClr val="003841"/>
                        </a:solidFill>
                        <a:ln w="9525">
                          <a:noFill/>
                        </a:ln>
                      </wps:spPr>
                      <wps:txbx>
                        <w:txbxContent>
                          <w:p>
                            <w:pPr>
                              <w:pStyle w:val="16"/>
                              <w:spacing w:before="0" w:beforeAutospacing="0" w:after="0" w:afterAutospacing="0" w:line="264" w:lineRule="auto"/>
                              <w:rPr>
                                <w:rFonts w:ascii="Aptos" w:hAnsi="Aptos" w:eastAsia="Calibri" w:cs="Segoe UI"/>
                                <w:bCs/>
                                <w:color w:val="FFFFFF" w:themeColor="background1"/>
                                <w:sz w:val="20"/>
                                <w:szCs w:val="20"/>
                                <w:lang w:val="en-US" w:eastAsia="el-GR"/>
                                <w14:textFill>
                                  <w14:solidFill>
                                    <w14:schemeClr w14:val="bg1"/>
                                  </w14:solidFill>
                                </w14:textFill>
                              </w:rPr>
                            </w:pPr>
                            <w:r>
                              <w:rPr>
                                <w:rFonts w:ascii="Aptos ExtraBold" w:hAnsi="Aptos ExtraBold" w:eastAsia="+mn-ea" w:cs="+mn-cs"/>
                                <w:b/>
                                <w:bCs/>
                                <w:color w:val="FFFFFF" w:themeColor="background1"/>
                                <w:kern w:val="24"/>
                                <w:sz w:val="36"/>
                                <w:szCs w:val="42"/>
                                <w14:textFill>
                                  <w14:solidFill>
                                    <w14:schemeClr w14:val="bg1"/>
                                  </w14:solidFill>
                                </w14:textFill>
                                <w14:props3d w14:extrusionH="0" w14:contourW="0" w14:prstMaterial="matte"/>
                              </w:rPr>
                              <w:t>Κεφαλαιακή Επάρκεια</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top:26.1pt;height:32.4pt;width:510.1pt;mso-position-horizontal:right;mso-position-horizontal-relative:margin;mso-wrap-distance-bottom:0pt;mso-wrap-distance-left:9pt;mso-wrap-distance-right:9pt;mso-wrap-distance-top:0pt;z-index:251683840;mso-width-relative:page;mso-height-relative:page;" fillcolor="#003841" filled="t" stroked="f" coordsize="21600,21600" o:gfxdata="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lhXe&#10;1gAAAAgBAAAPAAAAAAAAAAEAIAAAACIAAABkcnMvZG93bnJldi54bWxQSwECFAAUAAAACACHTuJA&#10;JzjmeSMCAABHBAAADgAAAAAAAAABACAAAAAlAQAAZHJzL2Uyb0RvYy54bWxQSwUGAAAAAAYABgBZ&#10;AQAAugUAAAAA&#10;">
                <v:fill on="t" focussize="0,0"/>
                <v:stroke on="f"/>
                <v:imagedata o:title=""/>
                <o:lock v:ext="edit" aspectratio="f"/>
                <v:textbox>
                  <w:txbxContent>
                    <w:p>
                      <w:pPr>
                        <w:pStyle w:val="16"/>
                        <w:spacing w:before="0" w:beforeAutospacing="0" w:after="0" w:afterAutospacing="0" w:line="264" w:lineRule="auto"/>
                        <w:rPr>
                          <w:rFonts w:ascii="Aptos" w:hAnsi="Aptos" w:eastAsia="Calibri" w:cs="Segoe UI"/>
                          <w:bCs/>
                          <w:color w:val="FFFFFF" w:themeColor="background1"/>
                          <w:sz w:val="20"/>
                          <w:szCs w:val="20"/>
                          <w:lang w:val="en-US" w:eastAsia="el-GR"/>
                          <w14:textFill>
                            <w14:solidFill>
                              <w14:schemeClr w14:val="bg1"/>
                            </w14:solidFill>
                          </w14:textFill>
                        </w:rPr>
                      </w:pPr>
                      <w:r>
                        <w:rPr>
                          <w:rFonts w:ascii="Aptos ExtraBold" w:hAnsi="Aptos ExtraBold" w:eastAsia="+mn-ea" w:cs="+mn-cs"/>
                          <w:b/>
                          <w:bCs/>
                          <w:color w:val="FFFFFF" w:themeColor="background1"/>
                          <w:kern w:val="24"/>
                          <w:sz w:val="36"/>
                          <w:szCs w:val="42"/>
                          <w14:textFill>
                            <w14:solidFill>
                              <w14:schemeClr w14:val="bg1"/>
                            </w14:solidFill>
                          </w14:textFill>
                          <w14:props3d w14:extrusionH="0" w14:contourW="0" w14:prstMaterial="matte"/>
                        </w:rPr>
                        <w:t>Κεφαλαιακή Επάρκεια</w:t>
                      </w:r>
                    </w:p>
                  </w:txbxContent>
                </v:textbox>
                <w10:wrap type="square"/>
              </v:shape>
            </w:pict>
          </mc:Fallback>
        </mc:AlternateContent>
      </w:r>
    </w:p>
    <w:p>
      <w:pPr>
        <w:autoSpaceDE w:val="0"/>
        <w:autoSpaceDN w:val="0"/>
        <w:adjustRightInd w:val="0"/>
        <w:spacing w:before="240" w:after="160" w:line="320" w:lineRule="atLeast"/>
        <w:jc w:val="both"/>
        <w:rPr>
          <w:rFonts w:ascii="Aptos" w:hAnsi="Aptos" w:cs="Segoe UI"/>
          <w:sz w:val="20"/>
          <w:szCs w:val="20"/>
        </w:rPr>
      </w:pPr>
      <w:r>
        <w:rPr>
          <w:rFonts w:ascii="Aptos" w:hAnsi="Aptos" w:cs="Segoe UI"/>
          <w:sz w:val="20"/>
          <w:szCs w:val="20"/>
        </w:rPr>
        <w:t xml:space="preserve">Η ισχυρή οργανική κερδοφορία ώθησε τον </w:t>
      </w:r>
      <w:r>
        <w:rPr>
          <w:rFonts w:ascii="Aptos" w:hAnsi="Aptos" w:cs="Segoe UI"/>
          <w:b/>
          <w:bCs/>
          <w:sz w:val="20"/>
          <w:szCs w:val="20"/>
        </w:rPr>
        <w:t xml:space="preserve">δείκτη </w:t>
      </w:r>
      <w:r>
        <w:rPr>
          <w:rFonts w:ascii="Aptos" w:hAnsi="Aptos" w:cs="Segoe UI"/>
          <w:b/>
          <w:bCs/>
          <w:sz w:val="20"/>
          <w:szCs w:val="20"/>
          <w:lang w:val="en-GB"/>
        </w:rPr>
        <w:t>CET</w:t>
      </w:r>
      <w:r>
        <w:rPr>
          <w:rFonts w:ascii="Aptos" w:hAnsi="Aptos" w:cs="Segoe UI"/>
          <w:b/>
          <w:bCs/>
          <w:sz w:val="20"/>
          <w:szCs w:val="20"/>
        </w:rPr>
        <w:t>1</w:t>
      </w:r>
      <w:r>
        <w:rPr>
          <w:rFonts w:ascii="Aptos" w:hAnsi="Aptos" w:cs="Segoe UI"/>
          <w:sz w:val="20"/>
          <w:szCs w:val="20"/>
        </w:rPr>
        <w:t xml:space="preserve"> +220μ.β. υψηλότερα καθ' όλη τη διάρκεια του 2023 σε 17,8%, συμπεριλαμβανομένης της </w:t>
      </w:r>
      <w:bookmarkStart w:id="1" w:name="_Hlk160723161"/>
      <w:r>
        <w:rPr>
          <w:rFonts w:ascii="Aptos" w:hAnsi="Aptos" w:cs="Segoe UI"/>
          <w:sz w:val="20"/>
          <w:szCs w:val="20"/>
        </w:rPr>
        <w:t>πρόβλεψης 90μ.β.</w:t>
      </w:r>
      <w:bookmarkEnd w:id="1"/>
      <w:r>
        <w:rPr>
          <w:rFonts w:ascii="Aptos" w:hAnsi="Aptos" w:cs="Segoe UI"/>
          <w:sz w:val="20"/>
          <w:szCs w:val="20"/>
        </w:rPr>
        <w:t xml:space="preserve"> για διανομή μερίσματος 30% επί των κερδών. Ο </w:t>
      </w:r>
      <w:r>
        <w:rPr>
          <w:rFonts w:ascii="Aptos" w:hAnsi="Aptos" w:cs="Segoe UI"/>
          <w:b/>
          <w:bCs/>
          <w:sz w:val="20"/>
          <w:szCs w:val="20"/>
        </w:rPr>
        <w:t>Συνολικός Δείκτης Κεφαλαιακής Επάρκειας (</w:t>
      </w:r>
      <w:r>
        <w:rPr>
          <w:rFonts w:ascii="Aptos" w:hAnsi="Aptos" w:cs="Segoe UI"/>
          <w:b/>
          <w:bCs/>
          <w:sz w:val="20"/>
          <w:szCs w:val="20"/>
          <w:lang w:val="en-US"/>
        </w:rPr>
        <w:t>CAD</w:t>
      </w:r>
      <w:r>
        <w:rPr>
          <w:rFonts w:ascii="Aptos" w:hAnsi="Aptos" w:cs="Segoe UI"/>
          <w:b/>
          <w:bCs/>
          <w:sz w:val="20"/>
          <w:szCs w:val="20"/>
        </w:rPr>
        <w:t>)</w:t>
      </w:r>
      <w:r>
        <w:rPr>
          <w:rFonts w:ascii="Aptos" w:hAnsi="Aptos" w:cs="Segoe UI"/>
          <w:sz w:val="20"/>
          <w:szCs w:val="20"/>
        </w:rPr>
        <w:t xml:space="preserve"> διαμορφώθηκε σε 20,2%, ενισχυμένος κατά +350μ.β. σε ετήσια βάση. Ο </w:t>
      </w:r>
      <w:r>
        <w:rPr>
          <w:rFonts w:ascii="Aptos" w:hAnsi="Aptos" w:cs="Segoe UI"/>
          <w:b/>
          <w:bCs/>
          <w:sz w:val="20"/>
          <w:szCs w:val="20"/>
        </w:rPr>
        <w:t xml:space="preserve">δείκτης </w:t>
      </w:r>
      <w:r>
        <w:rPr>
          <w:rFonts w:ascii="Aptos" w:hAnsi="Aptos" w:cs="Segoe UI"/>
          <w:b/>
          <w:bCs/>
          <w:sz w:val="20"/>
          <w:szCs w:val="20"/>
          <w:lang w:val="en-GB"/>
        </w:rPr>
        <w:t>MREL</w:t>
      </w:r>
      <w:r>
        <w:rPr>
          <w:rFonts w:ascii="Aptos" w:hAnsi="Aptos" w:cs="Segoe UI"/>
          <w:sz w:val="20"/>
          <w:szCs w:val="20"/>
        </w:rPr>
        <w:t xml:space="preserve"> του Ομίλου ανήλθε σε 24,2%, ή 25,4% συμπεριλαμβανομένης της έκδοσης ομολόγων υψηλής εξασφάλισης ύψους €600 εκατ. τον Ιανουάριο 2024, με την ελάχιστη απαίτηση </w:t>
      </w:r>
      <w:r>
        <w:rPr>
          <w:rFonts w:ascii="Aptos" w:hAnsi="Aptos" w:cs="Segoe UI"/>
          <w:sz w:val="20"/>
          <w:szCs w:val="20"/>
          <w:lang w:val="en-US"/>
        </w:rPr>
        <w:t>MREL</w:t>
      </w:r>
      <w:r>
        <w:rPr>
          <w:rFonts w:ascii="Aptos" w:hAnsi="Aptos" w:cs="Segoe UI"/>
          <w:sz w:val="20"/>
          <w:szCs w:val="20"/>
        </w:rPr>
        <w:t xml:space="preserve"> του Ιανουαρίου 2025 να ανέρχεται σε 25,3%.</w:t>
      </w:r>
    </w:p>
    <w:p>
      <w:pPr>
        <w:autoSpaceDE w:val="0"/>
        <w:autoSpaceDN w:val="0"/>
        <w:adjustRightInd w:val="0"/>
        <w:spacing w:before="240" w:after="160" w:line="320" w:lineRule="atLeast"/>
        <w:jc w:val="both"/>
        <w:rPr>
          <w:rFonts w:ascii="Aptos" w:hAnsi="Aptos" w:cs="Segoe UI"/>
          <w:color w:val="003841"/>
        </w:rPr>
      </w:pPr>
      <w:r>
        <mc:AlternateContent>
          <mc:Choice Requires="wps">
            <w:drawing>
              <wp:anchor distT="0" distB="0" distL="114300" distR="114300" simplePos="0" relativeHeight="251685888" behindDoc="0" locked="0" layoutInCell="1" allowOverlap="1">
                <wp:simplePos x="0" y="0"/>
                <wp:positionH relativeFrom="column">
                  <wp:posOffset>1591310</wp:posOffset>
                </wp:positionH>
                <wp:positionV relativeFrom="paragraph">
                  <wp:posOffset>44450</wp:posOffset>
                </wp:positionV>
                <wp:extent cx="784860" cy="1748155"/>
                <wp:effectExtent l="0" t="5715" r="10160" b="10160"/>
                <wp:wrapNone/>
                <wp:docPr id="58" name="Rounded Rectangle 15"/>
                <wp:cNvGraphicFramePr/>
                <a:graphic xmlns:a="http://schemas.openxmlformats.org/drawingml/2006/main">
                  <a:graphicData uri="http://schemas.microsoft.com/office/word/2010/wordprocessingShape">
                    <wps:wsp>
                      <wps:cNvSpPr/>
                      <wps:spPr>
                        <a:xfrm rot="5400000">
                          <a:off x="0" y="0"/>
                          <a:ext cx="784797" cy="1748155"/>
                        </a:xfrm>
                        <a:prstGeom prst="roundRect">
                          <a:avLst>
                            <a:gd name="adj" fmla="val 0"/>
                          </a:avLst>
                        </a:prstGeom>
                        <a:noFill/>
                        <a:ln w="19050" cap="flat" cmpd="sng" algn="ctr">
                          <a:solidFill>
                            <a:srgbClr val="007B85"/>
                          </a:solidFill>
                          <a:prstDash val="sysDot"/>
                          <a:miter lim="800000"/>
                        </a:ln>
                        <a:effectLst/>
                      </wps:spPr>
                      <wps:txbx>
                        <w:txbxContent>
                          <w:p>
                            <w:pPr>
                              <w:jc w:val="center"/>
                            </w:pPr>
                          </w:p>
                        </w:txbxContent>
                      </wps:txbx>
                      <wps:bodyPr anchor="ctr"/>
                    </wps:wsp>
                  </a:graphicData>
                </a:graphic>
              </wp:anchor>
            </w:drawing>
          </mc:Choice>
          <mc:Fallback>
            <w:pict>
              <v:roundrect id="Rounded Rectangle 15" o:spid="_x0000_s1026" o:spt="2" style="position:absolute;left:0pt;margin-left:125.3pt;margin-top:3.5pt;height:137.65pt;width:61.8pt;rotation:5898240f;z-index:251685888;v-text-anchor:middle;mso-width-relative:page;mso-height-relative:page;" filled="f" stroked="t" coordsize="21600,21600" arcsize="0" o:gfxdata="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sIrvfWAAAACQEAAA8AAAAAAAAAAQAg&#10;AAAAIgAAAGRycy9kb3ducmV2LnhtbFBLAQIUABQAAAAIAIdO4kALYE28EAIAAB0EAAAOAAAAAAAA&#10;AAEAIAAAACUBAABkcnMvZTJvRG9jLnhtbFBLBQYAAAAABgAGAFkBAACnBQAAAAA=&#10;">
                <v:fill on="f" focussize="0,0"/>
                <v:stroke weight="1.5pt" color="#007B85" miterlimit="8" joinstyle="miter" dashstyle="1 1"/>
                <v:imagedata o:title=""/>
                <o:lock v:ext="edit" aspectratio="f"/>
                <v:textbox>
                  <w:txbxContent>
                    <w:p>
                      <w:pPr>
                        <w:jc w:val="center"/>
                      </w:pPr>
                    </w:p>
                  </w:txbxContent>
                </v:textbox>
              </v:roundrect>
            </w:pict>
          </mc:Fallback>
        </mc:AlternateContent>
      </w:r>
      <w:r>
        <w:rPr>
          <w:rFonts w:ascii="Aptos" w:hAnsi="Aptos" w:cs="Segoe UI"/>
          <w:b/>
          <w:bCs/>
          <w:color w:val="003841"/>
          <w:sz w:val="20"/>
          <w:szCs w:val="20"/>
        </w:rPr>
        <w:t>Μεταβολή στους δείκτες κεφαλαιακής επάρκειας με πλήρη εφαρμογή του ΔΠΧΑ9 (</w:t>
      </w:r>
      <w:r>
        <w:rPr>
          <w:rFonts w:ascii="Aptos" w:hAnsi="Aptos" w:cs="Segoe UI"/>
          <w:b/>
          <w:bCs/>
          <w:color w:val="003841"/>
          <w:sz w:val="20"/>
          <w:szCs w:val="20"/>
          <w:lang w:val="en-US"/>
        </w:rPr>
        <w:t>FL</w:t>
      </w:r>
      <w:r>
        <w:rPr>
          <w:rFonts w:ascii="Aptos" w:hAnsi="Aptos" w:cs="Segoe UI"/>
          <w:b/>
          <w:bCs/>
          <w:color w:val="003841"/>
          <w:sz w:val="20"/>
          <w:szCs w:val="20"/>
        </w:rPr>
        <w:t>) | 2023</w:t>
      </w:r>
    </w:p>
    <w:p>
      <w:pPr>
        <w:kinsoku w:val="0"/>
        <w:overflowPunct w:val="0"/>
        <w:spacing w:before="40"/>
        <w:textAlignment w:val="baseline"/>
        <w:rPr>
          <w:rFonts w:ascii="Segoe UI" w:hAnsi="Segoe UI" w:eastAsia="Segoe UI" w:cs="Segoe UI"/>
          <w:b/>
          <w:color w:val="595959"/>
          <w:kern w:val="24"/>
          <w:sz w:val="2"/>
          <w:szCs w:val="2"/>
          <w:lang w:eastAsia="el-GR"/>
        </w:rPr>
      </w:pPr>
    </w:p>
    <w:p>
      <w:pPr>
        <w:pStyle w:val="16"/>
        <w:spacing w:before="0" w:beforeAutospacing="0" w:after="0" w:afterAutospacing="0"/>
        <w:textAlignment w:val="baseline"/>
        <w:rPr>
          <w:rFonts w:hAnsi="Calibri" w:asciiTheme="minorHAnsi" w:cstheme="minorBidi"/>
          <w:b/>
          <w:bCs/>
          <w:color w:val="595959"/>
          <w:kern w:val="24"/>
          <w:sz w:val="14"/>
          <w:szCs w:val="14"/>
          <w:lang w:val="en-US"/>
        </w:rPr>
      </w:pPr>
      <w:r>
        <w:rPr>
          <w:color w:val="595959"/>
          <w:lang w:eastAsia="el-GR"/>
        </w:rPr>
        <mc:AlternateContent>
          <mc:Choice Requires="wps">
            <w:drawing>
              <wp:anchor distT="0" distB="0" distL="114300" distR="114300" simplePos="0" relativeHeight="251666432" behindDoc="0" locked="0" layoutInCell="1" allowOverlap="1">
                <wp:simplePos x="0" y="0"/>
                <wp:positionH relativeFrom="column">
                  <wp:posOffset>14605</wp:posOffset>
                </wp:positionH>
                <wp:positionV relativeFrom="paragraph">
                  <wp:posOffset>1207770</wp:posOffset>
                </wp:positionV>
                <wp:extent cx="571500" cy="215900"/>
                <wp:effectExtent l="0" t="0" r="0" b="0"/>
                <wp:wrapNone/>
                <wp:docPr id="11" name="Rectangle 15"/>
                <wp:cNvGraphicFramePr/>
                <a:graphic xmlns:a="http://schemas.openxmlformats.org/drawingml/2006/main">
                  <a:graphicData uri="http://schemas.microsoft.com/office/word/2010/wordprocessingShape">
                    <wps:wsp>
                      <wps:cNvSpPr/>
                      <wps:spPr>
                        <a:xfrm>
                          <a:off x="0" y="0"/>
                          <a:ext cx="571500" cy="215900"/>
                        </a:xfrm>
                        <a:prstGeom prst="rect">
                          <a:avLst/>
                        </a:prstGeom>
                        <a:noFill/>
                        <a:ln w="9525" cap="flat" cmpd="sng" algn="ctr">
                          <a:noFill/>
                          <a:prstDash val="solid"/>
                        </a:ln>
                        <a:effectLst/>
                      </wps:spPr>
                      <wps:txbx>
                        <w:txbxContent>
                          <w:p>
                            <w:pPr>
                              <w:pStyle w:val="27"/>
                              <w:spacing w:before="0" w:after="0"/>
                              <w:textAlignment w:val="baseline"/>
                              <w:rPr>
                                <w:rFonts w:ascii="Aptos" w:hAnsi="Aptos"/>
                                <w:b/>
                                <w:color w:val="auto"/>
                                <w:sz w:val="22"/>
                              </w:rPr>
                            </w:pPr>
                            <w:r>
                              <w:rPr>
                                <w:rFonts w:ascii="Aptos" w:hAnsi="Aptos"/>
                                <w:b/>
                                <w:color w:val="auto"/>
                                <w:kern w:val="24"/>
                                <w:sz w:val="16"/>
                                <w:szCs w:val="16"/>
                                <w:lang w:val="en-US"/>
                              </w:rPr>
                              <w:t>CET1 FL</w:t>
                            </w:r>
                          </w:p>
                        </w:txbxContent>
                      </wps:txbx>
                      <wps:bodyPr wrap="square" anchor="ctr">
                        <a:noAutofit/>
                      </wps:bodyPr>
                    </wps:wsp>
                  </a:graphicData>
                </a:graphic>
              </wp:anchor>
            </w:drawing>
          </mc:Choice>
          <mc:Fallback>
            <w:pict>
              <v:rect id="Rectangle 15" o:spid="_x0000_s1026" o:spt="1" style="position:absolute;left:0pt;margin-left:1.15pt;margin-top:95.1pt;height:17pt;width:45pt;z-index:251666432;v-text-anchor:middle;mso-width-relative:page;mso-height-relative:page;" filled="f" stroked="f" coordsize="21600,21600" o:gfxdata="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8ltR0gAAAAgBAAAPAAAAAAAAAAEAIAAA&#10;ACIAAABkcnMvZG93bnJldi54bWxQSwECFAAUAAAACACHTuJA74XPZNkBAAC/AwAADgAAAAAAAAAB&#10;ACAAAAAhAQAAZHJzL2Uyb0RvYy54bWxQSwUGAAAAAAYABgBZAQAAbAUAAAAA&#10;">
                <v:fill on="f" focussize="0,0"/>
                <v:stroke on="f"/>
                <v:imagedata o:title=""/>
                <o:lock v:ext="edit" aspectratio="f"/>
                <v:textbox>
                  <w:txbxContent>
                    <w:p>
                      <w:pPr>
                        <w:pStyle w:val="27"/>
                        <w:spacing w:before="0" w:after="0"/>
                        <w:textAlignment w:val="baseline"/>
                        <w:rPr>
                          <w:rFonts w:ascii="Aptos" w:hAnsi="Aptos"/>
                          <w:b/>
                          <w:color w:val="auto"/>
                          <w:sz w:val="22"/>
                        </w:rPr>
                      </w:pPr>
                      <w:r>
                        <w:rPr>
                          <w:rFonts w:ascii="Aptos" w:hAnsi="Aptos"/>
                          <w:b/>
                          <w:color w:val="auto"/>
                          <w:kern w:val="24"/>
                          <w:sz w:val="16"/>
                          <w:szCs w:val="16"/>
                          <w:lang w:val="en-US"/>
                        </w:rPr>
                        <w:t>CET1 FL</w:t>
                      </w:r>
                    </w:p>
                  </w:txbxContent>
                </v:textbox>
              </v:rect>
            </w:pict>
          </mc:Fallback>
        </mc:AlternateContent>
      </w:r>
      <w:r>
        <w:rPr>
          <w:color w:val="595959"/>
          <w:lang w:eastAsia="el-GR"/>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399415</wp:posOffset>
                </wp:positionV>
                <wp:extent cx="552450" cy="215900"/>
                <wp:effectExtent l="0" t="0" r="0" b="0"/>
                <wp:wrapNone/>
                <wp:docPr id="17" name="Rectangle 15"/>
                <wp:cNvGraphicFramePr/>
                <a:graphic xmlns:a="http://schemas.openxmlformats.org/drawingml/2006/main">
                  <a:graphicData uri="http://schemas.microsoft.com/office/word/2010/wordprocessingShape">
                    <wps:wsp>
                      <wps:cNvSpPr/>
                      <wps:spPr>
                        <a:xfrm>
                          <a:off x="0" y="0"/>
                          <a:ext cx="552450" cy="215900"/>
                        </a:xfrm>
                        <a:prstGeom prst="rect">
                          <a:avLst/>
                        </a:prstGeom>
                        <a:noFill/>
                        <a:ln w="9525" cap="flat" cmpd="sng" algn="ctr">
                          <a:noFill/>
                          <a:prstDash val="solid"/>
                        </a:ln>
                        <a:effectLst/>
                      </wps:spPr>
                      <wps:txbx>
                        <w:txbxContent>
                          <w:p>
                            <w:pPr>
                              <w:pStyle w:val="27"/>
                              <w:spacing w:before="0" w:after="0"/>
                              <w:textAlignment w:val="baseline"/>
                              <w:rPr>
                                <w:rFonts w:ascii="Aptos" w:hAnsi="Aptos"/>
                                <w:b/>
                                <w:color w:val="auto"/>
                                <w:sz w:val="22"/>
                              </w:rPr>
                            </w:pPr>
                            <w:r>
                              <w:rPr>
                                <w:rFonts w:ascii="Aptos" w:hAnsi="Aptos"/>
                                <w:b/>
                                <w:color w:val="auto"/>
                                <w:kern w:val="24"/>
                                <w:sz w:val="16"/>
                                <w:szCs w:val="16"/>
                                <w:lang w:val="en-US"/>
                              </w:rPr>
                              <w:t>CAD FL</w:t>
                            </w:r>
                          </w:p>
                        </w:txbxContent>
                      </wps:txbx>
                      <wps:bodyPr wrap="square" anchor="ctr">
                        <a:noAutofit/>
                      </wps:bodyPr>
                    </wps:wsp>
                  </a:graphicData>
                </a:graphic>
              </wp:anchor>
            </w:drawing>
          </mc:Choice>
          <mc:Fallback>
            <w:pict>
              <v:rect id="Rectangle 15" o:spid="_x0000_s1026" o:spt="1" style="position:absolute;left:0pt;margin-left:1.05pt;margin-top:31.45pt;height:17pt;width:43.5pt;z-index:251665408;v-text-anchor:middle;mso-width-relative:page;mso-height-relative:page;" filled="f" stroked="f" coordsize="21600,21600" o:gfxdata="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xDd060QAAAAYBAAAPAAAAAAAAAAEAIAAA&#10;ACIAAABkcnMvZG93bnJldi54bWxQSwECFAAUAAAACACHTuJAGE/cx9oBAAC/AwAADgAAAAAAAAAB&#10;ACAAAAAgAQAAZHJzL2Uyb0RvYy54bWxQSwUGAAAAAAYABgBZAQAAbAUAAAAA&#10;">
                <v:fill on="f" focussize="0,0"/>
                <v:stroke on="f"/>
                <v:imagedata o:title=""/>
                <o:lock v:ext="edit" aspectratio="f"/>
                <v:textbox>
                  <w:txbxContent>
                    <w:p>
                      <w:pPr>
                        <w:pStyle w:val="27"/>
                        <w:spacing w:before="0" w:after="0"/>
                        <w:textAlignment w:val="baseline"/>
                        <w:rPr>
                          <w:rFonts w:ascii="Aptos" w:hAnsi="Aptos"/>
                          <w:b/>
                          <w:color w:val="auto"/>
                          <w:sz w:val="22"/>
                        </w:rPr>
                      </w:pPr>
                      <w:r>
                        <w:rPr>
                          <w:rFonts w:ascii="Aptos" w:hAnsi="Aptos"/>
                          <w:b/>
                          <w:color w:val="auto"/>
                          <w:kern w:val="24"/>
                          <w:sz w:val="16"/>
                          <w:szCs w:val="16"/>
                          <w:lang w:val="en-US"/>
                        </w:rPr>
                        <w:t>CAD FL</w:t>
                      </w:r>
                    </w:p>
                  </w:txbxContent>
                </v:textbox>
              </v:rect>
            </w:pict>
          </mc:Fallback>
        </mc:AlternateContent>
      </w:r>
      <w:r>
        <w:rPr>
          <w:color w:val="595959"/>
        </w:rPr>
        <mc:AlternateContent>
          <mc:Choice Requires="wps">
            <w:drawing>
              <wp:anchor distT="0" distB="0" distL="114300" distR="114300" simplePos="0" relativeHeight="251697152" behindDoc="0" locked="0" layoutInCell="1" allowOverlap="1">
                <wp:simplePos x="0" y="0"/>
                <wp:positionH relativeFrom="column">
                  <wp:posOffset>4683125</wp:posOffset>
                </wp:positionH>
                <wp:positionV relativeFrom="paragraph">
                  <wp:posOffset>889635</wp:posOffset>
                </wp:positionV>
                <wp:extent cx="822960" cy="639445"/>
                <wp:effectExtent l="0" t="0" r="15240" b="27305"/>
                <wp:wrapNone/>
                <wp:docPr id="25" name="Rounded Rectangle 2"/>
                <wp:cNvGraphicFramePr/>
                <a:graphic xmlns:a="http://schemas.openxmlformats.org/drawingml/2006/main">
                  <a:graphicData uri="http://schemas.microsoft.com/office/word/2010/wordprocessingShape">
                    <wps:wsp>
                      <wps:cNvSpPr/>
                      <wps:spPr>
                        <a:xfrm>
                          <a:off x="0" y="0"/>
                          <a:ext cx="822960" cy="639445"/>
                        </a:xfrm>
                        <a:prstGeom prst="roundRect">
                          <a:avLst>
                            <a:gd name="adj" fmla="val 7801"/>
                          </a:avLst>
                        </a:prstGeom>
                        <a:noFill/>
                        <a:ln w="6350" cap="flat" cmpd="sng" algn="ctr">
                          <a:solidFill>
                            <a:srgbClr val="00CFE7"/>
                          </a:solidFill>
                          <a:prstDash val="solid"/>
                          <a:miter lim="800000"/>
                        </a:ln>
                        <a:effectLst/>
                      </wps:spPr>
                      <wps:txbx>
                        <w:txbxContent>
                          <w:p>
                            <w:pPr>
                              <w:jc w:val="center"/>
                              <w:rPr>
                                <w:rFonts w:ascii="Aptos" w:hAnsi="Aptos"/>
                                <w:b/>
                                <w:bCs/>
                                <w:color w:val="003841"/>
                                <w:kern w:val="24"/>
                                <w:sz w:val="10"/>
                                <w:szCs w:val="10"/>
                              </w:rPr>
                            </w:pPr>
                            <w:r>
                              <w:rPr>
                                <w:rFonts w:ascii="Aptos" w:hAnsi="Aptos"/>
                                <w:b/>
                                <w:bCs/>
                                <w:color w:val="003841"/>
                                <w:kern w:val="24"/>
                                <w:sz w:val="10"/>
                                <w:szCs w:val="10"/>
                              </w:rPr>
                              <w:t>πρόβλεψη 90μ.β. για διανομή μερίσματος 30% επί των κερδών στο διάστημα μεταξύ Δ’ τριμήνου 2022 και Δ’ τριμήνου 2023</w:t>
                            </w:r>
                          </w:p>
                        </w:txbxContent>
                      </wps:txbx>
                      <wps:bodyPr wrap="square" lIns="72000" tIns="72000" rIns="72000" bIns="72000" rtlCol="0" anchor="b" anchorCtr="0">
                        <a:noAutofit/>
                      </wps:bodyPr>
                    </wps:wsp>
                  </a:graphicData>
                </a:graphic>
              </wp:anchor>
            </w:drawing>
          </mc:Choice>
          <mc:Fallback>
            <w:pict>
              <v:roundrect id="Rounded Rectangle 2" o:spid="_x0000_s1026" o:spt="2" style="position:absolute;left:0pt;margin-left:368.75pt;margin-top:70.05pt;height:50.35pt;width:64.8pt;z-index:251697152;v-text-anchor:bottom;mso-width-relative:page;mso-height-relative:page;" filled="f" stroked="t" coordsize="21600,21600" arcsize="0.0780092592592593" o:gfxdata="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qw5B2QAAAAsBAAAPAAAAAAAAAAEAIAAAACIAAABkcnMvZG93&#10;bnJldi54bWxQSwECFAAUAAAACACHTuJA9zCrLDgCAACBBAAADgAAAAAAAAABACAAAAAoAQAAZHJz&#10;L2Uyb0RvYy54bWxQSwUGAAAAAAYABgBZAQAA0gUAAAAA&#10;">
                <v:fill on="f" focussize="0,0"/>
                <v:stroke weight="0.5pt" color="#00CFE7" miterlimit="8" joinstyle="miter"/>
                <v:imagedata o:title=""/>
                <o:lock v:ext="edit" aspectratio="f"/>
                <v:textbox inset="2mm,2mm,2mm,2mm">
                  <w:txbxContent>
                    <w:p>
                      <w:pPr>
                        <w:jc w:val="center"/>
                        <w:rPr>
                          <w:rFonts w:ascii="Aptos" w:hAnsi="Aptos"/>
                          <w:b/>
                          <w:bCs/>
                          <w:color w:val="003841"/>
                          <w:kern w:val="24"/>
                          <w:sz w:val="10"/>
                          <w:szCs w:val="10"/>
                        </w:rPr>
                      </w:pPr>
                      <w:r>
                        <w:rPr>
                          <w:rFonts w:ascii="Aptos" w:hAnsi="Aptos"/>
                          <w:b/>
                          <w:bCs/>
                          <w:color w:val="003841"/>
                          <w:kern w:val="24"/>
                          <w:sz w:val="10"/>
                          <w:szCs w:val="10"/>
                        </w:rPr>
                        <w:t>πρόβλεψη 90μ.β. για διανομή μερίσματος 30% επί των κερδών στο διάστημα μεταξύ Δ’ τριμήνου 2022 και Δ’ τριμήνου 2023</w:t>
                      </w:r>
                    </w:p>
                  </w:txbxContent>
                </v:textbox>
              </v:roundrect>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4963160</wp:posOffset>
                </wp:positionH>
                <wp:positionV relativeFrom="paragraph">
                  <wp:posOffset>786765</wp:posOffset>
                </wp:positionV>
                <wp:extent cx="115570" cy="92710"/>
                <wp:effectExtent l="0" t="0" r="0" b="2540"/>
                <wp:wrapNone/>
                <wp:docPr id="29" name="Triangle 9"/>
                <wp:cNvGraphicFramePr/>
                <a:graphic xmlns:a="http://schemas.openxmlformats.org/drawingml/2006/main">
                  <a:graphicData uri="http://schemas.microsoft.com/office/word/2010/wordprocessingShape">
                    <wps:wsp>
                      <wps:cNvSpPr/>
                      <wps:spPr>
                        <a:xfrm flipH="1">
                          <a:off x="0" y="0"/>
                          <a:ext cx="115570" cy="92710"/>
                        </a:xfrm>
                        <a:prstGeom prst="triangle">
                          <a:avLst/>
                        </a:prstGeom>
                        <a:solidFill>
                          <a:srgbClr val="00CFE7"/>
                        </a:solidFill>
                        <a:ln w="12700" cap="flat" cmpd="sng" algn="ctr">
                          <a:noFill/>
                          <a:prstDash val="solid"/>
                          <a:miter lim="800000"/>
                        </a:ln>
                        <a:effectLst/>
                      </wps:spPr>
                      <wps:txbx>
                        <w:txbxContent>
                          <w:p>
                            <w:pPr>
                              <w:jc w:val="center"/>
                            </w:pPr>
                          </w:p>
                        </w:txbxContent>
                      </wps:txbx>
                      <wps:bodyPr lIns="72000" tIns="72000" rIns="72000" bIns="72000" rtlCol="0" anchor="ctr"/>
                    </wps:wsp>
                  </a:graphicData>
                </a:graphic>
              </wp:anchor>
            </w:drawing>
          </mc:Choice>
          <mc:Fallback>
            <w:pict>
              <v:shape id="Triangle 9" o:spid="_x0000_s1026" o:spt="5" type="#_x0000_t5" style="position:absolute;left:0pt;flip:x;margin-left:390.8pt;margin-top:61.95pt;height:7.3pt;width:9.1pt;z-index:251701248;v-text-anchor:middle;mso-width-relative:page;mso-height-relative:page;" fillcolor="#00CFE7" filled="t" stroked="f" coordsize="21600,21600" o:gfxdata="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iIzfdoAAAALAQAADwAAAAAAAAABACAAAAAiAAAA&#10;ZHJzL2Rvd25yZXYueG1sUEsBAhQAFAAAAAgAh07iQBqsEpoFAgAAIgQAAA4AAAAAAAAAAQAgAAAA&#10;KQEAAGRycy9lMm9Eb2MueG1sUEsFBgAAAAAGAAYAWQEAAKAFAAAAAA==&#10;" adj="10800">
                <v:fill on="t" focussize="0,0"/>
                <v:stroke on="f" weight="1pt" miterlimit="8" joinstyle="miter"/>
                <v:imagedata o:title=""/>
                <o:lock v:ext="edit" aspectratio="f"/>
                <v:textbox inset="2mm,2mm,2mm,2mm">
                  <w:txbxContent>
                    <w:p>
                      <w:pPr>
                        <w:jc w:val="center"/>
                      </w:pPr>
                    </w:p>
                  </w:txbxContent>
                </v:textbox>
              </v:shape>
            </w:pict>
          </mc:Fallback>
        </mc:AlternateContent>
      </w:r>
      <w:r>
        <w:rPr>
          <w:color w:val="595959"/>
        </w:rPr>
        <mc:AlternateContent>
          <mc:Choice Requires="wpg">
            <w:drawing>
              <wp:anchor distT="0" distB="0" distL="114300" distR="114300" simplePos="0" relativeHeight="251668480" behindDoc="0" locked="0" layoutInCell="1" allowOverlap="1">
                <wp:simplePos x="0" y="0"/>
                <wp:positionH relativeFrom="column">
                  <wp:posOffset>1378585</wp:posOffset>
                </wp:positionH>
                <wp:positionV relativeFrom="paragraph">
                  <wp:posOffset>972185</wp:posOffset>
                </wp:positionV>
                <wp:extent cx="742315" cy="516255"/>
                <wp:effectExtent l="0" t="0" r="19685" b="17780"/>
                <wp:wrapNone/>
                <wp:docPr id="750847133" name="Group 1"/>
                <wp:cNvGraphicFramePr/>
                <a:graphic xmlns:a="http://schemas.openxmlformats.org/drawingml/2006/main">
                  <a:graphicData uri="http://schemas.microsoft.com/office/word/2010/wordprocessingGroup">
                    <wpg:wgp>
                      <wpg:cNvGrpSpPr/>
                      <wpg:grpSpPr>
                        <a:xfrm>
                          <a:off x="0" y="0"/>
                          <a:ext cx="742384" cy="516049"/>
                          <a:chOff x="-2" y="30910"/>
                          <a:chExt cx="1056366" cy="320549"/>
                        </a:xfrm>
                      </wpg:grpSpPr>
                      <wps:wsp>
                        <wps:cNvPr id="750847134" name="Rounded Rectangle 2"/>
                        <wps:cNvSpPr/>
                        <wps:spPr>
                          <a:xfrm>
                            <a:off x="-2" y="98633"/>
                            <a:ext cx="1056366" cy="252826"/>
                          </a:xfrm>
                          <a:prstGeom prst="roundRect">
                            <a:avLst>
                              <a:gd name="adj" fmla="val 7801"/>
                            </a:avLst>
                          </a:prstGeom>
                          <a:noFill/>
                          <a:ln w="6350" cap="flat" cmpd="sng" algn="ctr">
                            <a:solidFill>
                              <a:srgbClr val="00CFE7"/>
                            </a:solidFill>
                            <a:prstDash val="solid"/>
                            <a:miter lim="800000"/>
                          </a:ln>
                          <a:effectLst/>
                        </wps:spPr>
                        <wps:txbx>
                          <w:txbxContent>
                            <w:p>
                              <w:pPr>
                                <w:jc w:val="center"/>
                                <w:rPr>
                                  <w:rFonts w:ascii="Aptos" w:hAnsi="Aptos"/>
                                  <w:b/>
                                  <w:bCs/>
                                  <w:color w:val="003841"/>
                                  <w:kern w:val="24"/>
                                  <w:sz w:val="10"/>
                                  <w:szCs w:val="10"/>
                                </w:rPr>
                              </w:pPr>
                              <w:r>
                                <w:rPr>
                                  <w:rFonts w:ascii="Aptos" w:hAnsi="Aptos"/>
                                  <w:b/>
                                  <w:bCs/>
                                  <w:color w:val="003841"/>
                                  <w:kern w:val="24"/>
                                  <w:sz w:val="10"/>
                                  <w:szCs w:val="10"/>
                                </w:rPr>
                                <w:t>οργανική αύξηση κεφαλαίων ύψους 290μ.β.</w:t>
                              </w:r>
                            </w:p>
                          </w:txbxContent>
                        </wps:txbx>
                        <wps:bodyPr wrap="square" lIns="72000" tIns="72000" rIns="72000" bIns="72000" rtlCol="0" anchor="b" anchorCtr="0">
                          <a:noAutofit/>
                        </wps:bodyPr>
                      </wps:wsp>
                      <wps:wsp>
                        <wps:cNvPr id="750847135" name="Triangle 9"/>
                        <wps:cNvSpPr/>
                        <wps:spPr>
                          <a:xfrm flipH="1">
                            <a:off x="182995" y="30910"/>
                            <a:ext cx="164829" cy="57990"/>
                          </a:xfrm>
                          <a:prstGeom prst="triangle">
                            <a:avLst/>
                          </a:prstGeom>
                          <a:solidFill>
                            <a:srgbClr val="00CFE7"/>
                          </a:solidFill>
                          <a:ln w="12700" cap="flat" cmpd="sng" algn="ctr">
                            <a:noFill/>
                            <a:prstDash val="solid"/>
                            <a:miter lim="800000"/>
                          </a:ln>
                          <a:effectLst/>
                        </wps:spPr>
                        <wps:bodyPr lIns="72000" tIns="72000" rIns="72000" bIns="72000" rtlCol="0" anchor="ctr"/>
                      </wps:wsp>
                    </wpg:wgp>
                  </a:graphicData>
                </a:graphic>
              </wp:anchor>
            </w:drawing>
          </mc:Choice>
          <mc:Fallback>
            <w:pict>
              <v:group id="Group 1" o:spid="_x0000_s1026" o:spt="203" style="position:absolute;left:0pt;margin-left:108.55pt;margin-top:76.55pt;height:40.65pt;width:58.45pt;z-index:251668480;mso-width-relative:page;mso-height-relative:page;" coordorigin="-2,30910" coordsize="1056366,320549" o:gfxdata="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RbMyNoAAAALAQAADwAAAAAAAAABACAAAAAiAAAAZHJzL2Rv&#10;d25yZXYueG1sUEsBAhQAFAAAAAgAh07iQHaLR64cAwAAEQgAAA4AAAAAAAAAAQAgAAAAKQEAAGRy&#10;cy9lMm9Eb2MueG1sUEsFBgAAAAAGAAYAWQEAALcGAAAAAA==&#10;">
                <o:lock v:ext="edit" aspectratio="f"/>
                <v:roundrect id="Rounded Rectangle 2" o:spid="_x0000_s1026" o:spt="2" style="position:absolute;left:-2;top:98633;height:252826;width:1056366;v-text-anchor:bottom;" filled="f" stroked="t" coordsize="21600,21600" arcsize="0.0780092592592593" o:gfxdata="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Sc&#10;PQPCAAAA4gAAAA8AAAAAAAAAAQAgAAAAIgAAAGRycy9kb3ducmV2LnhtbFBLAQIUABQAAAAIAIdO&#10;4kAzLwWeOwAAADkAAAAQAAAAAAAAAAEAIAAAABEBAABkcnMvc2hhcGV4bWwueG1sUEsFBgAAAAAG&#10;AAYAWwEAALsDAAAAAA==&#10;">
                  <v:fill on="f" focussize="0,0"/>
                  <v:stroke weight="0.5pt" color="#00CFE7" miterlimit="8" joinstyle="miter"/>
                  <v:imagedata o:title=""/>
                  <o:lock v:ext="edit" aspectratio="f"/>
                  <v:textbox inset="2mm,2mm,2mm,2mm">
                    <w:txbxContent>
                      <w:p>
                        <w:pPr>
                          <w:jc w:val="center"/>
                          <w:rPr>
                            <w:rFonts w:ascii="Aptos" w:hAnsi="Aptos"/>
                            <w:b/>
                            <w:bCs/>
                            <w:color w:val="003841"/>
                            <w:kern w:val="24"/>
                            <w:sz w:val="10"/>
                            <w:szCs w:val="10"/>
                          </w:rPr>
                        </w:pPr>
                        <w:r>
                          <w:rPr>
                            <w:rFonts w:ascii="Aptos" w:hAnsi="Aptos"/>
                            <w:b/>
                            <w:bCs/>
                            <w:color w:val="003841"/>
                            <w:kern w:val="24"/>
                            <w:sz w:val="10"/>
                            <w:szCs w:val="10"/>
                          </w:rPr>
                          <w:t>οργανική αύξηση κεφαλαίων ύψους 290μ.β.</w:t>
                        </w:r>
                      </w:p>
                    </w:txbxContent>
                  </v:textbox>
                </v:roundrect>
                <v:shape id="Triangle 9" o:spid="_x0000_s1026" o:spt="5" type="#_x0000_t5" style="position:absolute;left:182995;top:30910;flip:x;height:57990;width:164829;v-text-anchor:middle;" fillcolor="#00CFE7" filled="t" stroked="f" coordsize="21600,21600" o:gfxdata="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21djX8QAAADiAAAADwAAAAAAAAABACAAAAAiAAAAZHJzL2Rvd25yZXYueG1sUEsBAhQAFAAAAAgA&#10;h07iQDMvBZ47AAAAOQAAABAAAAAAAAAAAQAgAAAAEwEAAGRycy9zaGFwZXhtbC54bWxQSwUGAAAA&#10;AAYABgBbAQAAvQMAAAAA&#10;" adj="10800">
                  <v:fill on="t" focussize="0,0"/>
                  <v:stroke on="f" weight="1pt" miterlimit="8" joinstyle="miter"/>
                  <v:imagedata o:title=""/>
                  <o:lock v:ext="edit" aspectratio="f"/>
                  <v:textbox inset="2mm,2mm,2mm,2mm"/>
                </v:shape>
              </v:group>
            </w:pict>
          </mc:Fallback>
        </mc:AlternateContent>
      </w:r>
      <w:r>
        <w:rPr>
          <w:color w:val="595959"/>
        </w:rPr>
        <mc:AlternateContent>
          <mc:Choice Requires="wps">
            <w:drawing>
              <wp:anchor distT="0" distB="0" distL="114300" distR="114300" simplePos="0" relativeHeight="251698176" behindDoc="0" locked="0" layoutInCell="1" allowOverlap="1">
                <wp:simplePos x="0" y="0"/>
                <wp:positionH relativeFrom="column">
                  <wp:posOffset>3759835</wp:posOffset>
                </wp:positionH>
                <wp:positionV relativeFrom="paragraph">
                  <wp:posOffset>140335</wp:posOffset>
                </wp:positionV>
                <wp:extent cx="796925" cy="2445385"/>
                <wp:effectExtent l="0" t="0" r="22225" b="12065"/>
                <wp:wrapNone/>
                <wp:docPr id="27" name="Rectangle 1"/>
                <wp:cNvGraphicFramePr/>
                <a:graphic xmlns:a="http://schemas.openxmlformats.org/drawingml/2006/main">
                  <a:graphicData uri="http://schemas.microsoft.com/office/word/2010/wordprocessingShape">
                    <wps:wsp>
                      <wps:cNvSpPr/>
                      <wps:spPr>
                        <a:xfrm>
                          <a:off x="0" y="0"/>
                          <a:ext cx="796925" cy="2445385"/>
                        </a:xfrm>
                        <a:prstGeom prst="rect">
                          <a:avLst/>
                        </a:prstGeom>
                        <a:noFill/>
                        <a:ln w="19050" cap="flat" cmpd="sng" algn="ctr">
                          <a:solidFill>
                            <a:srgbClr val="FF7415"/>
                          </a:solidFill>
                          <a:prstDash val="sysDot"/>
                          <a:miter lim="800000"/>
                        </a:ln>
                        <a:effectLst/>
                      </wps:spPr>
                      <wps:txbx>
                        <w:txbxContent>
                          <w:p>
                            <w:pPr>
                              <w:jc w:val="center"/>
                            </w:pPr>
                          </w:p>
                        </w:txbxContent>
                      </wps:txbx>
                      <wps:bodyPr/>
                    </wps:wsp>
                  </a:graphicData>
                </a:graphic>
              </wp:anchor>
            </w:drawing>
          </mc:Choice>
          <mc:Fallback>
            <w:pict>
              <v:rect id="Rectangle 1" o:spid="_x0000_s1026" o:spt="1" style="position:absolute;left:0pt;margin-left:296.05pt;margin-top:11.05pt;height:192.55pt;width:62.75pt;z-index:251698176;mso-width-relative:page;mso-height-relative:page;" filled="f" stroked="t" coordsize="21600,21600" o:gfxdata="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1G9OHb&#10;AAAACgEAAA8AAAAAAAAAAQAgAAAAIgAAAGRycy9kb3ducmV2LnhtbFBLAQIUABQAAAAIAIdO4kCM&#10;CxQI5AEAAMwDAAAOAAAAAAAAAAEAIAAAACoBAABkcnMvZTJvRG9jLnhtbFBLBQYAAAAABgAGAFkB&#10;AACABQAAAAA=&#10;">
                <v:fill on="f" focussize="0,0"/>
                <v:stroke weight="1.5pt" color="#FF7415" miterlimit="8" joinstyle="miter" dashstyle="1 1"/>
                <v:imagedata o:title=""/>
                <o:lock v:ext="edit" aspectratio="f"/>
                <v:textbox>
                  <w:txbxContent>
                    <w:p>
                      <w:pPr>
                        <w:jc w:val="center"/>
                      </w:pPr>
                    </w:p>
                  </w:txbxContent>
                </v:textbox>
              </v:rect>
            </w:pict>
          </mc:Fallback>
        </mc:AlternateContent>
      </w:r>
      <w:r>
        <w:rPr>
          <w:color w:val="595959"/>
        </w:rPr>
        <mc:AlternateContent>
          <mc:Choice Requires="wps">
            <w:drawing>
              <wp:anchor distT="0" distB="0" distL="114300" distR="114300" simplePos="0" relativeHeight="251674624" behindDoc="0" locked="0" layoutInCell="1" allowOverlap="1">
                <wp:simplePos x="0" y="0"/>
                <wp:positionH relativeFrom="margin">
                  <wp:posOffset>5433060</wp:posOffset>
                </wp:positionH>
                <wp:positionV relativeFrom="paragraph">
                  <wp:posOffset>1609090</wp:posOffset>
                </wp:positionV>
                <wp:extent cx="930275" cy="257175"/>
                <wp:effectExtent l="0" t="0" r="22225" b="28575"/>
                <wp:wrapNone/>
                <wp:docPr id="750847104" name="Rectangular Callout 28"/>
                <wp:cNvGraphicFramePr/>
                <a:graphic xmlns:a="http://schemas.openxmlformats.org/drawingml/2006/main">
                  <a:graphicData uri="http://schemas.microsoft.com/office/word/2010/wordprocessingShape">
                    <wps:wsp>
                      <wps:cNvSpPr/>
                      <wps:spPr>
                        <a:xfrm>
                          <a:off x="0" y="0"/>
                          <a:ext cx="930275" cy="257175"/>
                        </a:xfrm>
                        <a:prstGeom prst="wedgeRectCallout">
                          <a:avLst>
                            <a:gd name="adj1" fmla="val 42251"/>
                            <a:gd name="adj2" fmla="val 26217"/>
                          </a:avLst>
                        </a:prstGeom>
                        <a:solidFill>
                          <a:sysClr val="window" lastClr="FFFFFF"/>
                        </a:solidFill>
                        <a:ln w="6350" cap="flat" cmpd="sng" algn="ctr">
                          <a:solidFill>
                            <a:srgbClr val="FF7415"/>
                          </a:solidFill>
                          <a:prstDash val="solid"/>
                        </a:ln>
                        <a:effectLst/>
                      </wps:spPr>
                      <wps:txbx>
                        <w:txbxContent>
                          <w:p>
                            <w:pPr>
                              <w:jc w:val="center"/>
                              <w:textAlignment w:val="baseline"/>
                              <w:rPr>
                                <w:rFonts w:ascii="Segoe UI" w:hAnsi="Segoe UI" w:eastAsia="Calibri"/>
                                <w:b/>
                                <w:bCs/>
                                <w:sz w:val="12"/>
                                <w:szCs w:val="12"/>
                              </w:rPr>
                            </w:pPr>
                            <w:r>
                              <w:rPr>
                                <w:rFonts w:ascii="Segoe UI" w:hAnsi="Segoe UI" w:eastAsia="Calibri"/>
                                <w:b/>
                                <w:bCs/>
                                <w:kern w:val="24"/>
                                <w:sz w:val="14"/>
                                <w:szCs w:val="14"/>
                                <w:lang w:val="en-US"/>
                              </w:rPr>
                              <w:t>RWAs</w:t>
                            </w:r>
                            <w:r>
                              <w:rPr>
                                <w:rFonts w:ascii="Segoe UI" w:hAnsi="Segoe UI" w:eastAsia="Calibri"/>
                                <w:b/>
                                <w:bCs/>
                                <w:kern w:val="24"/>
                                <w:sz w:val="14"/>
                                <w:szCs w:val="14"/>
                              </w:rPr>
                              <w:t>:</w:t>
                            </w:r>
                            <w:r>
                              <w:rPr>
                                <w:rFonts w:ascii="Segoe UI" w:hAnsi="Segoe UI" w:eastAsia="Calibri"/>
                                <w:b/>
                                <w:bCs/>
                                <w:kern w:val="24"/>
                                <w:sz w:val="14"/>
                                <w:szCs w:val="14"/>
                                <w:lang w:val="en-US"/>
                              </w:rPr>
                              <w:t xml:space="preserve"> </w:t>
                            </w:r>
                            <w:r>
                              <w:rPr>
                                <w:rFonts w:ascii="Segoe UI" w:hAnsi="Segoe UI" w:eastAsia="Calibri"/>
                                <w:b/>
                                <w:bCs/>
                                <w:kern w:val="24"/>
                                <w:sz w:val="14"/>
                                <w:szCs w:val="14"/>
                              </w:rPr>
                              <w:t>€3</w:t>
                            </w:r>
                            <w:r>
                              <w:rPr>
                                <w:rFonts w:ascii="Segoe UI" w:hAnsi="Segoe UI" w:eastAsia="Calibri"/>
                                <w:b/>
                                <w:bCs/>
                                <w:kern w:val="24"/>
                                <w:sz w:val="14"/>
                                <w:szCs w:val="14"/>
                                <w:lang w:val="en-US"/>
                              </w:rPr>
                              <w:t>7,7</w:t>
                            </w:r>
                            <w:r>
                              <w:rPr>
                                <w:rFonts w:ascii="Segoe UI" w:hAnsi="Segoe UI" w:eastAsia="Calibri"/>
                                <w:b/>
                                <w:bCs/>
                                <w:kern w:val="24"/>
                                <w:sz w:val="14"/>
                                <w:szCs w:val="14"/>
                              </w:rPr>
                              <w:t xml:space="preserve"> δισ.</w:t>
                            </w:r>
                          </w:p>
                        </w:txbxContent>
                      </wps:txbx>
                      <wps:bodyPr wrap="square" anchor="ctr">
                        <a:noAutofit/>
                      </wps:bodyPr>
                    </wps:wsp>
                  </a:graphicData>
                </a:graphic>
              </wp:anchor>
            </w:drawing>
          </mc:Choice>
          <mc:Fallback>
            <w:pict>
              <v:shape id="Rectangular Callout 28" o:spid="_x0000_s1026" o:spt="61" type="#_x0000_t61" style="position:absolute;left:0pt;margin-left:427.8pt;margin-top:126.7pt;height:20.25pt;width:73.25pt;mso-position-horizontal-relative:margin;z-index:251674624;v-text-anchor:middle;mso-width-relative:page;mso-height-relative:page;" fillcolor="#FFFFFF" filled="t" stroked="t" coordsize="21600,21600" o:gfxdata="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cEZQNsAAAAMAQAADwAAAAAAAAABACAAAAAiAAAAZHJzL2Rv&#10;d25yZXYueG1sUEsBAhQAFAAAAAgAh07iQBTalhI3AgAAjwQAAA4AAAAAAAAAAQAgAAAAKgEAAGRy&#10;cy9lMm9Eb2MueG1sUEsFBgAAAAAGAAYAWQEAANMFAAAAAA==&#10;" adj="19926,16463">
                <v:fill on="t" focussize="0,0"/>
                <v:stroke weight="0.5pt" color="#FF7415" joinstyle="round"/>
                <v:imagedata o:title=""/>
                <o:lock v:ext="edit" aspectratio="f"/>
                <v:textbox>
                  <w:txbxContent>
                    <w:p>
                      <w:pPr>
                        <w:jc w:val="center"/>
                        <w:textAlignment w:val="baseline"/>
                        <w:rPr>
                          <w:rFonts w:ascii="Segoe UI" w:hAnsi="Segoe UI" w:eastAsia="Calibri"/>
                          <w:b/>
                          <w:bCs/>
                          <w:sz w:val="12"/>
                          <w:szCs w:val="12"/>
                        </w:rPr>
                      </w:pPr>
                      <w:r>
                        <w:rPr>
                          <w:rFonts w:ascii="Segoe UI" w:hAnsi="Segoe UI" w:eastAsia="Calibri"/>
                          <w:b/>
                          <w:bCs/>
                          <w:kern w:val="24"/>
                          <w:sz w:val="14"/>
                          <w:szCs w:val="14"/>
                          <w:lang w:val="en-US"/>
                        </w:rPr>
                        <w:t>RWAs</w:t>
                      </w:r>
                      <w:r>
                        <w:rPr>
                          <w:rFonts w:ascii="Segoe UI" w:hAnsi="Segoe UI" w:eastAsia="Calibri"/>
                          <w:b/>
                          <w:bCs/>
                          <w:kern w:val="24"/>
                          <w:sz w:val="14"/>
                          <w:szCs w:val="14"/>
                        </w:rPr>
                        <w:t>:</w:t>
                      </w:r>
                      <w:r>
                        <w:rPr>
                          <w:rFonts w:ascii="Segoe UI" w:hAnsi="Segoe UI" w:eastAsia="Calibri"/>
                          <w:b/>
                          <w:bCs/>
                          <w:kern w:val="24"/>
                          <w:sz w:val="14"/>
                          <w:szCs w:val="14"/>
                          <w:lang w:val="en-US"/>
                        </w:rPr>
                        <w:t xml:space="preserve"> </w:t>
                      </w:r>
                      <w:r>
                        <w:rPr>
                          <w:rFonts w:ascii="Segoe UI" w:hAnsi="Segoe UI" w:eastAsia="Calibri"/>
                          <w:b/>
                          <w:bCs/>
                          <w:kern w:val="24"/>
                          <w:sz w:val="14"/>
                          <w:szCs w:val="14"/>
                        </w:rPr>
                        <w:t>€3</w:t>
                      </w:r>
                      <w:r>
                        <w:rPr>
                          <w:rFonts w:ascii="Segoe UI" w:hAnsi="Segoe UI" w:eastAsia="Calibri"/>
                          <w:b/>
                          <w:bCs/>
                          <w:kern w:val="24"/>
                          <w:sz w:val="14"/>
                          <w:szCs w:val="14"/>
                          <w:lang w:val="en-US"/>
                        </w:rPr>
                        <w:t>7,7</w:t>
                      </w:r>
                      <w:r>
                        <w:rPr>
                          <w:rFonts w:ascii="Segoe UI" w:hAnsi="Segoe UI" w:eastAsia="Calibri"/>
                          <w:b/>
                          <w:bCs/>
                          <w:kern w:val="24"/>
                          <w:sz w:val="14"/>
                          <w:szCs w:val="14"/>
                        </w:rPr>
                        <w:t xml:space="preserve"> δισ.</w:t>
                      </w:r>
                    </w:p>
                  </w:txbxContent>
                </v:textbox>
              </v:shape>
            </w:pict>
          </mc:Fallback>
        </mc:AlternateContent>
      </w:r>
      <w:r>
        <w:rPr>
          <w:color w:val="595959"/>
        </w:rPr>
        <mc:AlternateContent>
          <mc:Choice Requires="wps">
            <w:drawing>
              <wp:anchor distT="0" distB="0" distL="114300" distR="114300" simplePos="0" relativeHeight="251667456" behindDoc="0" locked="0" layoutInCell="1" allowOverlap="1">
                <wp:simplePos x="0" y="0"/>
                <wp:positionH relativeFrom="margin">
                  <wp:posOffset>250825</wp:posOffset>
                </wp:positionH>
                <wp:positionV relativeFrom="paragraph">
                  <wp:posOffset>1727835</wp:posOffset>
                </wp:positionV>
                <wp:extent cx="911860" cy="257175"/>
                <wp:effectExtent l="0" t="0" r="21590" b="28575"/>
                <wp:wrapNone/>
                <wp:docPr id="750847131" name="Rectangular Callout 28"/>
                <wp:cNvGraphicFramePr/>
                <a:graphic xmlns:a="http://schemas.openxmlformats.org/drawingml/2006/main">
                  <a:graphicData uri="http://schemas.microsoft.com/office/word/2010/wordprocessingShape">
                    <wps:wsp>
                      <wps:cNvSpPr/>
                      <wps:spPr>
                        <a:xfrm>
                          <a:off x="0" y="0"/>
                          <a:ext cx="911860" cy="257175"/>
                        </a:xfrm>
                        <a:prstGeom prst="wedgeRectCallout">
                          <a:avLst>
                            <a:gd name="adj1" fmla="val 42251"/>
                            <a:gd name="adj2" fmla="val 26217"/>
                          </a:avLst>
                        </a:prstGeom>
                        <a:solidFill>
                          <a:sysClr val="window" lastClr="FFFFFF"/>
                        </a:solidFill>
                        <a:ln w="6350" cap="flat" cmpd="sng" algn="ctr">
                          <a:solidFill>
                            <a:srgbClr val="008080"/>
                          </a:solidFill>
                          <a:prstDash val="solid"/>
                        </a:ln>
                        <a:effectLst/>
                      </wps:spPr>
                      <wps:txbx>
                        <w:txbxContent>
                          <w:p>
                            <w:pPr>
                              <w:jc w:val="center"/>
                              <w:textAlignment w:val="baseline"/>
                              <w:rPr>
                                <w:rFonts w:ascii="Segoe UI" w:hAnsi="Segoe UI" w:eastAsia="Calibri"/>
                                <w:b/>
                                <w:bCs/>
                                <w:sz w:val="12"/>
                                <w:szCs w:val="12"/>
                              </w:rPr>
                            </w:pPr>
                            <w:r>
                              <w:rPr>
                                <w:rFonts w:ascii="Segoe UI" w:hAnsi="Segoe UI" w:eastAsia="Calibri"/>
                                <w:b/>
                                <w:bCs/>
                                <w:kern w:val="24"/>
                                <w:sz w:val="14"/>
                                <w:szCs w:val="14"/>
                                <w:lang w:val="en-US"/>
                              </w:rPr>
                              <w:t xml:space="preserve">RWAs: </w:t>
                            </w:r>
                            <w:r>
                              <w:rPr>
                                <w:rFonts w:ascii="Segoe UI" w:hAnsi="Segoe UI" w:eastAsia="Calibri"/>
                                <w:b/>
                                <w:bCs/>
                                <w:kern w:val="24"/>
                                <w:sz w:val="14"/>
                                <w:szCs w:val="14"/>
                              </w:rPr>
                              <w:t>€36</w:t>
                            </w:r>
                            <w:r>
                              <w:rPr>
                                <w:rFonts w:ascii="Segoe UI" w:hAnsi="Segoe UI" w:eastAsia="Calibri"/>
                                <w:b/>
                                <w:bCs/>
                                <w:kern w:val="24"/>
                                <w:sz w:val="14"/>
                                <w:szCs w:val="14"/>
                                <w:lang w:val="en-US"/>
                              </w:rPr>
                              <w:t>,2</w:t>
                            </w:r>
                            <w:r>
                              <w:rPr>
                                <w:rFonts w:ascii="Segoe UI" w:hAnsi="Segoe UI" w:eastAsia="Calibri"/>
                                <w:b/>
                                <w:bCs/>
                                <w:kern w:val="24"/>
                                <w:sz w:val="14"/>
                                <w:szCs w:val="14"/>
                              </w:rPr>
                              <w:t xml:space="preserve"> δισ.</w:t>
                            </w:r>
                          </w:p>
                        </w:txbxContent>
                      </wps:txbx>
                      <wps:bodyPr wrap="square" anchor="ctr">
                        <a:noAutofit/>
                      </wps:bodyPr>
                    </wps:wsp>
                  </a:graphicData>
                </a:graphic>
              </wp:anchor>
            </w:drawing>
          </mc:Choice>
          <mc:Fallback>
            <w:pict>
              <v:shape id="Rectangular Callout 28" o:spid="_x0000_s1026" o:spt="61" type="#_x0000_t61" style="position:absolute;left:0pt;margin-left:19.75pt;margin-top:136.05pt;height:20.25pt;width:71.8pt;mso-position-horizontal-relative:margin;z-index:251667456;v-text-anchor:middle;mso-width-relative:page;mso-height-relative:page;" fillcolor="#FFFFFF" filled="t" stroked="t" coordsize="21600,21600" o:gfxdata="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NnX/dkAAAAKAQAADwAAAAAAAAABACAAAAAiAAAAZHJzL2Rvd25yZXYu&#10;eG1sUEsBAhQAFAAAAAgAh07iQHd+Gw0zAgAAjwQAAA4AAAAAAAAAAQAgAAAAKAEAAGRycy9lMm9E&#10;b2MueG1sUEsFBgAAAAAGAAYAWQEAAM0FAAAAAA==&#10;" adj="19926,16463">
                <v:fill on="t" focussize="0,0"/>
                <v:stroke weight="0.5pt" color="#008080" joinstyle="round"/>
                <v:imagedata o:title=""/>
                <o:lock v:ext="edit" aspectratio="f"/>
                <v:textbox>
                  <w:txbxContent>
                    <w:p>
                      <w:pPr>
                        <w:jc w:val="center"/>
                        <w:textAlignment w:val="baseline"/>
                        <w:rPr>
                          <w:rFonts w:ascii="Segoe UI" w:hAnsi="Segoe UI" w:eastAsia="Calibri"/>
                          <w:b/>
                          <w:bCs/>
                          <w:sz w:val="12"/>
                          <w:szCs w:val="12"/>
                        </w:rPr>
                      </w:pPr>
                      <w:r>
                        <w:rPr>
                          <w:rFonts w:ascii="Segoe UI" w:hAnsi="Segoe UI" w:eastAsia="Calibri"/>
                          <w:b/>
                          <w:bCs/>
                          <w:kern w:val="24"/>
                          <w:sz w:val="14"/>
                          <w:szCs w:val="14"/>
                          <w:lang w:val="en-US"/>
                        </w:rPr>
                        <w:t xml:space="preserve">RWAs: </w:t>
                      </w:r>
                      <w:r>
                        <w:rPr>
                          <w:rFonts w:ascii="Segoe UI" w:hAnsi="Segoe UI" w:eastAsia="Calibri"/>
                          <w:b/>
                          <w:bCs/>
                          <w:kern w:val="24"/>
                          <w:sz w:val="14"/>
                          <w:szCs w:val="14"/>
                        </w:rPr>
                        <w:t>€36</w:t>
                      </w:r>
                      <w:r>
                        <w:rPr>
                          <w:rFonts w:ascii="Segoe UI" w:hAnsi="Segoe UI" w:eastAsia="Calibri"/>
                          <w:b/>
                          <w:bCs/>
                          <w:kern w:val="24"/>
                          <w:sz w:val="14"/>
                          <w:szCs w:val="14"/>
                          <w:lang w:val="en-US"/>
                        </w:rPr>
                        <w:t>,2</w:t>
                      </w:r>
                      <w:r>
                        <w:rPr>
                          <w:rFonts w:ascii="Segoe UI" w:hAnsi="Segoe UI" w:eastAsia="Calibri"/>
                          <w:b/>
                          <w:bCs/>
                          <w:kern w:val="24"/>
                          <w:sz w:val="14"/>
                          <w:szCs w:val="14"/>
                        </w:rPr>
                        <w:t xml:space="preserve"> δισ.</w:t>
                      </w:r>
                    </w:p>
                  </w:txbxContent>
                </v:textbox>
              </v:shape>
            </w:pict>
          </mc:Fallback>
        </mc:AlternateContent>
      </w:r>
      <w:r>
        <w:rPr>
          <w:rFonts w:ascii="Segoe UI" w:hAnsi="Segoe UI" w:eastAsia="Segoe UI" w:cs="Segoe UI"/>
          <w:b/>
          <w:color w:val="595959"/>
          <w:kern w:val="24"/>
          <w:sz w:val="18"/>
          <w:lang w:eastAsia="el-GR"/>
        </w:rPr>
        <w:drawing>
          <wp:inline distT="0" distB="0" distL="0" distR="0">
            <wp:extent cx="6504305" cy="2708910"/>
            <wp:effectExtent l="0" t="0" r="0" b="0"/>
            <wp:docPr id="10" name="Γράφημα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rPr>
          <w:rFonts w:ascii="Aptos" w:hAnsi="Aptos" w:cs="Segoe UI"/>
          <w:color w:val="595959"/>
          <w:sz w:val="8"/>
          <w:szCs w:val="8"/>
          <w:lang w:val="en-US"/>
        </w:rPr>
      </w:pPr>
      <w:r>
        <w:rPr>
          <w:rFonts w:ascii="Aptos" w:hAnsi="Aptos" w:cs="Segoe UI"/>
          <w:color w:val="595959"/>
          <w:sz w:val="8"/>
          <w:szCs w:val="8"/>
          <w:lang w:val="en-US"/>
        </w:rPr>
        <w:br w:type="page"/>
      </w:r>
    </w:p>
    <w:p>
      <w:pPr>
        <w:rPr>
          <w:rFonts w:ascii="Aptos" w:hAnsi="Aptos" w:cs="Segoe UI"/>
          <w:color w:val="595959"/>
          <w:sz w:val="10"/>
          <w:szCs w:val="10"/>
          <w:lang w:val="en-US"/>
        </w:rPr>
      </w:pPr>
      <w:r>
        <w:rPr>
          <w:rFonts w:ascii="Aptos" w:hAnsi="Aptos" w:cs="Segoe UI"/>
          <w:b/>
          <w:bCs/>
          <w:color w:val="595959"/>
          <w:sz w:val="10"/>
          <w:szCs w:val="10"/>
          <w:lang w:val="en-US"/>
        </w:rPr>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paragraph">
                  <wp:posOffset>0</wp:posOffset>
                </wp:positionV>
                <wp:extent cx="6515100" cy="411480"/>
                <wp:effectExtent l="0" t="0" r="0" b="7620"/>
                <wp:wrapSquare wrapText="bothSides"/>
                <wp:docPr id="56" name="Text Box 3"/>
                <wp:cNvGraphicFramePr/>
                <a:graphic xmlns:a="http://schemas.openxmlformats.org/drawingml/2006/main">
                  <a:graphicData uri="http://schemas.microsoft.com/office/word/2010/wordprocessingShape">
                    <wps:wsp>
                      <wps:cNvSpPr txBox="1">
                        <a:spLocks noChangeArrowheads="1"/>
                      </wps:cNvSpPr>
                      <wps:spPr bwMode="auto">
                        <a:xfrm>
                          <a:off x="0" y="0"/>
                          <a:ext cx="6515100" cy="411480"/>
                        </a:xfrm>
                        <a:prstGeom prst="rect">
                          <a:avLst/>
                        </a:prstGeom>
                        <a:solidFill>
                          <a:srgbClr val="003841"/>
                        </a:solidFill>
                        <a:ln w="9525">
                          <a:noFill/>
                        </a:ln>
                      </wps:spPr>
                      <wps:txbx>
                        <w:txbxContent>
                          <w:p>
                            <w:pPr>
                              <w:pStyle w:val="16"/>
                              <w:spacing w:before="0" w:beforeAutospacing="0" w:after="0" w:afterAutospacing="0" w:line="264" w:lineRule="auto"/>
                              <w:rPr>
                                <w:rFonts w:ascii="Aptos" w:hAnsi="Aptos" w:eastAsia="Calibri" w:cs="Segoe UI"/>
                                <w:bCs/>
                                <w:color w:val="FFFFFF" w:themeColor="background1"/>
                                <w:sz w:val="20"/>
                                <w:szCs w:val="20"/>
                                <w:lang w:eastAsia="el-GR"/>
                                <w14:textFill>
                                  <w14:solidFill>
                                    <w14:schemeClr w14:val="bg1"/>
                                  </w14:solidFill>
                                </w14:textFill>
                              </w:rPr>
                            </w:pPr>
                            <w:r>
                              <w:rPr>
                                <w:rFonts w:ascii="Aptos ExtraBold" w:hAnsi="Aptos ExtraBold" w:eastAsia="+mn-ea" w:cs="+mn-cs"/>
                                <w:b/>
                                <w:bCs/>
                                <w:color w:val="FFFFFF" w:themeColor="background1"/>
                                <w:kern w:val="24"/>
                                <w:sz w:val="36"/>
                                <w:szCs w:val="42"/>
                                <w14:textFill>
                                  <w14:solidFill>
                                    <w14:schemeClr w14:val="bg1"/>
                                  </w14:solidFill>
                                </w14:textFill>
                                <w14:props3d w14:extrusionH="0" w14:contourW="0" w14:prstMaterial="matte"/>
                              </w:rPr>
                              <w:t>Ρευστότητα</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top:0pt;height:32.4pt;width:513pt;mso-position-horizontal:left;mso-position-horizontal-relative:margin;mso-wrap-distance-bottom:0pt;mso-wrap-distance-left:9pt;mso-wrap-distance-right:9pt;mso-wrap-distance-top:0pt;z-index:251684864;mso-width-relative:page;mso-height-relative:page;" fillcolor="#003841" filled="t" stroked="f" coordsize="21600,21600" o:gfxdata="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0CUKZ1AAA&#10;AAUBAAAPAAAAAAAAAAEAIAAAACIAAABkcnMvZG93bnJldi54bWxQSwECFAAUAAAACACHTuJAyRFE&#10;tCICAABHBAAADgAAAAAAAAABACAAAAAjAQAAZHJzL2Uyb0RvYy54bWxQSwUGAAAAAAYABgBZAQAA&#10;twUAAAAA&#10;">
                <v:fill on="t" focussize="0,0"/>
                <v:stroke on="f"/>
                <v:imagedata o:title=""/>
                <o:lock v:ext="edit" aspectratio="f"/>
                <v:textbox>
                  <w:txbxContent>
                    <w:p>
                      <w:pPr>
                        <w:pStyle w:val="16"/>
                        <w:spacing w:before="0" w:beforeAutospacing="0" w:after="0" w:afterAutospacing="0" w:line="264" w:lineRule="auto"/>
                        <w:rPr>
                          <w:rFonts w:ascii="Aptos" w:hAnsi="Aptos" w:eastAsia="Calibri" w:cs="Segoe UI"/>
                          <w:bCs/>
                          <w:color w:val="FFFFFF" w:themeColor="background1"/>
                          <w:sz w:val="20"/>
                          <w:szCs w:val="20"/>
                          <w:lang w:eastAsia="el-GR"/>
                          <w14:textFill>
                            <w14:solidFill>
                              <w14:schemeClr w14:val="bg1"/>
                            </w14:solidFill>
                          </w14:textFill>
                        </w:rPr>
                      </w:pPr>
                      <w:r>
                        <w:rPr>
                          <w:rFonts w:ascii="Aptos ExtraBold" w:hAnsi="Aptos ExtraBold" w:eastAsia="+mn-ea" w:cs="+mn-cs"/>
                          <w:b/>
                          <w:bCs/>
                          <w:color w:val="FFFFFF" w:themeColor="background1"/>
                          <w:kern w:val="24"/>
                          <w:sz w:val="36"/>
                          <w:szCs w:val="42"/>
                          <w14:textFill>
                            <w14:solidFill>
                              <w14:schemeClr w14:val="bg1"/>
                            </w14:solidFill>
                          </w14:textFill>
                          <w14:props3d w14:extrusionH="0" w14:contourW="0" w14:prstMaterial="matte"/>
                        </w:rPr>
                        <w:t>Ρευστότητα</w:t>
                      </w:r>
                    </w:p>
                  </w:txbxContent>
                </v:textbox>
                <w10:wrap type="square"/>
              </v:shape>
            </w:pict>
          </mc:Fallback>
        </mc:AlternateContent>
      </w:r>
    </w:p>
    <w:p>
      <w:pPr>
        <w:autoSpaceDE w:val="0"/>
        <w:autoSpaceDN w:val="0"/>
        <w:adjustRightInd w:val="0"/>
        <w:spacing w:before="240" w:after="160" w:line="320" w:lineRule="atLeast"/>
        <w:jc w:val="both"/>
        <w:rPr>
          <w:rFonts w:ascii="Aptos" w:hAnsi="Aptos" w:cs="Segoe UI"/>
          <w:bCs/>
          <w:sz w:val="20"/>
        </w:rPr>
      </w:pPr>
      <w:r>
        <w:rPr>
          <w:rFonts w:ascii="Aptos" w:hAnsi="Aptos" w:cs="Segoe UI"/>
          <w:bCs/>
          <w:sz w:val="20"/>
        </w:rPr>
        <w:t xml:space="preserve">Οι </w:t>
      </w:r>
      <w:r>
        <w:rPr>
          <w:rFonts w:ascii="Aptos" w:hAnsi="Aptos" w:cs="Segoe UI"/>
          <w:b/>
          <w:sz w:val="20"/>
        </w:rPr>
        <w:t>καταθέσεις</w:t>
      </w:r>
      <w:r>
        <w:rPr>
          <w:rFonts w:ascii="Aptos" w:hAnsi="Aptos" w:cs="Segoe UI"/>
          <w:bCs/>
          <w:sz w:val="20"/>
        </w:rPr>
        <w:t xml:space="preserve"> </w:t>
      </w:r>
      <w:r>
        <w:rPr>
          <w:rFonts w:ascii="Aptos" w:hAnsi="Aptos" w:cs="Segoe UI"/>
          <w:b/>
          <w:sz w:val="20"/>
        </w:rPr>
        <w:t>στην Ελλάδα</w:t>
      </w:r>
      <w:r>
        <w:rPr>
          <w:rFonts w:ascii="Aptos" w:hAnsi="Aptos" w:cs="Segoe UI"/>
          <w:bCs/>
          <w:sz w:val="20"/>
        </w:rPr>
        <w:t xml:space="preserve"> παρέμειναν σε ανοδική τροχιά, σημειώνοντας αύξηση κατά +€1,7 δισ. σε ετήσια και +€0,7 δισ. σε τριμηνιαία βάση, σε €55,1 δισ. τον Δεκέμβριο 2023, αντανακλώντας τις εισροές από πελάτες Λιανικής, καθώς οι αυξημένες αναλήψεις καταθέσεων από πελάτες Εταιρικής Τραπεζικής για την αποπληρωμή δανείων επηρέασαν το 2023. Επιπλέον, οι προθεσμιακές καταθέσεις συνεχίζουν να αποτελούν μόλις το ~19% των συνολικών καταθέσεων, ποσοστό που βρίσκεται στα χαμηλότερα επίπεδα του κλάδου. Στις διεθνείς δραστηριότητες, οι καταθέσεις αυξήθηκαν επίσης κατά +€0,2 δισ. σε σχέση με το προηγούμενο έτος, σε €2,0 δισ. Ως αποτέλεσμα, οι </w:t>
      </w:r>
      <w:r>
        <w:rPr>
          <w:rFonts w:ascii="Aptos" w:hAnsi="Aptos" w:cs="Segoe UI"/>
          <w:b/>
          <w:sz w:val="20"/>
        </w:rPr>
        <w:t>καταθέσεις σε επίπεδο Ομίλου</w:t>
      </w:r>
      <w:r>
        <w:rPr>
          <w:rFonts w:ascii="Aptos" w:hAnsi="Aptos" w:cs="Segoe UI"/>
          <w:bCs/>
          <w:sz w:val="20"/>
        </w:rPr>
        <w:t xml:space="preserve"> ανήλθαν σε €57,1 δισ. τον Δεκέμβριο 2023, καταγράφοντας αύξηση κατά +€1,9 δισ. σε ετήσια βάση. </w:t>
      </w:r>
    </w:p>
    <w:p>
      <w:pPr>
        <w:autoSpaceDE w:val="0"/>
        <w:autoSpaceDN w:val="0"/>
        <w:adjustRightInd w:val="0"/>
        <w:spacing w:before="240" w:after="160" w:line="320" w:lineRule="atLeast"/>
        <w:jc w:val="both"/>
        <w:rPr>
          <w:rFonts w:ascii="Aptos" w:hAnsi="Aptos" w:eastAsia="MS Mincho" w:cs="Segoe UI"/>
          <w:sz w:val="20"/>
          <w:szCs w:val="22"/>
          <w:lang w:eastAsia="el-GR" w:bidi="el-GR"/>
        </w:rPr>
      </w:pPr>
      <w:r>
        <w:rPr>
          <w:rFonts w:ascii="Aptos" w:hAnsi="Aptos" w:cs="Segoe UI"/>
          <w:bCs/>
          <w:sz w:val="20"/>
        </w:rPr>
        <w:t xml:space="preserve">Το ισχυρό προφίλ ρευστότητας της Τράπεζας καταδεικνύεται </w:t>
      </w:r>
      <w:r>
        <w:rPr>
          <w:rFonts w:ascii="Aptos" w:hAnsi="Aptos" w:cs="Segoe UI"/>
          <w:sz w:val="20"/>
        </w:rPr>
        <w:t xml:space="preserve">επίσης από τον </w:t>
      </w:r>
      <w:r>
        <w:rPr>
          <w:rFonts w:ascii="Aptos" w:hAnsi="Aptos" w:cs="Segoe UI"/>
          <w:b/>
          <w:bCs/>
          <w:sz w:val="20"/>
        </w:rPr>
        <w:t>δείκτη Δανείων προς Καταθέσεις</w:t>
      </w:r>
      <w:r>
        <w:rPr>
          <w:rFonts w:ascii="Aptos" w:hAnsi="Aptos" w:cs="Segoe UI"/>
          <w:sz w:val="20"/>
        </w:rPr>
        <w:t xml:space="preserve"> ύψους 58% σε επίπεδο Ομίλου (57% στην Ελλάδα), καθώς και τον υψηλό </w:t>
      </w:r>
      <w:r>
        <w:rPr>
          <w:rFonts w:ascii="Aptos" w:hAnsi="Aptos" w:cs="Segoe UI"/>
          <w:b/>
          <w:bCs/>
          <w:sz w:val="20"/>
        </w:rPr>
        <w:t>δείκτη Κάλυψης Ρευστότητας (LCR)</w:t>
      </w:r>
      <w:r>
        <w:rPr>
          <w:rFonts w:ascii="Aptos" w:hAnsi="Aptos" w:cs="Segoe UI"/>
          <w:sz w:val="20"/>
        </w:rPr>
        <w:t xml:space="preserve"> ύψους 262%, ενώ τα</w:t>
      </w:r>
      <w:r>
        <w:rPr>
          <w:rFonts w:ascii="Aptos" w:hAnsi="Aptos" w:cs="Segoe UI"/>
          <w:b/>
          <w:bCs/>
          <w:sz w:val="20"/>
        </w:rPr>
        <w:t xml:space="preserve"> καθαρά ταμειακά διαθέσιμα </w:t>
      </w:r>
      <w:r>
        <w:rPr>
          <w:rFonts w:ascii="Aptos" w:hAnsi="Aptos" w:cs="Segoe UI"/>
          <w:sz w:val="20"/>
        </w:rPr>
        <w:t xml:space="preserve">αυξήθηκαν περαιτέρω κατά €0,6 δισ. σε €8,0 δισ., στα υψηλότερα επίπεδα του κλάδου. Η </w:t>
      </w:r>
      <w:r>
        <w:rPr>
          <w:rFonts w:ascii="Aptos" w:hAnsi="Aptos" w:cs="Segoe UI"/>
          <w:b/>
          <w:bCs/>
          <w:sz w:val="20"/>
        </w:rPr>
        <w:t>υπολειπόμενη έκθεσή μας στο Πρόγραμμα Συναλλαγών Μακροχρόνιας Αναχρηματοδότησης (</w:t>
      </w:r>
      <w:r>
        <w:rPr>
          <w:rFonts w:ascii="Aptos" w:hAnsi="Aptos" w:cs="Segoe UI"/>
          <w:b/>
          <w:bCs/>
          <w:sz w:val="20"/>
          <w:lang w:val="en-US"/>
        </w:rPr>
        <w:t>TLTRO</w:t>
      </w:r>
      <w:r>
        <w:rPr>
          <w:rFonts w:ascii="Aptos" w:hAnsi="Aptos" w:cs="Segoe UI"/>
          <w:b/>
          <w:bCs/>
          <w:sz w:val="20"/>
        </w:rPr>
        <w:t xml:space="preserve"> ΙΙΙ)</w:t>
      </w:r>
      <w:r>
        <w:rPr>
          <w:rFonts w:ascii="Aptos" w:hAnsi="Aptos" w:cs="Segoe UI"/>
          <w:sz w:val="20"/>
        </w:rPr>
        <w:t xml:space="preserve"> παρέμεινε αμετάβλητη σε σχέση με τον Σεπτέμβριο 2023, στα €1,85 δισ. </w:t>
      </w:r>
      <w:r>
        <w:rPr>
          <w:rFonts w:ascii="Aptos" w:hAnsi="Aptos" w:cs="Segoe UI"/>
          <w:bCs/>
          <w:sz w:val="20"/>
        </w:rPr>
        <w:t xml:space="preserve">τον Δεκέμβριο </w:t>
      </w:r>
      <w:r>
        <w:rPr>
          <w:rFonts w:ascii="Aptos" w:hAnsi="Aptos" w:cs="Segoe UI"/>
          <w:sz w:val="20"/>
        </w:rPr>
        <w:t>2023, εκ των οποίων τα €1,1 δισ. λήγουν τον Μάρτιο 2024</w:t>
      </w:r>
      <w:r>
        <w:rPr>
          <w:rFonts w:ascii="Aptos" w:hAnsi="Aptos" w:eastAsia="MS Mincho" w:cs="Segoe UI"/>
          <w:sz w:val="20"/>
          <w:szCs w:val="22"/>
          <w:lang w:eastAsia="el-GR" w:bidi="el-GR"/>
        </w:rPr>
        <w:t xml:space="preserve">. </w:t>
      </w:r>
    </w:p>
    <w:p>
      <w:pPr>
        <w:autoSpaceDE w:val="0"/>
        <w:autoSpaceDN w:val="0"/>
        <w:adjustRightInd w:val="0"/>
        <w:spacing w:line="320" w:lineRule="atLeast"/>
        <w:jc w:val="both"/>
        <w:rPr>
          <w:rFonts w:ascii="Aptos" w:hAnsi="Aptos" w:eastAsia="Segoe UI" w:cs="Segoe UI"/>
          <w:b/>
          <w:color w:val="003841"/>
          <w:kern w:val="24"/>
          <w:sz w:val="20"/>
          <w:szCs w:val="20"/>
          <w:lang w:eastAsia="el-GR"/>
        </w:rPr>
      </w:pPr>
      <w:r>
        <w:rPr>
          <w:rFonts w:ascii="Aptos" w:hAnsi="Aptos" w:eastAsia="Segoe UI" w:cs="Segoe UI"/>
          <w:b/>
          <w:color w:val="003841"/>
          <w:kern w:val="24"/>
          <w:sz w:val="20"/>
          <w:szCs w:val="20"/>
          <w:lang w:val="en-US" w:eastAsia="el-GR"/>
        </w:rPr>
        <w:t>TLTRO</w:t>
      </w:r>
      <w:r>
        <w:rPr>
          <w:rFonts w:ascii="Aptos" w:hAnsi="Aptos" w:eastAsia="Segoe UI" w:cs="Segoe UI"/>
          <w:b/>
          <w:color w:val="003841"/>
          <w:kern w:val="24"/>
          <w:sz w:val="20"/>
          <w:szCs w:val="20"/>
          <w:lang w:eastAsia="el-GR"/>
        </w:rPr>
        <w:t xml:space="preserve"> </w:t>
      </w:r>
      <w:r>
        <w:rPr>
          <w:rFonts w:ascii="Aptos" w:hAnsi="Aptos" w:eastAsia="Segoe UI" w:cs="Segoe UI"/>
          <w:b/>
          <w:color w:val="003841"/>
          <w:kern w:val="24"/>
          <w:sz w:val="20"/>
          <w:szCs w:val="20"/>
          <w:lang w:val="en-US" w:eastAsia="el-GR"/>
        </w:rPr>
        <w:t>III</w:t>
      </w:r>
      <w:r>
        <w:rPr>
          <w:rFonts w:ascii="Aptos" w:hAnsi="Aptos" w:eastAsia="Segoe UI" w:cs="Segoe UI"/>
          <w:b/>
          <w:color w:val="003841"/>
          <w:kern w:val="24"/>
          <w:sz w:val="20"/>
          <w:szCs w:val="20"/>
          <w:lang w:eastAsia="el-GR"/>
        </w:rPr>
        <w:t>, ταμειακά διαθ/μα &amp; καθαρή διατρ/κή (€ δισ.)       Μεταβολή καταθέσεων (€ δισ.) | Όμιλος</w:t>
      </w:r>
    </w:p>
    <w:p>
      <w:pPr>
        <w:autoSpaceDE w:val="0"/>
        <w:autoSpaceDN w:val="0"/>
        <w:adjustRightInd w:val="0"/>
        <w:spacing w:after="160" w:line="320" w:lineRule="atLeast"/>
        <w:rPr>
          <w:rFonts w:ascii="Segoe UI" w:hAnsi="Segoe UI" w:cs="Segoe UI"/>
          <w:b/>
          <w:color w:val="595959"/>
          <w:sz w:val="20"/>
          <w:lang w:eastAsia="el-GR"/>
        </w:rPr>
      </w:pPr>
      <w:r>
        <mc:AlternateContent>
          <mc:Choice Requires="wps">
            <w:drawing>
              <wp:anchor distT="0" distB="0" distL="114300" distR="114300" simplePos="0" relativeHeight="251702272" behindDoc="0" locked="0" layoutInCell="1" allowOverlap="1">
                <wp:simplePos x="0" y="0"/>
                <wp:positionH relativeFrom="column">
                  <wp:posOffset>5643880</wp:posOffset>
                </wp:positionH>
                <wp:positionV relativeFrom="paragraph">
                  <wp:posOffset>67310</wp:posOffset>
                </wp:positionV>
                <wp:extent cx="534035" cy="189865"/>
                <wp:effectExtent l="0" t="0" r="0" b="635"/>
                <wp:wrapNone/>
                <wp:docPr id="30" name="Rectangle 1"/>
                <wp:cNvGraphicFramePr/>
                <a:graphic xmlns:a="http://schemas.openxmlformats.org/drawingml/2006/main">
                  <a:graphicData uri="http://schemas.microsoft.com/office/word/2010/wordprocessingShape">
                    <wps:wsp>
                      <wps:cNvSpPr/>
                      <wps:spPr>
                        <a:xfrm>
                          <a:off x="0" y="0"/>
                          <a:ext cx="534035" cy="189865"/>
                        </a:xfrm>
                        <a:prstGeom prst="rect">
                          <a:avLst/>
                        </a:prstGeom>
                        <a:noFill/>
                        <a:ln w="9525" cap="flat" cmpd="sng" algn="ctr">
                          <a:noFill/>
                          <a:prstDash val="solid"/>
                        </a:ln>
                        <a:effectLst/>
                      </wps:spPr>
                      <wps:txbx>
                        <w:txbxContent>
                          <w:p>
                            <w:pPr>
                              <w:jc w:val="both"/>
                              <w:textAlignment w:val="baseline"/>
                              <w:rPr>
                                <w:rFonts w:ascii="Aptos" w:hAnsi="Aptos" w:eastAsia="Calibri"/>
                                <w:b/>
                                <w:bCs/>
                                <w:color w:val="0D0D0D"/>
                                <w:kern w:val="24"/>
                                <w:sz w:val="12"/>
                                <w:szCs w:val="12"/>
                              </w:rPr>
                            </w:pPr>
                            <w:r>
                              <w:rPr>
                                <w:rFonts w:ascii="Aptos" w:hAnsi="Aptos" w:eastAsia="Calibri"/>
                                <w:b/>
                                <w:bCs/>
                                <w:color w:val="0D0D0D"/>
                                <w:kern w:val="24"/>
                                <w:sz w:val="12"/>
                                <w:szCs w:val="12"/>
                              </w:rPr>
                              <w:t>Όμιλος</w:t>
                            </w:r>
                          </w:p>
                        </w:txbxContent>
                      </wps:txbx>
                      <wps:bodyPr wrap="square" anchor="ctr">
                        <a:noAutofit/>
                      </wps:bodyPr>
                    </wps:wsp>
                  </a:graphicData>
                </a:graphic>
              </wp:anchor>
            </w:drawing>
          </mc:Choice>
          <mc:Fallback>
            <w:pict>
              <v:rect id="Rectangle 1" o:spid="_x0000_s1026" o:spt="1" style="position:absolute;left:0pt;margin-left:444.4pt;margin-top:5.3pt;height:14.95pt;width:42.05pt;z-index:251702272;v-text-anchor:middle;mso-width-relative:page;mso-height-relative:page;" filled="f" stroked="f" coordsize="21600,21600" o:gfxdata="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oKcSbTAAAACQEAAA8AAAAAAAAAAQAg&#10;AAAAIgAAAGRycy9kb3ducmV2LnhtbFBLAQIUABQAAAAIAIdO4kBKCtXS2gEAAL4DAAAOAAAAAAAA&#10;AAEAIAAAACIBAABkcnMvZTJvRG9jLnhtbFBLBQYAAAAABgAGAFkBAABuBQAAAAA=&#10;">
                <v:fill on="f" focussize="0,0"/>
                <v:stroke on="f"/>
                <v:imagedata o:title=""/>
                <o:lock v:ext="edit" aspectratio="f"/>
                <v:textbox>
                  <w:txbxContent>
                    <w:p>
                      <w:pPr>
                        <w:jc w:val="both"/>
                        <w:textAlignment w:val="baseline"/>
                        <w:rPr>
                          <w:rFonts w:ascii="Aptos" w:hAnsi="Aptos" w:eastAsia="Calibri"/>
                          <w:b/>
                          <w:bCs/>
                          <w:color w:val="0D0D0D"/>
                          <w:kern w:val="24"/>
                          <w:sz w:val="12"/>
                          <w:szCs w:val="12"/>
                        </w:rPr>
                      </w:pPr>
                      <w:r>
                        <w:rPr>
                          <w:rFonts w:ascii="Aptos" w:hAnsi="Aptos" w:eastAsia="Calibri"/>
                          <w:b/>
                          <w:bCs/>
                          <w:color w:val="0D0D0D"/>
                          <w:kern w:val="24"/>
                          <w:sz w:val="12"/>
                          <w:szCs w:val="12"/>
                        </w:rPr>
                        <w:t>Όμιλος</w:t>
                      </w:r>
                    </w:p>
                  </w:txbxContent>
                </v:textbox>
              </v:rect>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5638800</wp:posOffset>
                </wp:positionH>
                <wp:positionV relativeFrom="paragraph">
                  <wp:posOffset>291465</wp:posOffset>
                </wp:positionV>
                <wp:extent cx="728345" cy="189865"/>
                <wp:effectExtent l="0" t="0" r="0" b="635"/>
                <wp:wrapNone/>
                <wp:docPr id="31" name="Rectangle 1"/>
                <wp:cNvGraphicFramePr/>
                <a:graphic xmlns:a="http://schemas.openxmlformats.org/drawingml/2006/main">
                  <a:graphicData uri="http://schemas.microsoft.com/office/word/2010/wordprocessingShape">
                    <wps:wsp>
                      <wps:cNvSpPr/>
                      <wps:spPr>
                        <a:xfrm>
                          <a:off x="0" y="0"/>
                          <a:ext cx="728345" cy="189865"/>
                        </a:xfrm>
                        <a:prstGeom prst="rect">
                          <a:avLst/>
                        </a:prstGeom>
                        <a:noFill/>
                        <a:ln w="9525" cap="flat" cmpd="sng" algn="ctr">
                          <a:noFill/>
                          <a:prstDash val="solid"/>
                        </a:ln>
                        <a:effectLst/>
                      </wps:spPr>
                      <wps:txbx>
                        <w:txbxContent>
                          <w:p>
                            <w:pPr>
                              <w:jc w:val="both"/>
                              <w:textAlignment w:val="baseline"/>
                              <w:rPr>
                                <w:rFonts w:ascii="Aptos" w:hAnsi="Aptos" w:eastAsia="Calibri"/>
                                <w:color w:val="0D0D0D"/>
                                <w:kern w:val="24"/>
                                <w:sz w:val="12"/>
                                <w:szCs w:val="12"/>
                              </w:rPr>
                            </w:pPr>
                            <w:r>
                              <w:rPr>
                                <w:rFonts w:ascii="Aptos" w:hAnsi="Aptos" w:eastAsia="Calibri"/>
                                <w:color w:val="0D0D0D"/>
                                <w:kern w:val="24"/>
                                <w:sz w:val="12"/>
                                <w:szCs w:val="12"/>
                              </w:rPr>
                              <w:t>Διεθνείς δρ/τες</w:t>
                            </w:r>
                          </w:p>
                        </w:txbxContent>
                      </wps:txbx>
                      <wps:bodyPr wrap="square" anchor="ctr">
                        <a:noAutofit/>
                      </wps:bodyPr>
                    </wps:wsp>
                  </a:graphicData>
                </a:graphic>
              </wp:anchor>
            </w:drawing>
          </mc:Choice>
          <mc:Fallback>
            <w:pict>
              <v:rect id="Rectangle 1" o:spid="_x0000_s1026" o:spt="1" style="position:absolute;left:0pt;margin-left:444pt;margin-top:22.95pt;height:14.95pt;width:57.35pt;z-index:251703296;v-text-anchor:middle;mso-width-relative:page;mso-height-relative:page;" filled="f" stroked="f" coordsize="21600,21600" o:gfxdata="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NqBCs1gAAAAoBAAAPAAAAAAAA&#10;AAEAIAAAACIAAABkcnMvZG93bnJldi54bWxQSwECFAAUAAAACACHTuJAndcHKNsBAAC+AwAADgAA&#10;AAAAAAABACAAAAAlAQAAZHJzL2Uyb0RvYy54bWxQSwUGAAAAAAYABgBZAQAAcgUAAAAA&#10;">
                <v:fill on="f" focussize="0,0"/>
                <v:stroke on="f"/>
                <v:imagedata o:title=""/>
                <o:lock v:ext="edit" aspectratio="f"/>
                <v:textbox>
                  <w:txbxContent>
                    <w:p>
                      <w:pPr>
                        <w:jc w:val="both"/>
                        <w:textAlignment w:val="baseline"/>
                        <w:rPr>
                          <w:rFonts w:ascii="Aptos" w:hAnsi="Aptos" w:eastAsia="Calibri"/>
                          <w:color w:val="0D0D0D"/>
                          <w:kern w:val="24"/>
                          <w:sz w:val="12"/>
                          <w:szCs w:val="12"/>
                        </w:rPr>
                      </w:pPr>
                      <w:r>
                        <w:rPr>
                          <w:rFonts w:ascii="Aptos" w:hAnsi="Aptos" w:eastAsia="Calibri"/>
                          <w:color w:val="0D0D0D"/>
                          <w:kern w:val="24"/>
                          <w:sz w:val="12"/>
                          <w:szCs w:val="12"/>
                        </w:rPr>
                        <w:t>Διεθνείς δρ/τες</w:t>
                      </w:r>
                    </w:p>
                  </w:txbxContent>
                </v:textbox>
              </v:rect>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5636895</wp:posOffset>
                </wp:positionH>
                <wp:positionV relativeFrom="paragraph">
                  <wp:posOffset>495300</wp:posOffset>
                </wp:positionV>
                <wp:extent cx="534035" cy="189865"/>
                <wp:effectExtent l="0" t="0" r="0" b="635"/>
                <wp:wrapNone/>
                <wp:docPr id="33" name="Rectangle 1"/>
                <wp:cNvGraphicFramePr/>
                <a:graphic xmlns:a="http://schemas.openxmlformats.org/drawingml/2006/main">
                  <a:graphicData uri="http://schemas.microsoft.com/office/word/2010/wordprocessingShape">
                    <wps:wsp>
                      <wps:cNvSpPr/>
                      <wps:spPr>
                        <a:xfrm>
                          <a:off x="0" y="0"/>
                          <a:ext cx="534035" cy="189865"/>
                        </a:xfrm>
                        <a:prstGeom prst="rect">
                          <a:avLst/>
                        </a:prstGeom>
                        <a:noFill/>
                        <a:ln w="9525" cap="flat" cmpd="sng" algn="ctr">
                          <a:noFill/>
                          <a:prstDash val="solid"/>
                        </a:ln>
                        <a:effectLst/>
                      </wps:spPr>
                      <wps:txbx>
                        <w:txbxContent>
                          <w:p>
                            <w:pPr>
                              <w:jc w:val="both"/>
                              <w:textAlignment w:val="baseline"/>
                              <w:rPr>
                                <w:rFonts w:ascii="Aptos" w:hAnsi="Aptos" w:eastAsia="Calibri"/>
                                <w:b/>
                                <w:bCs/>
                                <w:color w:val="0D0D0D"/>
                                <w:kern w:val="24"/>
                                <w:sz w:val="12"/>
                                <w:szCs w:val="12"/>
                              </w:rPr>
                            </w:pPr>
                            <w:r>
                              <w:rPr>
                                <w:rFonts w:ascii="Aptos" w:hAnsi="Aptos" w:eastAsia="Calibri"/>
                                <w:b/>
                                <w:bCs/>
                                <w:color w:val="0D0D0D"/>
                                <w:kern w:val="24"/>
                                <w:sz w:val="12"/>
                                <w:szCs w:val="12"/>
                              </w:rPr>
                              <w:t>Ελλάδα</w:t>
                            </w:r>
                          </w:p>
                        </w:txbxContent>
                      </wps:txbx>
                      <wps:bodyPr wrap="square" anchor="ctr">
                        <a:noAutofit/>
                      </wps:bodyPr>
                    </wps:wsp>
                  </a:graphicData>
                </a:graphic>
              </wp:anchor>
            </w:drawing>
          </mc:Choice>
          <mc:Fallback>
            <w:pict>
              <v:rect id="Rectangle 1" o:spid="_x0000_s1026" o:spt="1" style="position:absolute;left:0pt;margin-left:443.85pt;margin-top:39pt;height:14.95pt;width:42.05pt;z-index:251704320;v-text-anchor:middle;mso-width-relative:page;mso-height-relative:page;" filled="f" stroked="f" coordsize="21600,21600" o:gfxdata="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HjVm9QAAAAKAQAADwAAAAAAAAAB&#10;ACAAAAAiAAAAZHJzL2Rvd25yZXYueG1sUEsBAhQAFAAAAAgAh07iQDz0Xg/bAQAAvgMAAA4AAAAA&#10;AAAAAQAgAAAAIwEAAGRycy9lMm9Eb2MueG1sUEsFBgAAAAAGAAYAWQEAAHAFAAAAAA==&#10;">
                <v:fill on="f" focussize="0,0"/>
                <v:stroke on="f"/>
                <v:imagedata o:title=""/>
                <o:lock v:ext="edit" aspectratio="f"/>
                <v:textbox>
                  <w:txbxContent>
                    <w:p>
                      <w:pPr>
                        <w:jc w:val="both"/>
                        <w:textAlignment w:val="baseline"/>
                        <w:rPr>
                          <w:rFonts w:ascii="Aptos" w:hAnsi="Aptos" w:eastAsia="Calibri"/>
                          <w:b/>
                          <w:bCs/>
                          <w:color w:val="0D0D0D"/>
                          <w:kern w:val="24"/>
                          <w:sz w:val="12"/>
                          <w:szCs w:val="12"/>
                        </w:rPr>
                      </w:pPr>
                      <w:r>
                        <w:rPr>
                          <w:rFonts w:ascii="Aptos" w:hAnsi="Aptos" w:eastAsia="Calibri"/>
                          <w:b/>
                          <w:bCs/>
                          <w:color w:val="0D0D0D"/>
                          <w:kern w:val="24"/>
                          <w:sz w:val="12"/>
                          <w:szCs w:val="12"/>
                        </w:rPr>
                        <w:t>Ελλάδα</w:t>
                      </w:r>
                    </w:p>
                  </w:txbxContent>
                </v:textbox>
              </v:rect>
            </w:pict>
          </mc:Fallback>
        </mc:AlternateContent>
      </w:r>
      <w:r>
        <w:rPr>
          <w:color w:val="595959"/>
        </w:rPr>
        <mc:AlternateContent>
          <mc:Choice Requires="wps">
            <w:drawing>
              <wp:anchor distT="0" distB="0" distL="114300" distR="114300" simplePos="0" relativeHeight="251670528" behindDoc="0" locked="0" layoutInCell="1" allowOverlap="1">
                <wp:simplePos x="0" y="0"/>
                <wp:positionH relativeFrom="column">
                  <wp:posOffset>2724150</wp:posOffset>
                </wp:positionH>
                <wp:positionV relativeFrom="paragraph">
                  <wp:posOffset>826770</wp:posOffset>
                </wp:positionV>
                <wp:extent cx="91440" cy="320040"/>
                <wp:effectExtent l="0" t="0" r="22860" b="22860"/>
                <wp:wrapNone/>
                <wp:docPr id="750847138" name="Left Brace 19"/>
                <wp:cNvGraphicFramePr/>
                <a:graphic xmlns:a="http://schemas.openxmlformats.org/drawingml/2006/main">
                  <a:graphicData uri="http://schemas.microsoft.com/office/word/2010/wordprocessingShape">
                    <wps:wsp>
                      <wps:cNvSpPr/>
                      <wps:spPr>
                        <a:xfrm rot="5400000">
                          <a:off x="0" y="0"/>
                          <a:ext cx="91440" cy="320040"/>
                        </a:xfrm>
                        <a:prstGeom prst="leftBrace">
                          <a:avLst/>
                        </a:prstGeom>
                        <a:noFill/>
                        <a:ln w="6350" cap="flat" cmpd="sng" algn="ctr">
                          <a:solidFill>
                            <a:sysClr val="windowText" lastClr="000000">
                              <a:lumMod val="50000"/>
                              <a:lumOff val="50000"/>
                            </a:sysClr>
                          </a:solidFill>
                          <a:prstDash val="solid"/>
                          <a:miter lim="800000"/>
                        </a:ln>
                        <a:effectLst/>
                      </wps:spPr>
                      <wps:txbx>
                        <w:txbxContent>
                          <w:p>
                            <w:pPr>
                              <w:jc w:val="center"/>
                            </w:pPr>
                          </w:p>
                        </w:txbxContent>
                      </wps:txbx>
                      <wps:bodyPr rtlCol="0" anchor="ctr"/>
                    </wps:wsp>
                  </a:graphicData>
                </a:graphic>
              </wp:anchor>
            </w:drawing>
          </mc:Choice>
          <mc:Fallback>
            <w:pict>
              <v:shape id="Left Brace 19" o:spid="_x0000_s1026" o:spt="87" type="#_x0000_t87" style="position:absolute;left:0pt;margin-left:214.5pt;margin-top:65.1pt;height:25.2pt;width:7.2pt;rotation:5898240f;z-index:251670528;v-text-anchor:middle;mso-width-relative:page;mso-height-relative:page;" filled="f" stroked="t" coordsize="21600,21600" o:gfxdata="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xXMnXAAAA&#10;CwEAAA8AAAAAAAAAAQAgAAAAIgAAAGRycy9kb3ducmV2LnhtbFBLAQIUABQAAAAIAIdO4kCg7S3l&#10;HgIAAEgEAAAOAAAAAAAAAAEAIAAAACYBAABkcnMvZTJvRG9jLnhtbFBLBQYAAAAABgAGAFkBAAC2&#10;BQAAAAA=&#10;" adj="514,10800">
                <v:fill on="f" focussize="0,0"/>
                <v:stroke weight="0.5pt" color="#808080" miterlimit="8" joinstyle="miter"/>
                <v:imagedata o:title=""/>
                <o:lock v:ext="edit" aspectratio="f"/>
                <v:textbox>
                  <w:txbxContent>
                    <w:p>
                      <w:pPr>
                        <w:jc w:val="center"/>
                      </w:pPr>
                    </w:p>
                  </w:txbxContent>
                </v:textbox>
              </v:shape>
            </w:pict>
          </mc:Fallback>
        </mc:AlternateContent>
      </w:r>
      <w:r>
        <w:rPr>
          <w:color w:val="595959"/>
        </w:rPr>
        <mc:AlternateContent>
          <mc:Choice Requires="wps">
            <w:drawing>
              <wp:anchor distT="0" distB="0" distL="114300" distR="114300" simplePos="0" relativeHeight="251669504" behindDoc="0" locked="0" layoutInCell="1" allowOverlap="1">
                <wp:simplePos x="0" y="0"/>
                <wp:positionH relativeFrom="column">
                  <wp:posOffset>2141220</wp:posOffset>
                </wp:positionH>
                <wp:positionV relativeFrom="paragraph">
                  <wp:posOffset>828040</wp:posOffset>
                </wp:positionV>
                <wp:extent cx="91440" cy="320040"/>
                <wp:effectExtent l="0" t="0" r="22860" b="22860"/>
                <wp:wrapNone/>
                <wp:docPr id="7" name="Left Brace 19"/>
                <wp:cNvGraphicFramePr/>
                <a:graphic xmlns:a="http://schemas.openxmlformats.org/drawingml/2006/main">
                  <a:graphicData uri="http://schemas.microsoft.com/office/word/2010/wordprocessingShape">
                    <wps:wsp>
                      <wps:cNvSpPr/>
                      <wps:spPr>
                        <a:xfrm rot="5400000">
                          <a:off x="0" y="0"/>
                          <a:ext cx="91440" cy="320040"/>
                        </a:xfrm>
                        <a:prstGeom prst="leftBrac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txbx>
                        <w:txbxContent>
                          <w:p>
                            <w:pPr>
                              <w:jc w:val="center"/>
                            </w:pPr>
                          </w:p>
                        </w:txbxContent>
                      </wps:txbx>
                      <wps:bodyPr rtlCol="0" anchor="ctr"/>
                    </wps:wsp>
                  </a:graphicData>
                </a:graphic>
              </wp:anchor>
            </w:drawing>
          </mc:Choice>
          <mc:Fallback>
            <w:pict>
              <v:shape id="Left Brace 19" o:spid="_x0000_s1026" o:spt="87" type="#_x0000_t87" style="position:absolute;left:0pt;margin-left:168.6pt;margin-top:65.2pt;height:25.2pt;width:7.2pt;rotation:5898240f;z-index:251669504;v-text-anchor:middle;mso-width-relative:page;mso-height-relative:page;" filled="f" stroked="t" coordsize="21600,21600" o:gfxdata="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&#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GFWx1wAAAAsBAAAPAAAAAAAAAAEAIAAAACIAAABk&#10;cnMvZG93bnJldi54bWxQSwECFAAUAAAACACHTuJAbp5UlgcCAAAfBAAADgAAAAAAAAABACAAAAAm&#10;AQAAZHJzL2Uyb0RvYy54bWxQSwUGAAAAAAYABgBZAQAAnwUAAAAA&#10;" adj="514,10800">
                <v:fill on="f" focussize="0,0"/>
                <v:stroke weight="0.5pt" color="#808080 [1629]" miterlimit="8" joinstyle="miter"/>
                <v:imagedata o:title=""/>
                <o:lock v:ext="edit" aspectratio="f"/>
                <v:textbox>
                  <w:txbxContent>
                    <w:p>
                      <w:pPr>
                        <w:jc w:val="center"/>
                      </w:pPr>
                    </w:p>
                  </w:txbxContent>
                </v:textbox>
              </v:shape>
            </w:pict>
          </mc:Fallback>
        </mc:AlternateContent>
      </w:r>
      <w:r>
        <w:rPr>
          <w:color w:val="595959"/>
        </w:rPr>
        <mc:AlternateContent>
          <mc:Choice Requires="wps">
            <w:drawing>
              <wp:anchor distT="0" distB="0" distL="114300" distR="114300" simplePos="0" relativeHeight="251672576" behindDoc="0" locked="0" layoutInCell="1" allowOverlap="1">
                <wp:simplePos x="0" y="0"/>
                <wp:positionH relativeFrom="column">
                  <wp:posOffset>2609215</wp:posOffset>
                </wp:positionH>
                <wp:positionV relativeFrom="paragraph">
                  <wp:posOffset>721995</wp:posOffset>
                </wp:positionV>
                <wp:extent cx="323850" cy="184150"/>
                <wp:effectExtent l="0" t="0" r="0" b="6350"/>
                <wp:wrapNone/>
                <wp:docPr id="13" name="Rectangle 12"/>
                <wp:cNvGraphicFramePr/>
                <a:graphic xmlns:a="http://schemas.openxmlformats.org/drawingml/2006/main">
                  <a:graphicData uri="http://schemas.microsoft.com/office/word/2010/wordprocessingShape">
                    <wps:wsp>
                      <wps:cNvSpPr/>
                      <wps:spPr>
                        <a:xfrm>
                          <a:off x="0" y="0"/>
                          <a:ext cx="323850" cy="184150"/>
                        </a:xfrm>
                        <a:prstGeom prst="rect">
                          <a:avLst/>
                        </a:prstGeom>
                        <a:solidFill>
                          <a:srgbClr val="FF7415"/>
                        </a:solidFill>
                        <a:ln w="12700" cap="flat" cmpd="sng" algn="ctr">
                          <a:noFill/>
                          <a:prstDash val="solid"/>
                          <a:miter lim="800000"/>
                        </a:ln>
                        <a:effectLst/>
                      </wps:spPr>
                      <wps:txbx>
                        <w:txbxContent>
                          <w:p>
                            <w:pPr>
                              <w:jc w:val="center"/>
                              <w:rPr>
                                <w:rFonts w:ascii="Aptos" w:hAnsi="Aptos" w:eastAsia="+mn-ea" w:cs="+mn-cs"/>
                                <w:b/>
                                <w:bCs/>
                                <w:color w:val="FFFFFF"/>
                                <w:kern w:val="24"/>
                                <w:sz w:val="12"/>
                                <w:szCs w:val="12"/>
                                <w:lang w:val="en-US"/>
                              </w:rPr>
                            </w:pPr>
                            <w:r>
                              <w:rPr>
                                <w:rFonts w:ascii="Aptos" w:hAnsi="Aptos" w:eastAsia="+mn-ea" w:cs="+mn-cs"/>
                                <w:b/>
                                <w:bCs/>
                                <w:color w:val="FFFFFF"/>
                                <w:kern w:val="24"/>
                                <w:sz w:val="12"/>
                                <w:szCs w:val="12"/>
                                <w:lang w:val="en-US"/>
                              </w:rPr>
                              <w:t>8</w:t>
                            </w:r>
                            <w:r>
                              <w:rPr>
                                <w:rFonts w:ascii="Aptos" w:hAnsi="Aptos" w:eastAsia="+mn-ea" w:cs="+mn-cs"/>
                                <w:b/>
                                <w:bCs/>
                                <w:color w:val="FFFFFF"/>
                                <w:kern w:val="24"/>
                                <w:sz w:val="12"/>
                                <w:szCs w:val="12"/>
                              </w:rPr>
                              <w:t>,</w:t>
                            </w:r>
                            <w:r>
                              <w:rPr>
                                <w:rFonts w:ascii="Aptos" w:hAnsi="Aptos" w:eastAsia="+mn-ea" w:cs="+mn-cs"/>
                                <w:b/>
                                <w:bCs/>
                                <w:color w:val="FFFFFF"/>
                                <w:kern w:val="24"/>
                                <w:sz w:val="12"/>
                                <w:szCs w:val="12"/>
                                <w:lang w:val="en-US"/>
                              </w:rPr>
                              <w:t>0</w:t>
                            </w:r>
                          </w:p>
                        </w:txbxContent>
                      </wps:txbx>
                      <wps:bodyPr wrap="square" anchor="ctr">
                        <a:noAutofit/>
                      </wps:bodyPr>
                    </wps:wsp>
                  </a:graphicData>
                </a:graphic>
              </wp:anchor>
            </w:drawing>
          </mc:Choice>
          <mc:Fallback>
            <w:pict>
              <v:rect id="Rectangle 12" o:spid="_x0000_s1026" o:spt="1" style="position:absolute;left:0pt;margin-left:205.45pt;margin-top:56.85pt;height:14.5pt;width:25.5pt;z-index:251672576;v-text-anchor:middle;mso-width-relative:page;mso-height-relative:page;" fillcolor="#FF7415" filled="t" stroked="f" coordsize="21600,21600" o:gfxdata="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fh+vfYAAAACwEAAA8AAAAAAAAAAQAgAAAAIgAAAGRycy9kb3ducmV2Lnht&#10;bFBLAQIUABQAAAAIAIdO4kAVcp1I+QEAAAAEAAAOAAAAAAAAAAEAIAAAACcBAABkcnMvZTJvRG9j&#10;LnhtbFBLBQYAAAAABgAGAFkBAACSBQAAAAA=&#10;">
                <v:fill on="t" focussize="0,0"/>
                <v:stroke on="f" weight="1pt" miterlimit="8" joinstyle="miter"/>
                <v:imagedata o:title=""/>
                <o:lock v:ext="edit" aspectratio="f"/>
                <v:textbox>
                  <w:txbxContent>
                    <w:p>
                      <w:pPr>
                        <w:jc w:val="center"/>
                        <w:rPr>
                          <w:rFonts w:ascii="Aptos" w:hAnsi="Aptos" w:eastAsia="+mn-ea" w:cs="+mn-cs"/>
                          <w:b/>
                          <w:bCs/>
                          <w:color w:val="FFFFFF"/>
                          <w:kern w:val="24"/>
                          <w:sz w:val="12"/>
                          <w:szCs w:val="12"/>
                          <w:lang w:val="en-US"/>
                        </w:rPr>
                      </w:pPr>
                      <w:r>
                        <w:rPr>
                          <w:rFonts w:ascii="Aptos" w:hAnsi="Aptos" w:eastAsia="+mn-ea" w:cs="+mn-cs"/>
                          <w:b/>
                          <w:bCs/>
                          <w:color w:val="FFFFFF"/>
                          <w:kern w:val="24"/>
                          <w:sz w:val="12"/>
                          <w:szCs w:val="12"/>
                          <w:lang w:val="en-US"/>
                        </w:rPr>
                        <w:t>8</w:t>
                      </w:r>
                      <w:r>
                        <w:rPr>
                          <w:rFonts w:ascii="Aptos" w:hAnsi="Aptos" w:eastAsia="+mn-ea" w:cs="+mn-cs"/>
                          <w:b/>
                          <w:bCs/>
                          <w:color w:val="FFFFFF"/>
                          <w:kern w:val="24"/>
                          <w:sz w:val="12"/>
                          <w:szCs w:val="12"/>
                        </w:rPr>
                        <w:t>,</w:t>
                      </w:r>
                      <w:r>
                        <w:rPr>
                          <w:rFonts w:ascii="Aptos" w:hAnsi="Aptos" w:eastAsia="+mn-ea" w:cs="+mn-cs"/>
                          <w:b/>
                          <w:bCs/>
                          <w:color w:val="FFFFFF"/>
                          <w:kern w:val="24"/>
                          <w:sz w:val="12"/>
                          <w:szCs w:val="12"/>
                          <w:lang w:val="en-US"/>
                        </w:rPr>
                        <w:t>0</w:t>
                      </w:r>
                    </w:p>
                  </w:txbxContent>
                </v:textbox>
              </v:rect>
            </w:pict>
          </mc:Fallback>
        </mc:AlternateContent>
      </w:r>
      <w:r>
        <w:rPr>
          <w:color w:val="595959"/>
        </w:rPr>
        <mc:AlternateContent>
          <mc:Choice Requires="wps">
            <w:drawing>
              <wp:anchor distT="0" distB="0" distL="114300" distR="114300" simplePos="0" relativeHeight="251671552" behindDoc="0" locked="0" layoutInCell="1" allowOverlap="1">
                <wp:simplePos x="0" y="0"/>
                <wp:positionH relativeFrom="column">
                  <wp:posOffset>2025015</wp:posOffset>
                </wp:positionH>
                <wp:positionV relativeFrom="paragraph">
                  <wp:posOffset>721995</wp:posOffset>
                </wp:positionV>
                <wp:extent cx="323850" cy="184150"/>
                <wp:effectExtent l="0" t="0" r="0" b="6350"/>
                <wp:wrapNone/>
                <wp:docPr id="12" name="Rectangle 11"/>
                <wp:cNvGraphicFramePr/>
                <a:graphic xmlns:a="http://schemas.openxmlformats.org/drawingml/2006/main">
                  <a:graphicData uri="http://schemas.microsoft.com/office/word/2010/wordprocessingShape">
                    <wps:wsp>
                      <wps:cNvSpPr/>
                      <wps:spPr>
                        <a:xfrm>
                          <a:off x="0" y="0"/>
                          <a:ext cx="323850" cy="184150"/>
                        </a:xfrm>
                        <a:prstGeom prst="rect">
                          <a:avLst/>
                        </a:prstGeom>
                        <a:solidFill>
                          <a:srgbClr val="007B85"/>
                        </a:solidFill>
                        <a:ln w="12700" cap="flat" cmpd="sng" algn="ctr">
                          <a:noFill/>
                          <a:prstDash val="solid"/>
                          <a:miter lim="800000"/>
                        </a:ln>
                        <a:effectLst/>
                      </wps:spPr>
                      <wps:txbx>
                        <w:txbxContent>
                          <w:p>
                            <w:pPr>
                              <w:jc w:val="center"/>
                              <w:rPr>
                                <w:rFonts w:ascii="Aptos" w:hAnsi="Aptos" w:eastAsia="+mn-ea" w:cs="+mn-cs"/>
                                <w:b/>
                                <w:bCs/>
                                <w:color w:val="FFFFFF"/>
                                <w:kern w:val="24"/>
                                <w:sz w:val="12"/>
                                <w:szCs w:val="12"/>
                                <w:lang w:val="en-US"/>
                              </w:rPr>
                            </w:pPr>
                            <w:r>
                              <w:rPr>
                                <w:rFonts w:ascii="Aptos" w:hAnsi="Aptos" w:eastAsia="+mn-ea" w:cs="+mn-cs"/>
                                <w:b/>
                                <w:bCs/>
                                <w:color w:val="FFFFFF"/>
                                <w:kern w:val="24"/>
                                <w:sz w:val="12"/>
                                <w:szCs w:val="12"/>
                                <w:lang w:val="en-US"/>
                              </w:rPr>
                              <w:t>7</w:t>
                            </w:r>
                            <w:r>
                              <w:rPr>
                                <w:rFonts w:ascii="Aptos" w:hAnsi="Aptos" w:eastAsia="+mn-ea" w:cs="+mn-cs"/>
                                <w:b/>
                                <w:bCs/>
                                <w:color w:val="FFFFFF"/>
                                <w:kern w:val="24"/>
                                <w:sz w:val="12"/>
                                <w:szCs w:val="12"/>
                              </w:rPr>
                              <w:t>,</w:t>
                            </w:r>
                            <w:r>
                              <w:rPr>
                                <w:rFonts w:ascii="Aptos" w:hAnsi="Aptos" w:eastAsia="+mn-ea" w:cs="+mn-cs"/>
                                <w:b/>
                                <w:bCs/>
                                <w:color w:val="FFFFFF"/>
                                <w:kern w:val="24"/>
                                <w:sz w:val="12"/>
                                <w:szCs w:val="12"/>
                                <w:lang w:val="en-US"/>
                              </w:rPr>
                              <w:t>4</w:t>
                            </w:r>
                          </w:p>
                        </w:txbxContent>
                      </wps:txbx>
                      <wps:bodyPr wrap="square" anchor="ctr">
                        <a:noAutofit/>
                      </wps:bodyPr>
                    </wps:wsp>
                  </a:graphicData>
                </a:graphic>
              </wp:anchor>
            </w:drawing>
          </mc:Choice>
          <mc:Fallback>
            <w:pict>
              <v:rect id="Rectangle 11" o:spid="_x0000_s1026" o:spt="1" style="position:absolute;left:0pt;margin-left:159.45pt;margin-top:56.85pt;height:14.5pt;width:25.5pt;z-index:251671552;v-text-anchor:middle;mso-width-relative:page;mso-height-relative:page;" fillcolor="#007B85" filled="t" stroked="f" coordsize="21600,21600" o:gfxdata="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Nu48NoAAAALAQAADwAAAAAAAAABACAAAAAiAAAAZHJzL2Rvd25yZXYu&#10;eG1sUEsBAhQAFAAAAAgAh07iQJgGB1r5AQAAAAQAAA4AAAAAAAAAAQAgAAAAKQEAAGRycy9lMm9E&#10;b2MueG1sUEsFBgAAAAAGAAYAWQEAAJQFAAAAAA==&#10;">
                <v:fill on="t" focussize="0,0"/>
                <v:stroke on="f" weight="1pt" miterlimit="8" joinstyle="miter"/>
                <v:imagedata o:title=""/>
                <o:lock v:ext="edit" aspectratio="f"/>
                <v:textbox>
                  <w:txbxContent>
                    <w:p>
                      <w:pPr>
                        <w:jc w:val="center"/>
                        <w:rPr>
                          <w:rFonts w:ascii="Aptos" w:hAnsi="Aptos" w:eastAsia="+mn-ea" w:cs="+mn-cs"/>
                          <w:b/>
                          <w:bCs/>
                          <w:color w:val="FFFFFF"/>
                          <w:kern w:val="24"/>
                          <w:sz w:val="12"/>
                          <w:szCs w:val="12"/>
                          <w:lang w:val="en-US"/>
                        </w:rPr>
                      </w:pPr>
                      <w:r>
                        <w:rPr>
                          <w:rFonts w:ascii="Aptos" w:hAnsi="Aptos" w:eastAsia="+mn-ea" w:cs="+mn-cs"/>
                          <w:b/>
                          <w:bCs/>
                          <w:color w:val="FFFFFF"/>
                          <w:kern w:val="24"/>
                          <w:sz w:val="12"/>
                          <w:szCs w:val="12"/>
                          <w:lang w:val="en-US"/>
                        </w:rPr>
                        <w:t>7</w:t>
                      </w:r>
                      <w:r>
                        <w:rPr>
                          <w:rFonts w:ascii="Aptos" w:hAnsi="Aptos" w:eastAsia="+mn-ea" w:cs="+mn-cs"/>
                          <w:b/>
                          <w:bCs/>
                          <w:color w:val="FFFFFF"/>
                          <w:kern w:val="24"/>
                          <w:sz w:val="12"/>
                          <w:szCs w:val="12"/>
                        </w:rPr>
                        <w:t>,</w:t>
                      </w:r>
                      <w:r>
                        <w:rPr>
                          <w:rFonts w:ascii="Aptos" w:hAnsi="Aptos" w:eastAsia="+mn-ea" w:cs="+mn-cs"/>
                          <w:b/>
                          <w:bCs/>
                          <w:color w:val="FFFFFF"/>
                          <w:kern w:val="24"/>
                          <w:sz w:val="12"/>
                          <w:szCs w:val="12"/>
                          <w:lang w:val="en-US"/>
                        </w:rPr>
                        <w:t>4</w:t>
                      </w:r>
                    </w:p>
                  </w:txbxContent>
                </v:textbox>
              </v:rect>
            </w:pict>
          </mc:Fallback>
        </mc:AlternateContent>
      </w:r>
      <w:r>
        <w:rPr>
          <w:rFonts w:ascii="Segoe UI" w:hAnsi="Segoe UI" w:cs="Segoe UI"/>
          <w:b/>
          <w:color w:val="595959"/>
          <w:sz w:val="20"/>
          <w:lang w:eastAsia="el-GR"/>
        </w:rPr>
        <w:drawing>
          <wp:inline distT="0" distB="0" distL="0" distR="0">
            <wp:extent cx="3181350" cy="1997075"/>
            <wp:effectExtent l="0" t="0" r="0" b="317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Segoe UI" w:hAnsi="Segoe UI" w:cs="Segoe UI"/>
          <w:b/>
          <w:color w:val="595959"/>
          <w:sz w:val="20"/>
          <w:lang w:eastAsia="el-GR"/>
        </w:rPr>
        <w:t xml:space="preserve">   </w:t>
      </w:r>
      <w:r>
        <w:rPr>
          <w:rFonts w:ascii="Segoe UI" w:hAnsi="Segoe UI" w:cs="Segoe UI"/>
          <w:b/>
          <w:color w:val="595959"/>
          <w:sz w:val="20"/>
          <w:lang w:eastAsia="el-GR"/>
        </w:rPr>
        <w:drawing>
          <wp:inline distT="0" distB="0" distL="0" distR="0">
            <wp:extent cx="3175000" cy="1981200"/>
            <wp:effectExtent l="0" t="0" r="635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ascii="Segoe UI" w:hAnsi="Segoe UI" w:cs="Segoe UI"/>
          <w:b/>
          <w:color w:val="595959"/>
          <w:sz w:val="20"/>
          <w:lang w:eastAsia="el-GR"/>
        </w:rPr>
        <w:t xml:space="preserve"> </w:t>
      </w:r>
    </w:p>
    <w:p>
      <w:pPr>
        <w:rPr>
          <w:rFonts w:ascii="Aptos" w:hAnsi="Aptos" w:eastAsia="Segoe UI" w:cs="Segoe UI"/>
          <w:b/>
          <w:color w:val="595959"/>
          <w:kern w:val="24"/>
          <w:sz w:val="12"/>
          <w:szCs w:val="18"/>
          <w:lang w:eastAsia="el-GR"/>
        </w:rPr>
      </w:pPr>
      <w:r>
        <w:rPr>
          <w:rFonts w:ascii="Aptos" w:hAnsi="Aptos" w:eastAsia="Segoe UI" w:cs="Segoe UI"/>
          <w:b/>
          <w:color w:val="595959"/>
          <w:kern w:val="24"/>
          <w:sz w:val="12"/>
          <w:szCs w:val="18"/>
          <w:lang w:eastAsia="el-GR"/>
        </w:rPr>
        <w:br w:type="page"/>
      </w:r>
    </w:p>
    <w:p>
      <w:pPr>
        <w:pStyle w:val="32"/>
        <w:rPr>
          <w:rFonts w:ascii="Aptos" w:hAnsi="Aptos" w:cs="Segoe UI"/>
          <w:color w:val="003841"/>
          <w:sz w:val="20"/>
          <w:szCs w:val="20"/>
          <w:lang w:val="el-GR"/>
        </w:rPr>
      </w:pPr>
      <w:r>
        <w:rPr>
          <w:rFonts w:ascii="Aptos" w:hAnsi="Aptos" w:cs="Segoe UI"/>
          <w:color w:val="003841"/>
          <w:sz w:val="20"/>
          <w:szCs w:val="20"/>
          <w:lang w:val="el-GR"/>
        </w:rPr>
        <w:t>Ορισμός των Χρηματοοικονομικών Στοιχείων και των Δεικτών που Χρησιμοποιήθηκαν</w:t>
      </w:r>
    </w:p>
    <w:p>
      <w:pPr>
        <w:spacing w:after="160"/>
        <w:jc w:val="both"/>
        <w:rPr>
          <w:rFonts w:ascii="Aptos" w:hAnsi="Aptos" w:cs="Segoe UI"/>
          <w:sz w:val="16"/>
          <w:szCs w:val="16"/>
        </w:rPr>
      </w:pPr>
      <w:r>
        <w:rPr>
          <w:rFonts w:ascii="Aptos" w:hAnsi="Aptos" w:cs="Segoe UI"/>
          <w:sz w:val="16"/>
          <w:szCs w:val="16"/>
          <w:lang w:val="en-US"/>
        </w:rPr>
        <w:t>To</w:t>
      </w:r>
      <w:r>
        <w:rPr>
          <w:rFonts w:ascii="Aptos" w:hAnsi="Aptos" w:cs="Segoe UI"/>
          <w:sz w:val="16"/>
          <w:szCs w:val="16"/>
        </w:rPr>
        <w:t xml:space="preserve"> παρόν Δελτίο Τύπου των Αποτελεσμάτων του 2023 περιλαμβάνει χρηματοοικονομικές αναφορές και μεγέθη όπως προέρχονται από τις χρηματοοικονομικές καταστάσεις του Ομίλου για την περίοδο που έληξε 31 Δεκεμβρίου 2023 και τη χρήση που έληξε 31 Δεκεμβρίου 2022, οι οποίες έχουν συνταχθεί με βάση τα Διεθνή Πρότυπα Χρηματοοικονομικής Αναφοράς («ΔΠΧΑ»), όπως αυτά έχουν υιοθετηθεί από την Ευρωπαϊκή Ένωση («ΕΕ»). Επίσης, περιλαμβάνει χρηματοοικονομικές πληροφορίες οι οποίες αντλούνται από την κανονική ροή των συστημάτων χρηματοοικονομικής και διοικητικής πληροφόρησης, όπως αυτές κατηγοριοποιούνται σε ξένες και εγχώριες δραστηριότητες βάσει της χώρας προέλευσης των χρηματοοικονομικών καταστάσεων των εταιρειών του Ομίλου.</w:t>
      </w:r>
    </w:p>
    <w:p>
      <w:pPr>
        <w:spacing w:after="160"/>
        <w:jc w:val="both"/>
        <w:rPr>
          <w:rFonts w:ascii="Aptos" w:hAnsi="Aptos" w:cs="Segoe UI"/>
          <w:sz w:val="16"/>
          <w:szCs w:val="16"/>
        </w:rPr>
      </w:pPr>
      <w:r>
        <w:rPr>
          <w:rFonts w:ascii="Aptos" w:hAnsi="Aptos" w:cs="Segoe UI"/>
          <w:sz w:val="16"/>
          <w:szCs w:val="16"/>
        </w:rPr>
        <w:t xml:space="preserve">Επιπρόσθετα, περιλαμβάνει αναφορές σε συγκεκριμένα μεγέθη τα οποία δεν ορίζονται από τα ΔΠΧΑ, και συγκεκριμένα αναφέρονται σε «κέρδη / (ζημίες) προ προβλέψεων», «καθαρό επιτοκιακό περιθώριο» και άλλα, όπως διατυπώνονται ανωτέρω. Αυτά είναι εκτός πλαισίου ΔΠΧΑ χρηματοοικονομικά μεγέθη. Ένα μη οριζόμενο από τα ΔΠΧΑ κονδύλι μετρά την ιστορική ή μελλοντική χρηματοοικονομική επίδοση, χρηματοοικονομική θέση ή τις ταμιακές ροές, και περιλαμβάνει ή εξαιρεί ποσά τα οποία δεν προβλέπονται από τα ΔΠΧΑ. Ο Όμιλος πιστεύει ότι τα μη οριζόμενα από τα ΔΠΧΑ κονδύλια παρουσιάζουν μια πιο ουσιαστική ανάλυση της χρηματοοικονομικής του κατάστασης και των αποτελεσμάτων των εργασιών του. Ωστόσο, τα μη οριζόμενα από τα ΔΠΧΑ κονδύλια δεν αποτελούν υποκατάστατο των ΔΠΧΑ. </w:t>
      </w:r>
    </w:p>
    <w:p>
      <w:pPr>
        <w:rPr>
          <w:rFonts w:ascii="Aptos" w:hAnsi="Aptos" w:cs="Segoe UI"/>
          <w:sz w:val="18"/>
          <w:szCs w:val="18"/>
        </w:rPr>
      </w:pPr>
      <w:r>
        <w:rPr>
          <w:rFonts w:ascii="Aptos" w:hAnsi="Aptos" w:cs="Segoe UI"/>
          <w:sz w:val="18"/>
          <w:szCs w:val="18"/>
        </w:rPr>
        <w:br w:type="page"/>
      </w:r>
    </w:p>
    <w:tbl>
      <w:tblPr>
        <w:tblStyle w:val="4"/>
        <w:tblW w:w="10057" w:type="dxa"/>
        <w:tblInd w:w="108" w:type="dxa"/>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Layout w:type="autofit"/>
        <w:tblCellMar>
          <w:top w:w="0" w:type="dxa"/>
          <w:left w:w="108" w:type="dxa"/>
          <w:bottom w:w="0" w:type="dxa"/>
          <w:right w:w="108" w:type="dxa"/>
        </w:tblCellMar>
      </w:tblPr>
      <w:tblGrid>
        <w:gridCol w:w="1972"/>
        <w:gridCol w:w="1248"/>
        <w:gridCol w:w="6951"/>
      </w:tblGrid>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283" w:hRule="atLeast"/>
        </w:trPr>
        <w:tc>
          <w:tcPr>
            <w:tcW w:w="1972" w:type="dxa"/>
            <w:shd w:val="clear" w:color="auto" w:fill="007180"/>
            <w:noWrap/>
            <w:vAlign w:val="bottom"/>
          </w:tcPr>
          <w:p>
            <w:pPr>
              <w:rPr>
                <w:rFonts w:ascii="Aptos" w:hAnsi="Aptos" w:cs="Segoe UI"/>
                <w:b/>
                <w:color w:val="FFFFFF" w:themeColor="background1"/>
                <w:sz w:val="16"/>
                <w:szCs w:val="13"/>
                <w14:textFill>
                  <w14:solidFill>
                    <w14:schemeClr w14:val="bg1"/>
                  </w14:solidFill>
                </w14:textFill>
              </w:rPr>
            </w:pPr>
            <w:r>
              <w:rPr>
                <w:rFonts w:ascii="Aptos" w:hAnsi="Aptos" w:cs="Segoe UI"/>
                <w:b/>
                <w:color w:val="FFFFFF" w:themeColor="background1"/>
                <w:sz w:val="16"/>
                <w:szCs w:val="13"/>
                <w14:textFill>
                  <w14:solidFill>
                    <w14:schemeClr w14:val="bg1"/>
                  </w14:solidFill>
                </w14:textFill>
              </w:rPr>
              <w:t>Ονομασία</w:t>
            </w:r>
          </w:p>
        </w:tc>
        <w:tc>
          <w:tcPr>
            <w:tcW w:w="1134" w:type="dxa"/>
            <w:shd w:val="clear" w:color="auto" w:fill="007180"/>
            <w:noWrap/>
            <w:vAlign w:val="bottom"/>
          </w:tcPr>
          <w:p>
            <w:pPr>
              <w:rPr>
                <w:rFonts w:ascii="Aptos" w:hAnsi="Aptos" w:cs="Segoe UI"/>
                <w:b/>
                <w:color w:val="FFFFFF" w:themeColor="background1"/>
                <w:sz w:val="16"/>
                <w:szCs w:val="13"/>
                <w14:textFill>
                  <w14:solidFill>
                    <w14:schemeClr w14:val="bg1"/>
                  </w14:solidFill>
                </w14:textFill>
              </w:rPr>
            </w:pPr>
            <w:r>
              <w:rPr>
                <w:rFonts w:ascii="Aptos" w:hAnsi="Aptos" w:cs="Segoe UI"/>
                <w:b/>
                <w:color w:val="FFFFFF" w:themeColor="background1"/>
                <w:sz w:val="16"/>
                <w:szCs w:val="13"/>
                <w14:textFill>
                  <w14:solidFill>
                    <w14:schemeClr w14:val="bg1"/>
                  </w14:solidFill>
                </w14:textFill>
              </w:rPr>
              <w:t>Συντομ/φία</w:t>
            </w:r>
          </w:p>
        </w:tc>
        <w:tc>
          <w:tcPr>
            <w:tcW w:w="6951" w:type="dxa"/>
            <w:shd w:val="clear" w:color="auto" w:fill="007180"/>
            <w:noWrap/>
            <w:vAlign w:val="bottom"/>
          </w:tcPr>
          <w:p>
            <w:pPr>
              <w:rPr>
                <w:rFonts w:ascii="Aptos" w:hAnsi="Aptos" w:cs="Segoe UI"/>
                <w:b/>
                <w:color w:val="FFFFFF" w:themeColor="background1"/>
                <w:sz w:val="16"/>
                <w:szCs w:val="13"/>
                <w14:textFill>
                  <w14:solidFill>
                    <w14:schemeClr w14:val="bg1"/>
                  </w14:solidFill>
                </w14:textFill>
              </w:rPr>
            </w:pPr>
            <w:r>
              <w:rPr>
                <w:rFonts w:ascii="Aptos" w:hAnsi="Aptos" w:cs="Segoe UI"/>
                <w:b/>
                <w:color w:val="FFFFFF" w:themeColor="background1"/>
                <w:sz w:val="16"/>
                <w:szCs w:val="13"/>
                <w14:textFill>
                  <w14:solidFill>
                    <w14:schemeClr w14:val="bg1"/>
                  </w14:solidFill>
                </w14:textFill>
              </w:rPr>
              <w:t>Ορισμός</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Απόδοση Ενσώματων Ιδίων Κεφαλαίων </w:t>
            </w:r>
          </w:p>
        </w:tc>
        <w:tc>
          <w:tcPr>
            <w:tcW w:w="1134"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w:t>
            </w: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Οργανικά κέρδη μετά φόρων (καθαρά έσοδα από τόκους +καθαρά έσοδα από προμήθειες + λειτουργικές δαπάνες + προβλέψεις επισφαλείς απαιτήσεις + φόροι) προς ενσώματα ίδια κεφάλαια </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Αποσβέσεις</w:t>
            </w:r>
          </w:p>
        </w:tc>
        <w:tc>
          <w:tcPr>
            <w:tcW w:w="1134"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w:t>
            </w:r>
          </w:p>
        </w:tc>
        <w:tc>
          <w:tcPr>
            <w:tcW w:w="6951"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Αποσβέσεις και προβλέψεις απομείωσης αξίας ακινήτων επενδύσεων, ενσώματων παγίων συμπεριλαμβανομένων των δικαιωμάτων χρήσης, λογισμικού και λοιπών άυλων περιουσιακών στοιχείων</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Γενικά Διοικητικά Έξοδα </w:t>
            </w:r>
          </w:p>
        </w:tc>
        <w:tc>
          <w:tcPr>
            <w:tcW w:w="1134"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w:t>
            </w: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Γενικά διοικητικά και λοιπά λειτουργικά έξοδα</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Δάνεια μετά από Προβλέψεις</w:t>
            </w:r>
          </w:p>
        </w:tc>
        <w:tc>
          <w:tcPr>
            <w:tcW w:w="1134" w:type="dxa"/>
            <w:shd w:val="clear" w:color="auto" w:fill="FFFFFF" w:themeFill="background1"/>
            <w:noWrap/>
            <w:vAlign w:val="center"/>
          </w:tcPr>
          <w:p>
            <w:pPr>
              <w:rPr>
                <w:rFonts w:ascii="Aptos" w:hAnsi="Aptos" w:eastAsia="MS Mincho" w:cs="Segoe UI"/>
                <w:color w:val="000000"/>
                <w:sz w:val="13"/>
                <w:szCs w:val="13"/>
                <w:lang w:val="en-GB"/>
              </w:rPr>
            </w:pPr>
            <w:r>
              <w:rPr>
                <w:rFonts w:ascii="Aptos" w:hAnsi="Aptos" w:eastAsia="MS Mincho" w:cs="Segoe UI"/>
                <w:color w:val="000000"/>
                <w:sz w:val="13"/>
                <w:szCs w:val="13"/>
                <w:lang w:val="en-GB"/>
              </w:rPr>
              <w:t>--</w:t>
            </w:r>
          </w:p>
        </w:tc>
        <w:tc>
          <w:tcPr>
            <w:tcW w:w="6951"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Δάνεια και απαιτήσεις κατά πελατών</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Δάνεια προ Προβλέψεων</w:t>
            </w:r>
          </w:p>
        </w:tc>
        <w:tc>
          <w:tcPr>
            <w:tcW w:w="1134"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w:t>
            </w: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Δάνεια και απαιτήσεις κατά πελατών σε αποσβεσμένο κόστος προ πρόβλεψης ΑΠΖ, πλέον δανείων και απαιτήσεων κατά πελατών επιμετρούμενων υποχρεωτικά σε ΕΑΜΑ</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Δείκτης Δάνεια </w:t>
            </w:r>
            <w:r>
              <w:rPr>
                <w:rFonts w:ascii="Aptos" w:hAnsi="Aptos" w:eastAsia="MS Mincho" w:cs="Segoe UI"/>
                <w:color w:val="000000"/>
                <w:sz w:val="13"/>
                <w:szCs w:val="13"/>
                <w:lang w:val="en-GB"/>
              </w:rPr>
              <w:t xml:space="preserve">προς </w:t>
            </w:r>
            <w:r>
              <w:rPr>
                <w:rFonts w:ascii="Aptos" w:hAnsi="Aptos" w:eastAsia="MS Mincho" w:cs="Segoe UI"/>
                <w:color w:val="000000"/>
                <w:sz w:val="13"/>
                <w:szCs w:val="13"/>
              </w:rPr>
              <w:t>Καταθέσεις</w:t>
            </w:r>
          </w:p>
        </w:tc>
        <w:tc>
          <w:tcPr>
            <w:tcW w:w="1134" w:type="dxa"/>
            <w:shd w:val="clear" w:color="auto" w:fill="FFFFFF" w:themeFill="background1"/>
            <w:noWrap/>
            <w:vAlign w:val="center"/>
          </w:tcPr>
          <w:p>
            <w:pPr>
              <w:rPr>
                <w:rFonts w:ascii="Aptos" w:hAnsi="Aptos" w:eastAsia="MS Mincho" w:cs="Segoe UI"/>
                <w:color w:val="000000"/>
                <w:sz w:val="13"/>
                <w:szCs w:val="13"/>
                <w:lang w:val="en-GB"/>
              </w:rPr>
            </w:pPr>
            <w:r>
              <w:rPr>
                <w:rFonts w:ascii="Aptos" w:hAnsi="Aptos" w:eastAsia="MS Mincho" w:cs="Segoe UI"/>
                <w:color w:val="000000"/>
                <w:sz w:val="13"/>
                <w:szCs w:val="13"/>
                <w:lang w:val="en-GB"/>
              </w:rPr>
              <w:t>--</w:t>
            </w:r>
          </w:p>
        </w:tc>
        <w:tc>
          <w:tcPr>
            <w:tcW w:w="6951"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Δάνεια και απαιτήσεις κατά πελατών μετά από προβλέψεις προς καταθέσεις, τέλος χρήσης / περιόδου, εξαιρουμένης της σύμβασης αγοράς &amp; επαναπώλησης χρεογράφου σύντομης διάρκειας ύψους ~€3 δισ.</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Δείκτης Δανείων σε Καθυστέρηση +90 Ημερών / Μη Εξυπηρετούμενων Δανείων</w:t>
            </w:r>
          </w:p>
        </w:tc>
        <w:tc>
          <w:tcPr>
            <w:tcW w:w="1134" w:type="dxa"/>
            <w:shd w:val="clear" w:color="auto" w:fill="F5F9F6"/>
            <w:noWrap/>
            <w:vAlign w:val="center"/>
          </w:tcPr>
          <w:p>
            <w:pPr>
              <w:rPr>
                <w:rFonts w:ascii="Aptos" w:hAnsi="Aptos" w:eastAsia="MS Mincho" w:cs="Segoe UI"/>
                <w:color w:val="000000"/>
                <w:sz w:val="13"/>
                <w:szCs w:val="13"/>
                <w:lang w:val="en-GB"/>
              </w:rPr>
            </w:pPr>
            <w:r>
              <w:rPr>
                <w:rFonts w:ascii="Aptos" w:hAnsi="Aptos" w:eastAsia="MS Mincho" w:cs="Segoe UI"/>
                <w:color w:val="000000"/>
                <w:sz w:val="13"/>
                <w:szCs w:val="13"/>
                <w:lang w:val="en-GB"/>
              </w:rPr>
              <w:t xml:space="preserve">-- </w:t>
            </w: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Δάνεια προ προβλέψεων σε καθυστέρηση άνω των 90 ημερών σε αναπόσβεστη αξία προς δάνεια προ προβλέψεων, τέλος χρήσης / περιόδου, εξαιρουμένης της σύμβασης αγοράς &amp; επαναπώλησης χρεογράφου σύντομης διάρκειας ύψους ~€3 δισ.</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FFFFF" w:themeFill="background1"/>
            <w:noWrap/>
            <w:vAlign w:val="center"/>
          </w:tcPr>
          <w:p>
            <w:pPr>
              <w:rPr>
                <w:rFonts w:ascii="Aptos" w:hAnsi="Aptos" w:eastAsia="MS Mincho" w:cs="Segoe UI"/>
                <w:sz w:val="13"/>
                <w:szCs w:val="13"/>
              </w:rPr>
            </w:pPr>
            <w:r>
              <w:rPr>
                <w:rFonts w:ascii="Aptos" w:hAnsi="Aptos" w:eastAsia="MS Mincho" w:cs="Segoe UI"/>
                <w:sz w:val="13"/>
                <w:szCs w:val="13"/>
              </w:rPr>
              <w:t>Δείκτης Καθαρής Σταθερής Χρηματοδότησης</w:t>
            </w:r>
          </w:p>
        </w:tc>
        <w:tc>
          <w:tcPr>
            <w:tcW w:w="1134" w:type="dxa"/>
            <w:shd w:val="clear" w:color="auto" w:fill="FFFFFF" w:themeFill="background1"/>
            <w:noWrap/>
            <w:vAlign w:val="center"/>
          </w:tcPr>
          <w:p>
            <w:pPr>
              <w:rPr>
                <w:rFonts w:ascii="Aptos" w:hAnsi="Aptos" w:eastAsia="MS Mincho" w:cs="Segoe UI"/>
                <w:sz w:val="13"/>
                <w:szCs w:val="13"/>
                <w:lang w:val="en-US"/>
              </w:rPr>
            </w:pPr>
            <w:r>
              <w:rPr>
                <w:rFonts w:ascii="Aptos" w:hAnsi="Aptos" w:eastAsia="MS Mincho" w:cs="Segoe UI"/>
                <w:sz w:val="13"/>
                <w:szCs w:val="13"/>
              </w:rPr>
              <w:t xml:space="preserve">Δείκτης </w:t>
            </w:r>
            <w:r>
              <w:rPr>
                <w:rFonts w:ascii="Aptos" w:hAnsi="Aptos" w:eastAsia="MS Mincho" w:cs="Segoe UI"/>
                <w:sz w:val="13"/>
                <w:szCs w:val="13"/>
                <w:lang w:val="en-US"/>
              </w:rPr>
              <w:t>NSFR</w:t>
            </w:r>
          </w:p>
        </w:tc>
        <w:tc>
          <w:tcPr>
            <w:tcW w:w="6951" w:type="dxa"/>
            <w:shd w:val="clear" w:color="auto" w:fill="FFFFFF" w:themeFill="background1"/>
            <w:noWrap/>
            <w:vAlign w:val="center"/>
          </w:tcPr>
          <w:p>
            <w:pPr>
              <w:rPr>
                <w:rFonts w:ascii="Aptos" w:hAnsi="Aptos" w:eastAsia="MS Mincho" w:cs="Segoe UI"/>
                <w:sz w:val="13"/>
                <w:szCs w:val="13"/>
              </w:rPr>
            </w:pPr>
            <w:r>
              <w:rPr>
                <w:rFonts w:ascii="Aptos" w:hAnsi="Aptos" w:eastAsia="MS Mincho" w:cs="Segoe UI"/>
                <w:sz w:val="13"/>
                <w:szCs w:val="13"/>
              </w:rPr>
              <w:t>Ο Δείκτης Καθαρής Σταθερής Χρηματοδότησης αναφέρεται στο ποσό των υποχρεώσεων και του κεφαλαίου που αναμένεται να διατηρείται στον χρονικό ορίζοντα που έχει οριστεί από το NSFR προς του ποσού της σταθερής χρηματοδότησης που πρέπει να διανεμηθεί στα διάφορα περιουσιακά στοιχεία ανάλογα με τα χαρακτηριστικά ρευστότητας και τις υπολειπόμενες διάρκειες τους</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Δείκτης Κάλυψης Δανείων σε Καθυστέρηση +90 Ημερών</w:t>
            </w:r>
          </w:p>
        </w:tc>
        <w:tc>
          <w:tcPr>
            <w:tcW w:w="1134" w:type="dxa"/>
            <w:shd w:val="clear" w:color="auto" w:fill="F5F9F6"/>
            <w:noWrap/>
            <w:vAlign w:val="center"/>
          </w:tcPr>
          <w:p>
            <w:pPr>
              <w:rPr>
                <w:rFonts w:ascii="Aptos" w:hAnsi="Aptos" w:eastAsia="MS Mincho" w:cs="Segoe UI"/>
                <w:color w:val="000000"/>
                <w:sz w:val="13"/>
                <w:szCs w:val="13"/>
                <w:lang w:val="en-GB"/>
              </w:rPr>
            </w:pPr>
            <w:r>
              <w:rPr>
                <w:rFonts w:ascii="Aptos" w:hAnsi="Aptos" w:eastAsia="MS Mincho" w:cs="Segoe UI"/>
                <w:color w:val="000000"/>
                <w:sz w:val="13"/>
                <w:szCs w:val="13"/>
                <w:lang w:val="en-GB"/>
              </w:rPr>
              <w:t xml:space="preserve">-- </w:t>
            </w: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Σωρευμένες προβλέψεις προς δάνεια προ προβλέψεων σε καθυστέρηση άνω των 90 ημερών, εξαιρουμένων των υποχρεωτικά ταξινομούμενων στην εύλογη αξία μέσω αποτελεσμάτων δανείων, τέλος χρήσης/περιόδου</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Δείκτης Κάλυψης Μη Εξυπηρετούμενων Ανοιγμάτων</w:t>
            </w:r>
          </w:p>
        </w:tc>
        <w:tc>
          <w:tcPr>
            <w:tcW w:w="1134" w:type="dxa"/>
            <w:shd w:val="clear" w:color="auto" w:fill="FFFFFF" w:themeFill="background1"/>
            <w:noWrap/>
            <w:vAlign w:val="center"/>
          </w:tcPr>
          <w:p>
            <w:pPr>
              <w:rPr>
                <w:rFonts w:ascii="Aptos" w:hAnsi="Aptos" w:eastAsia="MS Mincho" w:cs="Segoe UI"/>
                <w:color w:val="000000"/>
                <w:sz w:val="13"/>
                <w:szCs w:val="13"/>
                <w:lang w:val="en-GB"/>
              </w:rPr>
            </w:pPr>
            <w:r>
              <w:rPr>
                <w:rFonts w:ascii="Aptos" w:hAnsi="Aptos" w:eastAsia="MS Mincho" w:cs="Segoe UI"/>
                <w:color w:val="000000"/>
                <w:sz w:val="13"/>
                <w:szCs w:val="13"/>
              </w:rPr>
              <w:t>Δείκτης κάλυψης ΜΕΑ</w:t>
            </w:r>
          </w:p>
        </w:tc>
        <w:tc>
          <w:tcPr>
            <w:tcW w:w="6951"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Σωρευμένες προβλέψεις προς Μη Εξυπηρετούμενα Ανοίγματα, εξαιρουμένων των υποχρεωτικά ταξινομούμενων στην εύλογη αξία μέσω αποτελεσμάτων δανείων, τέλος χρήσης / περιόδου</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Δείκτης Κάλυψης Ρευστότητας (</w:t>
            </w:r>
            <w:r>
              <w:rPr>
                <w:rFonts w:ascii="Aptos" w:hAnsi="Aptos" w:eastAsia="MS Mincho" w:cs="Segoe UI"/>
                <w:color w:val="000000"/>
                <w:sz w:val="13"/>
                <w:szCs w:val="13"/>
                <w:lang w:val="en-US"/>
              </w:rPr>
              <w:t>Liquidity</w:t>
            </w:r>
            <w:r>
              <w:rPr>
                <w:rFonts w:ascii="Aptos" w:hAnsi="Aptos" w:eastAsia="MS Mincho" w:cs="Segoe UI"/>
                <w:color w:val="000000"/>
                <w:sz w:val="13"/>
                <w:szCs w:val="13"/>
              </w:rPr>
              <w:t xml:space="preserve"> </w:t>
            </w:r>
            <w:r>
              <w:rPr>
                <w:rFonts w:ascii="Aptos" w:hAnsi="Aptos" w:eastAsia="MS Mincho" w:cs="Segoe UI"/>
                <w:color w:val="000000"/>
                <w:sz w:val="13"/>
                <w:szCs w:val="13"/>
                <w:lang w:val="en-US"/>
              </w:rPr>
              <w:t>Coverage</w:t>
            </w:r>
            <w:r>
              <w:rPr>
                <w:rFonts w:ascii="Aptos" w:hAnsi="Aptos" w:eastAsia="MS Mincho" w:cs="Segoe UI"/>
                <w:color w:val="000000"/>
                <w:sz w:val="13"/>
                <w:szCs w:val="13"/>
              </w:rPr>
              <w:t xml:space="preserve"> </w:t>
            </w:r>
            <w:r>
              <w:rPr>
                <w:rFonts w:ascii="Aptos" w:hAnsi="Aptos" w:eastAsia="MS Mincho" w:cs="Segoe UI"/>
                <w:color w:val="000000"/>
                <w:sz w:val="13"/>
                <w:szCs w:val="13"/>
                <w:lang w:val="en-US"/>
              </w:rPr>
              <w:t>Ratio</w:t>
            </w:r>
            <w:r>
              <w:rPr>
                <w:rFonts w:ascii="Aptos" w:hAnsi="Aptos" w:eastAsia="MS Mincho" w:cs="Segoe UI"/>
                <w:color w:val="000000"/>
                <w:sz w:val="13"/>
                <w:szCs w:val="13"/>
              </w:rPr>
              <w:t>)</w:t>
            </w:r>
          </w:p>
        </w:tc>
        <w:tc>
          <w:tcPr>
            <w:tcW w:w="1134" w:type="dxa"/>
            <w:shd w:val="clear" w:color="auto" w:fill="F5F9F6"/>
            <w:noWrap/>
            <w:vAlign w:val="center"/>
          </w:tcPr>
          <w:p>
            <w:pPr>
              <w:rPr>
                <w:rFonts w:ascii="Aptos" w:hAnsi="Aptos" w:eastAsia="MS Mincho" w:cs="Segoe UI"/>
                <w:color w:val="000000"/>
                <w:sz w:val="13"/>
                <w:szCs w:val="13"/>
                <w:lang w:val="en-GB"/>
              </w:rPr>
            </w:pPr>
            <w:r>
              <w:rPr>
                <w:rFonts w:ascii="Aptos" w:hAnsi="Aptos" w:eastAsia="MS Mincho" w:cs="Segoe UI"/>
                <w:color w:val="000000"/>
                <w:sz w:val="13"/>
                <w:szCs w:val="13"/>
              </w:rPr>
              <w:t xml:space="preserve">Δείκτης </w:t>
            </w:r>
            <w:r>
              <w:rPr>
                <w:rFonts w:ascii="Aptos" w:hAnsi="Aptos" w:eastAsia="MS Mincho" w:cs="Segoe UI"/>
                <w:color w:val="000000"/>
                <w:sz w:val="13"/>
                <w:szCs w:val="13"/>
                <w:lang w:val="en-US"/>
              </w:rPr>
              <w:t>LCR</w:t>
            </w: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Ο Δείκτης Κάλυψης Ρευστότητας ισούται με τον δείκτη του αποθέματος ασφαλείας ρευστότητας του πιστωτικού ιδρύματος προς τις καθαρές εκροές ρευστότητάς του κατά τη διάρκεια μιας περιόδου ακραίων συνθηκών 30 ημερολογιακών ημερών, σύμφωνα με τον Κανονισμό (ΕΕ) 2015/61 </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Δείκτης Κόστους προς Λειτουργικά Έσοδα</w:t>
            </w:r>
          </w:p>
        </w:tc>
        <w:tc>
          <w:tcPr>
            <w:tcW w:w="1134" w:type="dxa"/>
            <w:shd w:val="clear" w:color="auto" w:fill="FFFFFF" w:themeFill="background1"/>
            <w:noWrap/>
            <w:vAlign w:val="center"/>
          </w:tcPr>
          <w:p>
            <w:pPr>
              <w:rPr>
                <w:rFonts w:ascii="Aptos" w:hAnsi="Aptos" w:eastAsia="MS Mincho" w:cs="Segoe UI"/>
                <w:color w:val="000000"/>
                <w:sz w:val="13"/>
                <w:szCs w:val="13"/>
                <w:lang w:val="en-GB"/>
              </w:rPr>
            </w:pPr>
            <w:r>
              <w:rPr>
                <w:rFonts w:ascii="Aptos" w:hAnsi="Aptos" w:eastAsia="MS Mincho" w:cs="Segoe UI"/>
                <w:color w:val="000000"/>
                <w:sz w:val="13"/>
                <w:szCs w:val="13"/>
                <w:lang w:val="en-GB"/>
              </w:rPr>
              <w:t>--</w:t>
            </w:r>
          </w:p>
        </w:tc>
        <w:tc>
          <w:tcPr>
            <w:tcW w:w="6951"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Λειτουργικά έξοδα προς καθαρά λειτουργικά έσοδα </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Δείκτης Κόστους προς Οργανικά Έσοδα</w:t>
            </w:r>
          </w:p>
        </w:tc>
        <w:tc>
          <w:tcPr>
            <w:tcW w:w="1134" w:type="dxa"/>
            <w:shd w:val="clear" w:color="auto" w:fill="F5F9F6"/>
            <w:noWrap/>
            <w:vAlign w:val="center"/>
          </w:tcPr>
          <w:p>
            <w:pPr>
              <w:rPr>
                <w:rFonts w:ascii="Aptos" w:hAnsi="Aptos" w:eastAsia="MS Mincho" w:cs="Segoe UI"/>
                <w:color w:val="000000"/>
                <w:sz w:val="13"/>
                <w:szCs w:val="13"/>
                <w:lang w:val="en-GB"/>
              </w:rPr>
            </w:pPr>
            <w:r>
              <w:rPr>
                <w:rFonts w:ascii="Aptos" w:hAnsi="Aptos" w:eastAsia="MS Mincho" w:cs="Segoe UI"/>
                <w:color w:val="000000"/>
                <w:sz w:val="13"/>
                <w:szCs w:val="13"/>
                <w:lang w:val="en-GB"/>
              </w:rPr>
              <w:t>--</w:t>
            </w: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Λειτουργικά έξοδα προς οργανικά έσοδα</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Δείκτης Κεφαλαίου Κοινών Μετοχών Κατηγορίας 1 («Common Equity Tier 1», «CET1») 1 </w:t>
            </w:r>
          </w:p>
        </w:tc>
        <w:tc>
          <w:tcPr>
            <w:tcW w:w="1134"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Δείκτης </w:t>
            </w:r>
            <w:r>
              <w:rPr>
                <w:rFonts w:ascii="Aptos" w:hAnsi="Aptos" w:eastAsia="MS Mincho" w:cs="Segoe UI"/>
                <w:color w:val="000000"/>
                <w:sz w:val="13"/>
                <w:szCs w:val="13"/>
                <w:lang w:val="en-GB"/>
              </w:rPr>
              <w:t>CET</w:t>
            </w:r>
            <w:r>
              <w:rPr>
                <w:rFonts w:ascii="Aptos" w:hAnsi="Aptos" w:eastAsia="MS Mincho" w:cs="Segoe UI"/>
                <w:color w:val="000000"/>
                <w:sz w:val="13"/>
                <w:szCs w:val="13"/>
              </w:rPr>
              <w:t>1</w:t>
            </w:r>
          </w:p>
        </w:tc>
        <w:tc>
          <w:tcPr>
            <w:tcW w:w="6951"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Μέσα κεφαλαίου κοινών μετοχών κατηγορίας 1, με εφαρμογή των διατάξεων του Κανονισμού (EU) 575/2013 και των εποπτικών μεταβατικών ρυθμίσεων για την επίδραση του ΔΠΧΑ 9, αναφορικά με τα σταθμισμένα στοιχεία Ενεργητικού, ενσωματώνοντας τα κέρδη περιόδου</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Δείκτης Κεφαλαίου Κοινών Μετοχών Κατηγορίας 1 με πλήρη εφαρμογή του ΔΠΧΑ9 (“CET1 fully loaded”)</w:t>
            </w:r>
          </w:p>
        </w:tc>
        <w:tc>
          <w:tcPr>
            <w:tcW w:w="1134"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Δείκτης </w:t>
            </w:r>
            <w:r>
              <w:rPr>
                <w:rFonts w:ascii="Aptos" w:hAnsi="Aptos" w:eastAsia="MS Mincho" w:cs="Segoe UI"/>
                <w:color w:val="000000"/>
                <w:sz w:val="13"/>
                <w:szCs w:val="13"/>
                <w:lang w:val="en-GB"/>
              </w:rPr>
              <w:t>CET</w:t>
            </w:r>
            <w:r>
              <w:rPr>
                <w:rFonts w:ascii="Aptos" w:hAnsi="Aptos" w:eastAsia="MS Mincho" w:cs="Segoe UI"/>
                <w:color w:val="000000"/>
                <w:sz w:val="13"/>
                <w:szCs w:val="13"/>
              </w:rPr>
              <w:t xml:space="preserve">1 </w:t>
            </w:r>
            <w:r>
              <w:rPr>
                <w:rFonts w:ascii="Aptos" w:hAnsi="Aptos" w:eastAsia="MS Mincho" w:cs="Segoe UI"/>
                <w:color w:val="000000"/>
                <w:sz w:val="13"/>
                <w:szCs w:val="13"/>
                <w:lang w:val="en-GB"/>
              </w:rPr>
              <w:t>FL</w:t>
            </w: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Μέσα κεφαλαίου κοινών μετοχών κατηγορίας 1, με εφαρμογή των διατάξεων του Κανονισμού (EU) 575/2013, χωρίς την εφαρμογή των εποπτικών μεταβατικών ρυθμίσεων για την επίδραση του ΔΠΧΑ 9, αναφορικά με τα σταθμισμένα στοιχεία Ενεργητικού, ενσωματώνοντας τα κέρδη περιόδου</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Δείκτης Μη</w:t>
            </w:r>
            <w:r>
              <w:rPr>
                <w:rFonts w:ascii="Aptos" w:hAnsi="Aptos" w:eastAsia="MS Mincho" w:cs="Segoe UI"/>
                <w:color w:val="000000"/>
                <w:sz w:val="13"/>
                <w:szCs w:val="13"/>
                <w:lang w:val="en-GB"/>
              </w:rPr>
              <w:t xml:space="preserve"> </w:t>
            </w:r>
            <w:r>
              <w:rPr>
                <w:rFonts w:ascii="Aptos" w:hAnsi="Aptos" w:eastAsia="MS Mincho" w:cs="Segoe UI"/>
                <w:color w:val="000000"/>
                <w:sz w:val="13"/>
                <w:szCs w:val="13"/>
              </w:rPr>
              <w:t>Εξυπηρετούμενων</w:t>
            </w:r>
            <w:r>
              <w:rPr>
                <w:rFonts w:ascii="Aptos" w:hAnsi="Aptos" w:eastAsia="MS Mincho" w:cs="Segoe UI"/>
                <w:color w:val="000000"/>
                <w:sz w:val="13"/>
                <w:szCs w:val="13"/>
                <w:lang w:val="en-GB"/>
              </w:rPr>
              <w:t xml:space="preserve"> </w:t>
            </w:r>
            <w:r>
              <w:rPr>
                <w:rFonts w:ascii="Aptos" w:hAnsi="Aptos" w:eastAsia="MS Mincho" w:cs="Segoe UI"/>
                <w:color w:val="000000"/>
                <w:sz w:val="13"/>
                <w:szCs w:val="13"/>
              </w:rPr>
              <w:t>Ανοιγμάτων</w:t>
            </w:r>
          </w:p>
        </w:tc>
        <w:tc>
          <w:tcPr>
            <w:tcW w:w="1134"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Δείκτης ΜΕΑ </w:t>
            </w:r>
          </w:p>
        </w:tc>
        <w:tc>
          <w:tcPr>
            <w:tcW w:w="6951"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Μη Εξυπηρετούμενα Ανοίγματα προς δάνεια και απαιτήσεις κατά πελατών σε αποσβεσμένο κόστος προ προβλέψεων ΑΠΖ και δάνεια και απαιτήσεις κατά πελατών επιμετρούμενων υποχρεωτικά σε ΕΑΜΑ, τέλος χρήσης / περιόδου, εξαιρουμένης της σύμβασης αγοράς &amp; επαναπώλησης χρεογράφου σύντομης διάρκειας ύψους ~€3 δισ.</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Διεθνείς δραστηριότητες</w:t>
            </w:r>
          </w:p>
        </w:tc>
        <w:tc>
          <w:tcPr>
            <w:tcW w:w="1134" w:type="dxa"/>
            <w:shd w:val="clear" w:color="auto" w:fill="F5F9F6"/>
            <w:noWrap/>
            <w:vAlign w:val="center"/>
          </w:tcPr>
          <w:p>
            <w:pPr>
              <w:rPr>
                <w:rFonts w:ascii="Aptos" w:hAnsi="Aptos" w:eastAsia="MS Mincho" w:cs="Segoe UI"/>
                <w:color w:val="000000"/>
                <w:sz w:val="13"/>
                <w:szCs w:val="13"/>
              </w:rPr>
            </w:pP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Οι διεθνείς (συνεχιζόμενες) δραστηριότητες περιλαμβάνουν τις δραστηριότητες του Ομίλου στη Βόρεια Μακεδονία (Stopanska </w:t>
            </w:r>
            <w:r>
              <w:rPr>
                <w:rFonts w:ascii="Aptos" w:hAnsi="Aptos" w:eastAsia="MS Mincho" w:cs="Segoe UI"/>
                <w:color w:val="000000"/>
                <w:sz w:val="13"/>
                <w:szCs w:val="13"/>
                <w:lang w:val="en-US"/>
              </w:rPr>
              <w:t>Banka</w:t>
            </w:r>
            <w:r>
              <w:rPr>
                <w:rFonts w:ascii="Aptos" w:hAnsi="Aptos" w:eastAsia="MS Mincho" w:cs="Segoe UI"/>
                <w:color w:val="000000"/>
                <w:sz w:val="13"/>
                <w:szCs w:val="13"/>
              </w:rPr>
              <w:t xml:space="preserve">, </w:t>
            </w:r>
            <w:r>
              <w:rPr>
                <w:rFonts w:ascii="Aptos" w:hAnsi="Aptos" w:eastAsia="MS Mincho" w:cs="Segoe UI"/>
                <w:color w:val="000000"/>
                <w:sz w:val="13"/>
                <w:szCs w:val="13"/>
                <w:lang w:val="en-US"/>
              </w:rPr>
              <w:t>Stopanska</w:t>
            </w:r>
            <w:r>
              <w:rPr>
                <w:rFonts w:ascii="Aptos" w:hAnsi="Aptos" w:eastAsia="MS Mincho" w:cs="Segoe UI"/>
                <w:color w:val="000000"/>
                <w:sz w:val="13"/>
                <w:szCs w:val="13"/>
              </w:rPr>
              <w:t xml:space="preserve"> </w:t>
            </w:r>
            <w:r>
              <w:rPr>
                <w:rFonts w:ascii="Aptos" w:hAnsi="Aptos" w:eastAsia="MS Mincho" w:cs="Segoe UI"/>
                <w:color w:val="000000"/>
                <w:sz w:val="13"/>
                <w:szCs w:val="13"/>
                <w:lang w:val="en-US"/>
              </w:rPr>
              <w:t>Leasing</w:t>
            </w:r>
            <w:r>
              <w:rPr>
                <w:rFonts w:ascii="Aptos" w:hAnsi="Aptos" w:eastAsia="MS Mincho" w:cs="Segoe UI"/>
                <w:color w:val="000000"/>
                <w:sz w:val="13"/>
                <w:szCs w:val="13"/>
              </w:rPr>
              <w:t xml:space="preserve">) και Κύπρο (ΕΤΕ Κύπρου) </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auto"/>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Εκταμιεύσεις </w:t>
            </w:r>
          </w:p>
        </w:tc>
        <w:tc>
          <w:tcPr>
            <w:tcW w:w="1134" w:type="dxa"/>
            <w:shd w:val="clear" w:color="auto" w:fill="auto"/>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w:t>
            </w:r>
          </w:p>
        </w:tc>
        <w:tc>
          <w:tcPr>
            <w:tcW w:w="6951" w:type="dxa"/>
            <w:shd w:val="clear" w:color="auto" w:fill="auto"/>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Εκταμιεύσεις δανείων της περιόδου / έτους, μη λαμβάνοντας υπόψη τις αποπληρωμές ανακυκλούμενων κεφαλαίων κίνησης και την αύξηση αχρησιμοποίητων πιστωτικών ορίων</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Ενσώματα Ίδια Κεφάλαια</w:t>
            </w:r>
          </w:p>
        </w:tc>
        <w:tc>
          <w:tcPr>
            <w:tcW w:w="1134"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w:t>
            </w: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Ίδια κεφάλαια μετόχων Τράπεζας μείον υπεραξία επιχειρήσεων, λογισμικό και λοιπά άυλα</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auto"/>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Εξυπηρετούμενα Ανοίγματα</w:t>
            </w:r>
          </w:p>
        </w:tc>
        <w:tc>
          <w:tcPr>
            <w:tcW w:w="1134" w:type="dxa"/>
            <w:shd w:val="clear" w:color="auto" w:fill="auto"/>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w:t>
            </w:r>
          </w:p>
        </w:tc>
        <w:tc>
          <w:tcPr>
            <w:tcW w:w="6951" w:type="dxa"/>
            <w:shd w:val="clear" w:color="auto" w:fill="auto"/>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Δάνεια προ προβλέψεων μείον Μη Εξυπηρετούμενα Ανοίγματα, εξαιρουμένης της σύμβασης αγοράς &amp; επαναπώλησης χρεογράφου σύντομης διάρκειας ύψους ~€1 δισ. το Δ’ τρίμηνο 2023 και ~€3 δισ. μεταξύ Δ’ τριμήνου 2022 και Γ’ τριμήνου 2023</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Έσοδα ή κέρδη (έξοδα ή ζημίες) από Χρηματ/κες Πράξεις &amp; Λοιπά Έσοδα (Έξοδα) / Μη Οργανικά Έσοδα</w:t>
            </w:r>
          </w:p>
        </w:tc>
        <w:tc>
          <w:tcPr>
            <w:tcW w:w="1134" w:type="dxa"/>
            <w:shd w:val="clear" w:color="auto" w:fill="F5F9F6"/>
            <w:noWrap/>
            <w:vAlign w:val="center"/>
          </w:tcPr>
          <w:p>
            <w:pPr>
              <w:rPr>
                <w:rFonts w:ascii="Aptos" w:hAnsi="Aptos" w:eastAsia="MS Mincho" w:cs="Segoe UI"/>
                <w:color w:val="000000"/>
                <w:sz w:val="13"/>
                <w:szCs w:val="13"/>
                <w:lang w:val="en-GB"/>
              </w:rPr>
            </w:pPr>
            <w:r>
              <w:rPr>
                <w:rFonts w:ascii="Aptos" w:hAnsi="Aptos" w:eastAsia="MS Mincho" w:cs="Segoe UI"/>
                <w:color w:val="000000"/>
                <w:sz w:val="13"/>
                <w:szCs w:val="13"/>
                <w:lang w:val="en-GB"/>
              </w:rPr>
              <w:t>--</w:t>
            </w: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Αποτελέσματα χρηματοοικονομικών πράξεων &amp; τίτλων επενδυτικού χαρτοφυλακίου {«έσοδα ή κέρδη (έξοδα ή ζημίες) από χρηματοοικονομικές πράξεις»)+ αναλογία του κέρδους ή της ζημίας από επενδύσεις με τη μέθοδο της καθαρής θέσης + καθαρά λοιπά έσοδα / (έξοδα) {«λοιπά έσοδα (έξοδα)»}, εξαιρουμένων λοιπών μη επαναλαμβανόμενων καθαρών εσόδων ύψους €21 εκατ. το Δ’ τρίμηνο 2023 και του κέρδους από την πώληση ποσοστού 51% της NBG Pay στην EVO Payments ύψους €297 εκατ. </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auto"/>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Ίδια Κεφάλαια</w:t>
            </w:r>
          </w:p>
        </w:tc>
        <w:tc>
          <w:tcPr>
            <w:tcW w:w="1134" w:type="dxa"/>
            <w:shd w:val="clear" w:color="auto" w:fill="auto"/>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w:t>
            </w:r>
          </w:p>
        </w:tc>
        <w:tc>
          <w:tcPr>
            <w:tcW w:w="6951" w:type="dxa"/>
            <w:shd w:val="clear" w:color="auto" w:fill="auto"/>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Ίδια κεφάλαια μετόχων Τράπεζας </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Ισολογισμός </w:t>
            </w:r>
          </w:p>
        </w:tc>
        <w:tc>
          <w:tcPr>
            <w:tcW w:w="1134"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w:t>
            </w: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Κατάσταση χρηματοοικονομικής θέσης</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auto"/>
            <w:noWrap/>
            <w:vAlign w:val="center"/>
          </w:tcPr>
          <w:p>
            <w:pPr>
              <w:rPr>
                <w:rFonts w:ascii="Aptos" w:hAnsi="Aptos" w:eastAsia="MS Mincho" w:cs="Segoe UI"/>
                <w:color w:val="000000"/>
                <w:sz w:val="13"/>
                <w:szCs w:val="13"/>
                <w:lang w:val="en-GB"/>
              </w:rPr>
            </w:pPr>
            <w:r>
              <w:rPr>
                <w:rFonts w:ascii="Aptos" w:hAnsi="Aptos" w:eastAsia="MS Mincho" w:cs="Segoe UI"/>
                <w:color w:val="000000"/>
                <w:sz w:val="13"/>
                <w:szCs w:val="13"/>
              </w:rPr>
              <w:t>Καθαρό Επιτοκιακό Περιθώριο</w:t>
            </w:r>
          </w:p>
        </w:tc>
        <w:tc>
          <w:tcPr>
            <w:tcW w:w="1134" w:type="dxa"/>
            <w:shd w:val="clear" w:color="auto" w:fill="auto"/>
            <w:noWrap/>
            <w:vAlign w:val="center"/>
          </w:tcPr>
          <w:p>
            <w:pPr>
              <w:rPr>
                <w:rFonts w:ascii="Aptos" w:hAnsi="Aptos" w:eastAsia="MS Mincho" w:cs="Segoe UI"/>
                <w:color w:val="000000"/>
                <w:sz w:val="13"/>
                <w:szCs w:val="13"/>
                <w:lang w:val="en-GB"/>
              </w:rPr>
            </w:pPr>
            <w:r>
              <w:rPr>
                <w:rFonts w:ascii="Aptos" w:hAnsi="Aptos" w:eastAsia="MS Mincho" w:cs="Segoe UI"/>
                <w:color w:val="000000"/>
                <w:sz w:val="13"/>
                <w:szCs w:val="13"/>
                <w:lang w:val="en-GB"/>
              </w:rPr>
              <w:t>--</w:t>
            </w:r>
          </w:p>
        </w:tc>
        <w:tc>
          <w:tcPr>
            <w:tcW w:w="6951" w:type="dxa"/>
            <w:shd w:val="clear" w:color="auto" w:fill="auto"/>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Καθαρά έσοδα από τόκους προς το μέσο όρο του συνόλου των στοιχείων του ενεργητικού. Το καθαρό επιτοκιακό περιθώριο ισούται με τα καθαρά έσοδα από τόκους προς το μέσο όρο του συνόλου των στοιχείων του ενεργητικού σε μηνιαία βάση</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Καθαρή θέση στη Διατραπεζική Αγορά  </w:t>
            </w:r>
          </w:p>
        </w:tc>
        <w:tc>
          <w:tcPr>
            <w:tcW w:w="1134" w:type="dxa"/>
            <w:shd w:val="clear" w:color="auto" w:fill="F5F9F6"/>
            <w:noWrap/>
            <w:vAlign w:val="center"/>
          </w:tcPr>
          <w:p>
            <w:pPr>
              <w:rPr>
                <w:rFonts w:ascii="Aptos" w:hAnsi="Aptos" w:eastAsia="MS Mincho" w:cs="Segoe UI"/>
                <w:color w:val="000000"/>
                <w:sz w:val="13"/>
                <w:szCs w:val="13"/>
                <w:lang w:val="en-GB"/>
              </w:rPr>
            </w:pPr>
            <w:r>
              <w:rPr>
                <w:rFonts w:ascii="Aptos" w:hAnsi="Aptos" w:eastAsia="MS Mincho" w:cs="Segoe UI"/>
                <w:color w:val="000000"/>
                <w:sz w:val="13"/>
                <w:szCs w:val="13"/>
                <w:lang w:val="en-GB"/>
              </w:rPr>
              <w:t>--</w:t>
            </w: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Απαιτήσεις κατά χρηματοπιστωτικών ιδρυμάτων μείον υποχρεώσεις προς χρηματοπιστωτικά ιδρύματα, εξαιρουμένου του Προγράμματος </w:t>
            </w:r>
            <w:r>
              <w:rPr>
                <w:rFonts w:ascii="Aptos" w:hAnsi="Aptos" w:eastAsia="MS Mincho" w:cs="Segoe UI"/>
                <w:color w:val="000000"/>
                <w:sz w:val="13"/>
                <w:szCs w:val="13"/>
                <w:lang w:val="en-US"/>
              </w:rPr>
              <w:t>TLTRO</w:t>
            </w:r>
            <w:r>
              <w:rPr>
                <w:rFonts w:ascii="Aptos" w:hAnsi="Aptos" w:eastAsia="MS Mincho" w:cs="Segoe UI"/>
                <w:color w:val="000000"/>
                <w:sz w:val="13"/>
                <w:szCs w:val="13"/>
              </w:rPr>
              <w:t xml:space="preserve"> ΙΙΙ</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Καθαρά Ταμειακά Διαθέσιμα / Πλεονάζουσα Ρευστότητα</w:t>
            </w:r>
          </w:p>
        </w:tc>
        <w:tc>
          <w:tcPr>
            <w:tcW w:w="1134" w:type="dxa"/>
            <w:shd w:val="clear" w:color="auto" w:fill="FFFFFF" w:themeFill="background1"/>
            <w:noWrap/>
            <w:vAlign w:val="center"/>
          </w:tcPr>
          <w:p>
            <w:pPr>
              <w:rPr>
                <w:rFonts w:ascii="Aptos" w:hAnsi="Aptos" w:eastAsia="MS Mincho" w:cs="Segoe UI"/>
                <w:color w:val="000000"/>
                <w:sz w:val="13"/>
                <w:szCs w:val="13"/>
              </w:rPr>
            </w:pPr>
          </w:p>
        </w:tc>
        <w:tc>
          <w:tcPr>
            <w:tcW w:w="6951"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Ταμείο και διαθέσιμα σε Κεντρικές Τράπεζες + Απαιτήσεις κατά χρηματοπιστωτικών ιδρυμάτων, εξαιρουμένων των υποχρεώσεων προς χρηματοπιστωτικά ιδρύματα</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Καταθέσεις</w:t>
            </w:r>
            <w:r>
              <w:rPr>
                <w:rFonts w:ascii="Aptos" w:hAnsi="Aptos" w:eastAsia="MS Mincho" w:cs="Segoe UI"/>
                <w:color w:val="000000"/>
                <w:sz w:val="13"/>
                <w:szCs w:val="13"/>
                <w:lang w:val="en-GB"/>
              </w:rPr>
              <w:t xml:space="preserve"> </w:t>
            </w:r>
          </w:p>
        </w:tc>
        <w:tc>
          <w:tcPr>
            <w:tcW w:w="1134" w:type="dxa"/>
            <w:shd w:val="clear" w:color="auto" w:fill="F5F9F6"/>
            <w:noWrap/>
            <w:vAlign w:val="center"/>
          </w:tcPr>
          <w:p>
            <w:pPr>
              <w:rPr>
                <w:rFonts w:ascii="Aptos" w:hAnsi="Aptos" w:eastAsia="MS Mincho" w:cs="Segoe UI"/>
                <w:color w:val="000000"/>
                <w:sz w:val="13"/>
                <w:szCs w:val="13"/>
                <w:lang w:val="en-GB"/>
              </w:rPr>
            </w:pPr>
            <w:r>
              <w:rPr>
                <w:rFonts w:ascii="Aptos" w:hAnsi="Aptos" w:eastAsia="MS Mincho" w:cs="Segoe UI"/>
                <w:color w:val="000000"/>
                <w:sz w:val="13"/>
                <w:szCs w:val="13"/>
                <w:lang w:val="en-GB"/>
              </w:rPr>
              <w:t>--</w:t>
            </w:r>
          </w:p>
        </w:tc>
        <w:tc>
          <w:tcPr>
            <w:tcW w:w="6951" w:type="dxa"/>
            <w:shd w:val="clear" w:color="auto" w:fill="F5F9F6"/>
            <w:noWrap/>
            <w:vAlign w:val="center"/>
          </w:tcPr>
          <w:p>
            <w:pPr>
              <w:rPr>
                <w:rFonts w:ascii="Aptos" w:hAnsi="Aptos" w:eastAsia="MS Mincho" w:cs="Segoe UI"/>
                <w:color w:val="000000"/>
                <w:sz w:val="13"/>
                <w:szCs w:val="13"/>
                <w:lang w:val="en-GB"/>
              </w:rPr>
            </w:pPr>
            <w:r>
              <w:rPr>
                <w:rFonts w:ascii="Aptos" w:hAnsi="Aptos" w:eastAsia="MS Mincho" w:cs="Segoe UI"/>
                <w:color w:val="000000"/>
                <w:sz w:val="13"/>
                <w:szCs w:val="13"/>
                <w:lang w:val="en-GB"/>
              </w:rPr>
              <w:t>Υποχρεώσεις προς πελάτες</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Κέρδη προ Προβλέψεων</w:t>
            </w:r>
          </w:p>
        </w:tc>
        <w:tc>
          <w:tcPr>
            <w:tcW w:w="1134"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w:t>
            </w:r>
          </w:p>
        </w:tc>
        <w:tc>
          <w:tcPr>
            <w:tcW w:w="6951"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Καθαρά λειτουργικά έσοδα μείον λειτουργικά έξοδα προ προβλέψεων</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lang w:val="en-GB"/>
              </w:rPr>
            </w:pPr>
            <w:r>
              <w:rPr>
                <w:rFonts w:ascii="Aptos" w:hAnsi="Aptos"/>
                <w:sz w:val="13"/>
                <w:szCs w:val="13"/>
              </w:rPr>
              <w:br w:type="page"/>
            </w:r>
            <w:r>
              <w:rPr>
                <w:rFonts w:ascii="Aptos" w:hAnsi="Aptos" w:eastAsia="MS Mincho" w:cs="Segoe UI"/>
                <w:color w:val="000000"/>
                <w:sz w:val="13"/>
                <w:szCs w:val="13"/>
                <w:lang w:val="en-GB"/>
              </w:rPr>
              <w:t>Κόστος πιστωτικού κινδύνου</w:t>
            </w:r>
          </w:p>
        </w:tc>
        <w:tc>
          <w:tcPr>
            <w:tcW w:w="1134"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w:t>
            </w:r>
          </w:p>
        </w:tc>
        <w:tc>
          <w:tcPr>
            <w:tcW w:w="6951" w:type="dxa"/>
            <w:shd w:val="clear" w:color="auto" w:fill="F5F9F6"/>
            <w:noWrap/>
            <w:vAlign w:val="center"/>
          </w:tcPr>
          <w:p>
            <w:pPr>
              <w:rPr>
                <w:rFonts w:ascii="Aptos" w:hAnsi="Aptos" w:eastAsia="MS Mincho" w:cs="Segoe UI"/>
                <w:b/>
                <w:bCs/>
                <w:color w:val="000000"/>
                <w:sz w:val="13"/>
                <w:szCs w:val="13"/>
              </w:rPr>
            </w:pPr>
            <w:r>
              <w:rPr>
                <w:rFonts w:ascii="Aptos" w:hAnsi="Aptos" w:eastAsia="MS Mincho" w:cs="Segoe UI"/>
                <w:color w:val="000000"/>
                <w:sz w:val="13"/>
                <w:szCs w:val="13"/>
              </w:rPr>
              <w:t>Προβλέψεις απομείωσης για ΑΠΖ για το τέλος της χρήσης ή της περιόδου ετησιοποιημένες προς μέσο όρο δανείων μετά από προβλέψεις, εξαιρουμένης της σύμβασης αγοράς &amp; επαναπώλησης χρεογράφου σύντομης διάρκειας ύψους ~€1 δισ. το Δ’ τρίμηνο 2023 και ~€3 δισ. μεταξύ Δ’ τριμήνου 2022 και Γ’ τριμήνου 2023</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Λειτουργικά ή Συνολικά Έσοδα</w:t>
            </w:r>
          </w:p>
        </w:tc>
        <w:tc>
          <w:tcPr>
            <w:tcW w:w="1134" w:type="dxa"/>
            <w:shd w:val="clear" w:color="auto" w:fill="FFFFFF" w:themeFill="background1"/>
            <w:noWrap/>
            <w:vAlign w:val="center"/>
          </w:tcPr>
          <w:p>
            <w:pPr>
              <w:rPr>
                <w:rFonts w:ascii="Aptos" w:hAnsi="Aptos" w:eastAsia="MS Mincho" w:cs="Segoe UI"/>
                <w:color w:val="000000"/>
                <w:sz w:val="13"/>
                <w:szCs w:val="13"/>
              </w:rPr>
            </w:pPr>
          </w:p>
        </w:tc>
        <w:tc>
          <w:tcPr>
            <w:tcW w:w="6951"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Καθαρά λειτουργικά έσοδα</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sz w:val="13"/>
                <w:szCs w:val="13"/>
              </w:rPr>
              <w:br w:type="page"/>
            </w:r>
            <w:r>
              <w:rPr>
                <w:rFonts w:ascii="Aptos" w:hAnsi="Aptos"/>
                <w:sz w:val="13"/>
                <w:szCs w:val="13"/>
              </w:rPr>
              <w:br w:type="page"/>
            </w:r>
            <w:r>
              <w:rPr>
                <w:rFonts w:ascii="Aptos" w:hAnsi="Aptos" w:eastAsia="MS Mincho" w:cs="Segoe UI"/>
                <w:color w:val="000000"/>
                <w:sz w:val="13"/>
                <w:szCs w:val="13"/>
              </w:rPr>
              <w:t>Λειτουργικά ή Συνολικά Έξοδα / Δαπάνες / Κόστη</w:t>
            </w:r>
          </w:p>
        </w:tc>
        <w:tc>
          <w:tcPr>
            <w:tcW w:w="1134" w:type="dxa"/>
            <w:shd w:val="clear" w:color="auto" w:fill="F5F9F6"/>
            <w:noWrap/>
            <w:vAlign w:val="center"/>
          </w:tcPr>
          <w:p>
            <w:pPr>
              <w:rPr>
                <w:rFonts w:ascii="Aptos" w:hAnsi="Aptos" w:eastAsia="MS Mincho" w:cs="Segoe UI"/>
                <w:color w:val="000000"/>
                <w:sz w:val="13"/>
                <w:szCs w:val="13"/>
                <w:lang w:val="en-GB"/>
              </w:rPr>
            </w:pPr>
            <w:r>
              <w:rPr>
                <w:rFonts w:ascii="Aptos" w:hAnsi="Aptos" w:eastAsia="MS Mincho" w:cs="Segoe UI"/>
                <w:color w:val="000000"/>
                <w:sz w:val="13"/>
                <w:szCs w:val="13"/>
                <w:lang w:val="en-GB"/>
              </w:rPr>
              <w:t>--</w:t>
            </w: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Δαπάνες προσωπικού + Γενικά διοικητικά έξοδα + Αποσβέσεις, εξαιρουμένης της ασφαλιστικής εισφοράς για τον ΛΕΠΕΤΕ στον κλάδο Επικουρικής Ασφάλισης του </w:t>
            </w:r>
            <w:r>
              <w:rPr>
                <w:rFonts w:ascii="Aptos" w:hAnsi="Aptos" w:eastAsia="MS Mincho" w:cs="Segoe UI"/>
                <w:color w:val="000000"/>
                <w:sz w:val="13"/>
                <w:szCs w:val="13"/>
                <w:lang w:val="en-US"/>
              </w:rPr>
              <w:t>e</w:t>
            </w:r>
            <w:r>
              <w:rPr>
                <w:rFonts w:ascii="Aptos" w:hAnsi="Aptos" w:eastAsia="MS Mincho" w:cs="Segoe UI"/>
                <w:color w:val="000000"/>
                <w:sz w:val="13"/>
                <w:szCs w:val="13"/>
              </w:rPr>
              <w:t xml:space="preserve">-ΕΦΚΑ και λοιπών μη επαναλαμβανόμενων δαπανών. Τα λειτουργικά έξοδα εξαιρούν την ασφαλιστική εισφορά για τον ΛΕΠΕΤΕ στο e-ΕΦΚΑ  (€35 εκατ. το 2023 &amp; 2022) και λοιπές μη επαναλαμβανόμενες δαπάνες (2023: €58 εκατ., 2022: €15 εκατ.)  </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Λειτουργικά Κέρδη / (Ζημίες)</w:t>
            </w:r>
          </w:p>
        </w:tc>
        <w:tc>
          <w:tcPr>
            <w:tcW w:w="1134"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w:t>
            </w:r>
          </w:p>
        </w:tc>
        <w:tc>
          <w:tcPr>
            <w:tcW w:w="6951"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Καθαρά λειτουργικά έσοδα μείον λειτουργικά έξοδα, προβλέψεις απομείωσης για ΑΠΖ και λοιπές προβλέψεις</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lang w:val="en-US"/>
              </w:rPr>
              <w:t>MREL</w:t>
            </w:r>
          </w:p>
        </w:tc>
        <w:tc>
          <w:tcPr>
            <w:tcW w:w="1134"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lang w:val="en-US"/>
              </w:rPr>
              <w:t>--</w:t>
            </w: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Ελάχιστη απαίτηση ιδίων κεφαλαίων και επιλέξιμων υποχρεώσεων </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Μη Εξυπηρετούμενα Ανοίγματα (</w:t>
            </w:r>
            <w:r>
              <w:rPr>
                <w:rFonts w:ascii="Aptos" w:hAnsi="Aptos" w:eastAsia="MS Mincho" w:cs="Segoe UI"/>
                <w:color w:val="000000"/>
                <w:sz w:val="13"/>
                <w:szCs w:val="13"/>
                <w:lang w:val="en-US"/>
              </w:rPr>
              <w:t>Non</w:t>
            </w:r>
            <w:r>
              <w:rPr>
                <w:rFonts w:ascii="Aptos" w:hAnsi="Aptos" w:eastAsia="MS Mincho" w:cs="Segoe UI"/>
                <w:color w:val="000000"/>
                <w:sz w:val="13"/>
                <w:szCs w:val="13"/>
              </w:rPr>
              <w:t>-</w:t>
            </w:r>
            <w:r>
              <w:rPr>
                <w:rFonts w:ascii="Aptos" w:hAnsi="Aptos" w:eastAsia="MS Mincho" w:cs="Segoe UI"/>
                <w:color w:val="000000"/>
                <w:sz w:val="13"/>
                <w:szCs w:val="13"/>
                <w:lang w:val="en-US"/>
              </w:rPr>
              <w:t>Performing</w:t>
            </w:r>
            <w:r>
              <w:rPr>
                <w:rFonts w:ascii="Aptos" w:hAnsi="Aptos" w:eastAsia="MS Mincho" w:cs="Segoe UI"/>
                <w:color w:val="000000"/>
                <w:sz w:val="13"/>
                <w:szCs w:val="13"/>
              </w:rPr>
              <w:t xml:space="preserve"> </w:t>
            </w:r>
            <w:r>
              <w:rPr>
                <w:rFonts w:ascii="Aptos" w:hAnsi="Aptos" w:eastAsia="MS Mincho" w:cs="Segoe UI"/>
                <w:color w:val="000000"/>
                <w:sz w:val="13"/>
                <w:szCs w:val="13"/>
                <w:lang w:val="en-US"/>
              </w:rPr>
              <w:t>Exposures</w:t>
            </w:r>
            <w:r>
              <w:rPr>
                <w:rFonts w:ascii="Aptos" w:hAnsi="Aptos" w:eastAsia="MS Mincho" w:cs="Segoe UI"/>
                <w:color w:val="000000"/>
                <w:sz w:val="13"/>
                <w:szCs w:val="13"/>
              </w:rPr>
              <w:t xml:space="preserve"> – </w:t>
            </w:r>
            <w:r>
              <w:rPr>
                <w:rFonts w:ascii="Aptos" w:hAnsi="Aptos" w:eastAsia="MS Mincho" w:cs="Segoe UI"/>
                <w:color w:val="000000"/>
                <w:sz w:val="13"/>
                <w:szCs w:val="13"/>
                <w:lang w:val="en-US"/>
              </w:rPr>
              <w:t>NPEs</w:t>
            </w:r>
            <w:r>
              <w:rPr>
                <w:rFonts w:ascii="Aptos" w:hAnsi="Aptos" w:eastAsia="MS Mincho" w:cs="Segoe UI"/>
                <w:color w:val="000000"/>
                <w:sz w:val="13"/>
                <w:szCs w:val="13"/>
              </w:rPr>
              <w:t>)</w:t>
            </w:r>
          </w:p>
        </w:tc>
        <w:tc>
          <w:tcPr>
            <w:tcW w:w="1134"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ΜΕΑ </w:t>
            </w:r>
          </w:p>
        </w:tc>
        <w:tc>
          <w:tcPr>
            <w:tcW w:w="6951"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Σύμφωνα με τους ορισμούς της Ευρωπαϊκής Αρχής Τραπεζών (EBA, ITS Τechnical Standards) ως μη εξυπηρετούμενα ορίζονται τα ανοίγματα που πληρούν μία εκ ή και τις δύο κάτωθι προϋποθέσεις: (</w:t>
            </w:r>
            <w:r>
              <w:rPr>
                <w:rFonts w:ascii="Aptos" w:hAnsi="Aptos" w:eastAsia="MS Mincho" w:cs="Segoe UI"/>
                <w:color w:val="000000"/>
                <w:sz w:val="13"/>
                <w:szCs w:val="13"/>
                <w:lang w:val="en-US"/>
              </w:rPr>
              <w:t>i</w:t>
            </w:r>
            <w:r>
              <w:rPr>
                <w:rFonts w:ascii="Aptos" w:hAnsi="Aptos" w:eastAsia="MS Mincho" w:cs="Segoe UI"/>
                <w:color w:val="000000"/>
                <w:sz w:val="13"/>
                <w:szCs w:val="13"/>
              </w:rPr>
              <w:t>) σημαντικά ανοίγματα με καθυστέρηση μεγαλύτερη των 90 ημερών και (</w:t>
            </w:r>
            <w:r>
              <w:rPr>
                <w:rFonts w:ascii="Aptos" w:hAnsi="Aptos" w:eastAsia="MS Mincho" w:cs="Segoe UI"/>
                <w:color w:val="000000"/>
                <w:sz w:val="13"/>
                <w:szCs w:val="13"/>
                <w:lang w:val="en-US"/>
              </w:rPr>
              <w:t>ii</w:t>
            </w:r>
            <w:r>
              <w:rPr>
                <w:rFonts w:ascii="Aptos" w:hAnsi="Aptos" w:eastAsia="MS Mincho" w:cs="Segoe UI"/>
                <w:color w:val="000000"/>
                <w:sz w:val="13"/>
                <w:szCs w:val="13"/>
              </w:rPr>
              <w:t>) Ανοίγματα αβέβαιης πλήρους είσπραξης χωρίς τη ρευστοποίηση εξασφάλισης, ανεξαρτήτως από την ύπαρξη ποσού σε καθυστέρηση ή ημερών καθυστέρησης</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Μη Εξυπηρετούμενα Δάνεια</w:t>
            </w:r>
          </w:p>
        </w:tc>
        <w:tc>
          <w:tcPr>
            <w:tcW w:w="1134" w:type="dxa"/>
            <w:shd w:val="clear" w:color="auto" w:fill="F5F9F6"/>
            <w:noWrap/>
            <w:vAlign w:val="center"/>
          </w:tcPr>
          <w:p>
            <w:pPr>
              <w:rPr>
                <w:rFonts w:ascii="Aptos" w:hAnsi="Aptos" w:eastAsia="MS Mincho" w:cs="Segoe UI"/>
                <w:color w:val="000000"/>
                <w:sz w:val="13"/>
                <w:szCs w:val="13"/>
                <w:lang w:val="en-GB"/>
              </w:rPr>
            </w:pPr>
            <w:r>
              <w:rPr>
                <w:rFonts w:ascii="Aptos" w:hAnsi="Aptos" w:eastAsia="MS Mincho" w:cs="Segoe UI"/>
                <w:color w:val="000000"/>
                <w:sz w:val="13"/>
                <w:szCs w:val="13"/>
                <w:lang w:val="en-GB"/>
              </w:rPr>
              <w:t>--</w:t>
            </w: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Δάνεια και απαιτήσεις κατά πελατών στο αποσβεσμένο κόστος σε καθυστέρηση μεγαλύτερη των 90 ημερών</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FFFFF" w:themeFill="background1"/>
            <w:noWrap/>
            <w:vAlign w:val="center"/>
          </w:tcPr>
          <w:p>
            <w:pPr>
              <w:rPr>
                <w:rFonts w:ascii="Aptos" w:hAnsi="Aptos" w:eastAsia="MS Mincho" w:cs="Segoe UI"/>
                <w:sz w:val="13"/>
                <w:szCs w:val="13"/>
              </w:rPr>
            </w:pPr>
            <w:r>
              <w:rPr>
                <w:rFonts w:ascii="Aptos" w:hAnsi="Aptos" w:eastAsia="MS Mincho" w:cs="Segoe UI"/>
                <w:sz w:val="13"/>
                <w:szCs w:val="13"/>
              </w:rPr>
              <w:t>Οργανική Αύξηση / (Μείωση) Μη Εξυπηρετούμενων Ανοιγμάτων</w:t>
            </w:r>
          </w:p>
        </w:tc>
        <w:tc>
          <w:tcPr>
            <w:tcW w:w="1134" w:type="dxa"/>
            <w:shd w:val="clear" w:color="auto" w:fill="FFFFFF" w:themeFill="background1"/>
            <w:noWrap/>
            <w:vAlign w:val="center"/>
          </w:tcPr>
          <w:p>
            <w:pPr>
              <w:rPr>
                <w:rFonts w:ascii="Aptos" w:hAnsi="Aptos" w:eastAsia="MS Mincho" w:cs="Segoe UI"/>
                <w:sz w:val="13"/>
                <w:szCs w:val="13"/>
                <w:lang w:val="en-GB"/>
              </w:rPr>
            </w:pPr>
            <w:r>
              <w:rPr>
                <w:rFonts w:ascii="Aptos" w:hAnsi="Aptos" w:eastAsia="MS Mincho" w:cs="Segoe UI"/>
                <w:sz w:val="13"/>
                <w:szCs w:val="13"/>
                <w:lang w:val="en-GB"/>
              </w:rPr>
              <w:t>--</w:t>
            </w:r>
          </w:p>
        </w:tc>
        <w:tc>
          <w:tcPr>
            <w:tcW w:w="6951" w:type="dxa"/>
            <w:shd w:val="clear" w:color="auto" w:fill="FFFFFF" w:themeFill="background1"/>
            <w:noWrap/>
            <w:vAlign w:val="center"/>
          </w:tcPr>
          <w:p>
            <w:pPr>
              <w:rPr>
                <w:rFonts w:ascii="Aptos" w:hAnsi="Aptos" w:eastAsia="MS Mincho" w:cs="Segoe UI"/>
                <w:sz w:val="13"/>
                <w:szCs w:val="13"/>
              </w:rPr>
            </w:pPr>
            <w:r>
              <w:rPr>
                <w:rFonts w:ascii="Aptos" w:hAnsi="Aptos" w:eastAsia="MS Mincho" w:cs="Segoe UI"/>
                <w:sz w:val="13"/>
                <w:szCs w:val="13"/>
              </w:rPr>
              <w:t xml:space="preserve">Υπόλοιπο Μη Εξυπηρετούμενων Ανοιγμάτων στο τέλος χρήσης / περιόδου, προ πωλήσεων και διαγραφών </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Οργανικά Έσοδα</w:t>
            </w:r>
          </w:p>
        </w:tc>
        <w:tc>
          <w:tcPr>
            <w:tcW w:w="1134" w:type="dxa"/>
            <w:shd w:val="clear" w:color="auto" w:fill="F5F9F6"/>
            <w:noWrap/>
            <w:vAlign w:val="center"/>
          </w:tcPr>
          <w:p>
            <w:pPr>
              <w:rPr>
                <w:rFonts w:ascii="Aptos" w:hAnsi="Aptos" w:eastAsia="MS Mincho" w:cs="Segoe UI"/>
                <w:color w:val="000000"/>
                <w:sz w:val="13"/>
                <w:szCs w:val="13"/>
                <w:lang w:val="en-GB"/>
              </w:rPr>
            </w:pPr>
            <w:r>
              <w:rPr>
                <w:rFonts w:ascii="Aptos" w:hAnsi="Aptos" w:eastAsia="MS Mincho" w:cs="Segoe UI"/>
                <w:color w:val="000000"/>
                <w:sz w:val="13"/>
                <w:szCs w:val="13"/>
                <w:lang w:val="en-GB"/>
              </w:rPr>
              <w:t>--</w:t>
            </w: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Καθαρά έσοδα από τόκους + καθαρά έσοδα από προμήθειες </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Οργανικά Κέρδη ή Κερδοφορία ή Αποτέλεσμα / (Ζημίες) </w:t>
            </w:r>
          </w:p>
        </w:tc>
        <w:tc>
          <w:tcPr>
            <w:tcW w:w="1134" w:type="dxa"/>
            <w:shd w:val="clear" w:color="auto" w:fill="FFFFFF" w:themeFill="background1"/>
            <w:noWrap/>
            <w:vAlign w:val="center"/>
          </w:tcPr>
          <w:p>
            <w:pPr>
              <w:rPr>
                <w:rFonts w:ascii="Aptos" w:hAnsi="Aptos" w:eastAsia="MS Mincho" w:cs="Segoe UI"/>
                <w:color w:val="000000"/>
                <w:sz w:val="13"/>
                <w:szCs w:val="13"/>
                <w:lang w:val="en-GB"/>
              </w:rPr>
            </w:pPr>
            <w:r>
              <w:rPr>
                <w:rFonts w:ascii="Aptos" w:hAnsi="Aptos" w:eastAsia="MS Mincho" w:cs="Segoe UI"/>
                <w:color w:val="000000"/>
                <w:sz w:val="13"/>
                <w:szCs w:val="13"/>
                <w:lang w:val="en-GB"/>
              </w:rPr>
              <w:t>--</w:t>
            </w:r>
          </w:p>
        </w:tc>
        <w:tc>
          <w:tcPr>
            <w:tcW w:w="6951"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Οργανικά έσοδα μείον λειτουργικά έξοδα, προβλέψεις απομείωσης για ΑΠΖ και λοιπές προβλέψεις</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Οργανικά Κέρδη ή Κερδοφορία ή Αποτέλεσμα / (Ζημίες) μετά φόρων</w:t>
            </w:r>
          </w:p>
        </w:tc>
        <w:tc>
          <w:tcPr>
            <w:tcW w:w="1134"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lang w:val="en-GB"/>
              </w:rPr>
              <w:t>--</w:t>
            </w: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Οργανικά κέρδη μείον φόροι</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1F1F1" w:themeFill="background1" w:themeFillShade="F2"/>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Οργανικά Κέρδη / (Ζημίες) προ Προβλέψεων</w:t>
            </w:r>
          </w:p>
        </w:tc>
        <w:tc>
          <w:tcPr>
            <w:tcW w:w="1134" w:type="dxa"/>
            <w:shd w:val="clear" w:color="auto" w:fill="F1F1F1" w:themeFill="background1" w:themeFillShade="F2"/>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w:t>
            </w:r>
          </w:p>
        </w:tc>
        <w:tc>
          <w:tcPr>
            <w:tcW w:w="6951" w:type="dxa"/>
            <w:shd w:val="clear" w:color="auto" w:fill="F1F1F1" w:themeFill="background1" w:themeFillShade="F2"/>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Οργανικά έσοδα μείον λειτουργικά έξοδα</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Προβλέψεις για επισφαλή δάνεια / απαιτήσεις και λοιπές προβλέψεις</w:t>
            </w:r>
          </w:p>
        </w:tc>
        <w:tc>
          <w:tcPr>
            <w:tcW w:w="1134"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w:t>
            </w:r>
          </w:p>
        </w:tc>
        <w:tc>
          <w:tcPr>
            <w:tcW w:w="6951"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Είναι το άθροισμα των προβλέψεων απομείωσης για την κάλυψη πιστωτικού και λοιπών κινδύνων, εξαιρουμένων ΤΩΝ προβλέψεων απομείωσης για την κάλυψη πιστωτικού κινδύνου ύψους €61 εκατ. σχετιζόμενων με τη συναλλαγή </w:t>
            </w:r>
            <w:r>
              <w:rPr>
                <w:rFonts w:ascii="Aptos" w:hAnsi="Aptos" w:eastAsia="MS Mincho" w:cs="Segoe UI"/>
                <w:color w:val="000000"/>
                <w:sz w:val="13"/>
                <w:szCs w:val="13"/>
                <w:lang w:val="en-US"/>
              </w:rPr>
              <w:t>Frontier</w:t>
            </w:r>
            <w:r>
              <w:rPr>
                <w:rFonts w:ascii="Aptos" w:hAnsi="Aptos" w:eastAsia="MS Mincho" w:cs="Segoe UI"/>
                <w:color w:val="000000"/>
                <w:sz w:val="13"/>
                <w:szCs w:val="13"/>
              </w:rPr>
              <w:t xml:space="preserve"> </w:t>
            </w:r>
            <w:r>
              <w:rPr>
                <w:rFonts w:ascii="Aptos" w:hAnsi="Aptos" w:eastAsia="MS Mincho" w:cs="Segoe UI"/>
                <w:color w:val="000000"/>
                <w:sz w:val="13"/>
                <w:szCs w:val="13"/>
                <w:lang w:val="en-US"/>
              </w:rPr>
              <w:t>III</w:t>
            </w:r>
            <w:r>
              <w:rPr>
                <w:rFonts w:ascii="Aptos" w:hAnsi="Aptos" w:eastAsia="MS Mincho" w:cs="Segoe UI"/>
                <w:color w:val="000000"/>
                <w:sz w:val="13"/>
                <w:szCs w:val="13"/>
              </w:rPr>
              <w:t xml:space="preserve"> το Γ’ τρίμηνο 2023, καθώς και προβλέψεων απομείωσης για την κάλυψη λοιπών κινδύνων ύψους €23 εκατ.</w:t>
            </w:r>
            <w:r>
              <w:t xml:space="preserve"> </w:t>
            </w:r>
            <w:r>
              <w:rPr>
                <w:rFonts w:ascii="Aptos" w:hAnsi="Aptos" w:eastAsia="MS Mincho" w:cs="Segoe UI"/>
                <w:color w:val="000000"/>
                <w:sz w:val="13"/>
                <w:szCs w:val="13"/>
              </w:rPr>
              <w:t>το Δ’ τρίμηνο 2023</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Ρυθμισμένα</w:t>
            </w:r>
            <w:r>
              <w:rPr>
                <w:rFonts w:ascii="Aptos" w:hAnsi="Aptos" w:eastAsia="MS Mincho" w:cs="Segoe UI"/>
                <w:color w:val="000000"/>
                <w:sz w:val="13"/>
                <w:szCs w:val="13"/>
                <w:lang w:val="en-US"/>
              </w:rPr>
              <w:t xml:space="preserve"> </w:t>
            </w:r>
            <w:r>
              <w:rPr>
                <w:rFonts w:ascii="Aptos" w:hAnsi="Aptos" w:eastAsia="MS Mincho" w:cs="Segoe UI"/>
                <w:color w:val="000000"/>
                <w:sz w:val="13"/>
                <w:szCs w:val="13"/>
              </w:rPr>
              <w:t>δάνεια</w:t>
            </w:r>
          </w:p>
        </w:tc>
        <w:tc>
          <w:tcPr>
            <w:tcW w:w="1134"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w:t>
            </w:r>
          </w:p>
        </w:tc>
        <w:tc>
          <w:tcPr>
            <w:tcW w:w="6951" w:type="dxa"/>
            <w:shd w:val="clear" w:color="auto" w:fill="F5F9F6"/>
            <w:noWrap/>
          </w:tcPr>
          <w:p>
            <w:pPr>
              <w:rPr>
                <w:rFonts w:ascii="Aptos" w:hAnsi="Aptos" w:eastAsia="MS Mincho" w:cs="Segoe UI"/>
                <w:color w:val="000000"/>
                <w:sz w:val="13"/>
                <w:szCs w:val="13"/>
              </w:rPr>
            </w:pPr>
            <w:r>
              <w:rPr>
                <w:rFonts w:ascii="Aptos" w:hAnsi="Aptos" w:eastAsia="MS Mincho" w:cs="Segoe UI"/>
                <w:color w:val="000000"/>
                <w:sz w:val="13"/>
                <w:szCs w:val="13"/>
              </w:rPr>
              <w:t>Δάνεια για τα οποία έχουν χορηγηθεί μέτρα ρύθμισης σύμφωνα με τους ορισμούς της Ευρωπαϊκής Αρχής Τραπεζών (EBA, ITS Τechnical Standards) για τα Ρυθμισμένα και Μη Εξυπηρετούμενα Ανοίγματα</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FFFFF" w:themeFill="background1"/>
            <w:noWrap/>
            <w:vAlign w:val="center"/>
          </w:tcPr>
          <w:p>
            <w:pPr>
              <w:rPr>
                <w:rFonts w:ascii="Aptos" w:hAnsi="Aptos" w:eastAsia="MS Mincho" w:cs="Segoe UI"/>
                <w:color w:val="000000"/>
                <w:sz w:val="13"/>
                <w:szCs w:val="13"/>
                <w:lang w:val="en-US"/>
              </w:rPr>
            </w:pPr>
            <w:r>
              <w:rPr>
                <w:rFonts w:ascii="Aptos" w:hAnsi="Aptos" w:eastAsia="MS Mincho" w:cs="Segoe UI"/>
                <w:color w:val="000000"/>
                <w:sz w:val="13"/>
                <w:szCs w:val="13"/>
              </w:rPr>
              <w:t>Ρυθμισμένα</w:t>
            </w:r>
            <w:r>
              <w:rPr>
                <w:rFonts w:ascii="Aptos" w:hAnsi="Aptos" w:eastAsia="MS Mincho" w:cs="Segoe UI"/>
                <w:color w:val="000000"/>
                <w:sz w:val="13"/>
                <w:szCs w:val="13"/>
                <w:lang w:val="en-US"/>
              </w:rPr>
              <w:t xml:space="preserve"> </w:t>
            </w:r>
            <w:r>
              <w:rPr>
                <w:rFonts w:ascii="Aptos" w:hAnsi="Aptos" w:eastAsia="MS Mincho" w:cs="Segoe UI"/>
                <w:color w:val="000000"/>
                <w:sz w:val="13"/>
                <w:szCs w:val="13"/>
              </w:rPr>
              <w:t>ΜΕΑ</w:t>
            </w:r>
            <w:r>
              <w:rPr>
                <w:rFonts w:ascii="Aptos" w:hAnsi="Aptos" w:eastAsia="MS Mincho" w:cs="Segoe UI"/>
                <w:color w:val="000000"/>
                <w:sz w:val="13"/>
                <w:szCs w:val="13"/>
                <w:lang w:val="en-US"/>
              </w:rPr>
              <w:t xml:space="preserve"> (Forborne Non Performing Exposures - FNPE)</w:t>
            </w:r>
          </w:p>
        </w:tc>
        <w:tc>
          <w:tcPr>
            <w:tcW w:w="1134"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lang w:val="en-US"/>
              </w:rPr>
              <w:t>FNPEs</w:t>
            </w:r>
          </w:p>
        </w:tc>
        <w:tc>
          <w:tcPr>
            <w:tcW w:w="6951" w:type="dxa"/>
            <w:shd w:val="clear" w:color="auto" w:fill="FFFFFF" w:themeFill="background1"/>
            <w:noWrap/>
          </w:tcPr>
          <w:p>
            <w:pPr>
              <w:rPr>
                <w:rFonts w:ascii="Aptos" w:hAnsi="Aptos" w:eastAsia="MS Mincho" w:cs="Segoe UI"/>
                <w:color w:val="000000"/>
                <w:sz w:val="13"/>
                <w:szCs w:val="13"/>
              </w:rPr>
            </w:pPr>
            <w:r>
              <w:rPr>
                <w:rFonts w:ascii="Aptos" w:hAnsi="Aptos" w:eastAsia="MS Mincho" w:cs="Segoe UI"/>
                <w:color w:val="000000"/>
                <w:sz w:val="13"/>
                <w:szCs w:val="13"/>
              </w:rPr>
              <w:t>Ανοίγματα με μέτρα ρύθμισης που πληρούν τα κριτήρια των μη εξυπηρετούμενων ανοιγμάτων σύμφωνα με τους ορισμούς της Ευρωπαϊκής Αρχής Τραπεζών (</w:t>
            </w:r>
            <w:r>
              <w:rPr>
                <w:rFonts w:ascii="Aptos" w:hAnsi="Aptos" w:eastAsia="MS Mincho" w:cs="Segoe UI"/>
                <w:color w:val="000000"/>
                <w:sz w:val="13"/>
                <w:szCs w:val="13"/>
                <w:lang w:val="en-US"/>
              </w:rPr>
              <w:t>EBA</w:t>
            </w:r>
            <w:r>
              <w:rPr>
                <w:rFonts w:ascii="Aptos" w:hAnsi="Aptos" w:eastAsia="MS Mincho" w:cs="Segoe UI"/>
                <w:color w:val="000000"/>
                <w:sz w:val="13"/>
                <w:szCs w:val="13"/>
              </w:rPr>
              <w:t xml:space="preserve">, </w:t>
            </w:r>
            <w:r>
              <w:rPr>
                <w:rFonts w:ascii="Aptos" w:hAnsi="Aptos" w:eastAsia="MS Mincho" w:cs="Segoe UI"/>
                <w:color w:val="000000"/>
                <w:sz w:val="13"/>
                <w:szCs w:val="13"/>
                <w:lang w:val="en-US"/>
              </w:rPr>
              <w:t>ITS</w:t>
            </w:r>
            <w:r>
              <w:rPr>
                <w:rFonts w:ascii="Aptos" w:hAnsi="Aptos" w:eastAsia="MS Mincho" w:cs="Segoe UI"/>
                <w:color w:val="000000"/>
                <w:sz w:val="13"/>
                <w:szCs w:val="13"/>
              </w:rPr>
              <w:t xml:space="preserve"> Τ</w:t>
            </w:r>
            <w:r>
              <w:rPr>
                <w:rFonts w:ascii="Aptos" w:hAnsi="Aptos" w:eastAsia="MS Mincho" w:cs="Segoe UI"/>
                <w:color w:val="000000"/>
                <w:sz w:val="13"/>
                <w:szCs w:val="13"/>
                <w:lang w:val="en-US"/>
              </w:rPr>
              <w:t>echnical</w:t>
            </w:r>
            <w:r>
              <w:rPr>
                <w:rFonts w:ascii="Aptos" w:hAnsi="Aptos" w:eastAsia="MS Mincho" w:cs="Segoe UI"/>
                <w:color w:val="000000"/>
                <w:sz w:val="13"/>
                <w:szCs w:val="13"/>
              </w:rPr>
              <w:t xml:space="preserve"> </w:t>
            </w:r>
            <w:r>
              <w:rPr>
                <w:rFonts w:ascii="Aptos" w:hAnsi="Aptos" w:eastAsia="MS Mincho" w:cs="Segoe UI"/>
                <w:color w:val="000000"/>
                <w:sz w:val="13"/>
                <w:szCs w:val="13"/>
                <w:lang w:val="en-US"/>
              </w:rPr>
              <w:t>Standards</w:t>
            </w:r>
            <w:r>
              <w:rPr>
                <w:rFonts w:ascii="Aptos" w:hAnsi="Aptos" w:eastAsia="MS Mincho" w:cs="Segoe UI"/>
                <w:color w:val="000000"/>
                <w:sz w:val="13"/>
                <w:szCs w:val="13"/>
              </w:rPr>
              <w:t>) για τα Ρυθμισμένα και Μη Εξυπηρετούμενα Ανοίγματα</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Ρυθμισμένα Εξυπηρετούμενα Ανοίγματα (Forborne Performing Exposures – FPE)</w:t>
            </w:r>
          </w:p>
        </w:tc>
        <w:tc>
          <w:tcPr>
            <w:tcW w:w="1134"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FPEs</w:t>
            </w:r>
          </w:p>
        </w:tc>
        <w:tc>
          <w:tcPr>
            <w:tcW w:w="6951" w:type="dxa"/>
            <w:shd w:val="clear" w:color="auto" w:fill="F5F9F6"/>
            <w:noWrap/>
          </w:tcPr>
          <w:p>
            <w:pPr>
              <w:rPr>
                <w:rFonts w:ascii="Aptos" w:hAnsi="Aptos" w:eastAsia="MS Mincho" w:cs="Segoe UI"/>
                <w:color w:val="000000"/>
                <w:sz w:val="13"/>
                <w:szCs w:val="13"/>
              </w:rPr>
            </w:pPr>
            <w:r>
              <w:rPr>
                <w:rFonts w:ascii="Aptos" w:hAnsi="Aptos" w:eastAsia="MS Mincho" w:cs="Segoe UI"/>
                <w:color w:val="000000"/>
                <w:sz w:val="13"/>
                <w:szCs w:val="13"/>
              </w:rPr>
              <w:t>Ανοίγματα με μέτρα ρύθμισης που δεν πληρούν τα κριτήρια των μη εξυπηρετούμενων ανοιγμάτων σύμφωνα με τους ορισμούς της Ευρωπαϊκής Αρχής Τραπεζών (EBA, ITS Τechnical Standards) για τα Ρυθμισμένα και Μη Εξυπηρετούμενα Ανοίγματα και ρυθμισμένα ανοίγματα σε δοκιμαστική περίοδο</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Συνολικός Δείκτης Κεφαλαιακής Επάρκειας </w:t>
            </w:r>
          </w:p>
        </w:tc>
        <w:tc>
          <w:tcPr>
            <w:tcW w:w="1134" w:type="dxa"/>
            <w:shd w:val="clear" w:color="auto" w:fill="FFFFFF" w:themeFill="background1"/>
            <w:noWrap/>
            <w:vAlign w:val="center"/>
          </w:tcPr>
          <w:p>
            <w:pPr>
              <w:rPr>
                <w:rFonts w:ascii="Aptos" w:hAnsi="Aptos" w:eastAsia="MS Mincho" w:cs="Segoe UI"/>
                <w:color w:val="000000"/>
                <w:sz w:val="13"/>
                <w:szCs w:val="13"/>
                <w:lang w:val="en-US"/>
              </w:rPr>
            </w:pPr>
            <w:r>
              <w:rPr>
                <w:rFonts w:ascii="Aptos" w:hAnsi="Aptos" w:eastAsia="MS Mincho" w:cs="Segoe UI"/>
                <w:color w:val="000000"/>
                <w:sz w:val="13"/>
                <w:szCs w:val="13"/>
                <w:lang w:val="en-US"/>
              </w:rPr>
              <w:t>CAD</w:t>
            </w:r>
          </w:p>
        </w:tc>
        <w:tc>
          <w:tcPr>
            <w:tcW w:w="6951"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Συνολικά εποπτικά κεφάλαια, με εφαρμογή των διατάξεων του Κανονισμού (EU) 575/2013 και των εποπτικών μεταβατικών ρυθμίσεων για την επίδραση του ΔΠΧΑ 9, αναφορικά με τα σταθμισμένα στοιχεία Ενεργητικού, ενσωματώνοντας τα κέρδη περιόδου</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Συνολικός Δείκτης Κεφαλαιακής Επάρκειας με πλήρη εφαρμογή του ΔΠΧΑ9</w:t>
            </w:r>
          </w:p>
        </w:tc>
        <w:tc>
          <w:tcPr>
            <w:tcW w:w="1134" w:type="dxa"/>
            <w:shd w:val="clear" w:color="auto" w:fill="F5F9F6"/>
            <w:noWrap/>
            <w:vAlign w:val="center"/>
          </w:tcPr>
          <w:p>
            <w:pPr>
              <w:rPr>
                <w:rFonts w:ascii="Aptos" w:hAnsi="Aptos" w:eastAsia="MS Mincho" w:cs="Segoe UI"/>
                <w:color w:val="000000"/>
                <w:sz w:val="13"/>
                <w:szCs w:val="13"/>
                <w:lang w:val="en-US"/>
              </w:rPr>
            </w:pPr>
            <w:r>
              <w:rPr>
                <w:rFonts w:ascii="Aptos" w:hAnsi="Aptos" w:eastAsia="MS Mincho" w:cs="Segoe UI"/>
                <w:color w:val="000000"/>
                <w:sz w:val="13"/>
                <w:szCs w:val="13"/>
                <w:lang w:val="en-US"/>
              </w:rPr>
              <w:t>CAD</w:t>
            </w:r>
            <w:r>
              <w:rPr>
                <w:rFonts w:ascii="Aptos" w:hAnsi="Aptos" w:eastAsia="MS Mincho" w:cs="Segoe UI"/>
                <w:color w:val="000000"/>
                <w:sz w:val="13"/>
                <w:szCs w:val="13"/>
              </w:rPr>
              <w:t xml:space="preserve"> FL</w:t>
            </w: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Συνολικά εποπτικά κεφάλαια, χωρίς την εφαρμογή των διατάξεων του Κανονισμού (EU) 575/2013 και των εποπτικών μεταβατικών ρυθμίσεων για την επίδραση του ΔΠΧΑ 9, αναφορικά με τα σταθμισμένα στοιχεία Ενεργητικού, ενσωματώνοντας τα κέρδη περιόδου</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Τραπεζικές </w:t>
            </w:r>
          </w:p>
          <w:p>
            <w:pPr>
              <w:rPr>
                <w:rFonts w:ascii="Aptos" w:hAnsi="Aptos" w:eastAsia="MS Mincho" w:cs="Segoe UI"/>
                <w:color w:val="000000"/>
                <w:sz w:val="13"/>
                <w:szCs w:val="13"/>
              </w:rPr>
            </w:pPr>
            <w:r>
              <w:rPr>
                <w:rFonts w:ascii="Aptos" w:hAnsi="Aptos" w:eastAsia="MS Mincho" w:cs="Segoe UI"/>
                <w:color w:val="000000"/>
                <w:sz w:val="13"/>
                <w:szCs w:val="13"/>
              </w:rPr>
              <w:t xml:space="preserve">δραστηριότητες στην </w:t>
            </w:r>
          </w:p>
          <w:p>
            <w:pPr>
              <w:rPr>
                <w:rFonts w:ascii="Aptos" w:hAnsi="Aptos" w:eastAsia="MS Mincho" w:cs="Segoe UI"/>
                <w:color w:val="000000"/>
                <w:sz w:val="13"/>
                <w:szCs w:val="13"/>
              </w:rPr>
            </w:pPr>
            <w:r>
              <w:rPr>
                <w:rFonts w:ascii="Aptos" w:hAnsi="Aptos" w:eastAsia="MS Mincho" w:cs="Segoe UI"/>
                <w:color w:val="000000"/>
                <w:sz w:val="13"/>
                <w:szCs w:val="13"/>
              </w:rPr>
              <w:t>Ελλάδα (εγχώριες)</w:t>
            </w:r>
          </w:p>
          <w:p>
            <w:pPr>
              <w:rPr>
                <w:rFonts w:ascii="Aptos" w:hAnsi="Aptos" w:eastAsia="MS Mincho" w:cs="Segoe UI"/>
                <w:color w:val="000000"/>
                <w:sz w:val="13"/>
                <w:szCs w:val="13"/>
              </w:rPr>
            </w:pPr>
          </w:p>
        </w:tc>
        <w:tc>
          <w:tcPr>
            <w:tcW w:w="1134"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w:t>
            </w:r>
          </w:p>
        </w:tc>
        <w:tc>
          <w:tcPr>
            <w:tcW w:w="6951"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Αναφέρονται στις τραπεζικές δραστηριότητες και περιλαμβάνουν τη λιανική, επιχειρηματική και επενδυτική τραπεζική. Οι δραστηριότητες του Ομίλου στην Ελλάδα περιλαμβάνουν τις δραστηριότητες της Τράπεζας στην Ελλάδα, την Εθνική Leasing Α.Ε. και την Εθνική Factors Α.Ε.</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lang w:val="en-GB"/>
              </w:rPr>
            </w:pPr>
            <w:r>
              <w:rPr>
                <w:rFonts w:ascii="Aptos" w:hAnsi="Aptos" w:eastAsia="MS Mincho" w:cs="Segoe UI"/>
                <w:color w:val="000000"/>
                <w:sz w:val="13"/>
                <w:szCs w:val="13"/>
              </w:rPr>
              <w:t>Σταθμισμένα Στοιχεία</w:t>
            </w:r>
            <w:r>
              <w:rPr>
                <w:rFonts w:ascii="Aptos" w:hAnsi="Aptos" w:eastAsia="MS Mincho" w:cs="Segoe UI"/>
                <w:color w:val="000000"/>
                <w:sz w:val="13"/>
                <w:szCs w:val="13"/>
                <w:lang w:val="en-GB"/>
              </w:rPr>
              <w:t xml:space="preserve"> Ενεργητικού  </w:t>
            </w:r>
          </w:p>
        </w:tc>
        <w:tc>
          <w:tcPr>
            <w:tcW w:w="1134" w:type="dxa"/>
            <w:shd w:val="clear" w:color="auto" w:fill="F5F9F6"/>
            <w:noWrap/>
            <w:vAlign w:val="center"/>
          </w:tcPr>
          <w:p>
            <w:pPr>
              <w:rPr>
                <w:rFonts w:ascii="Aptos" w:hAnsi="Aptos" w:eastAsia="MS Mincho" w:cs="Segoe UI"/>
                <w:color w:val="000000"/>
                <w:sz w:val="13"/>
                <w:szCs w:val="13"/>
                <w:lang w:val="en-US"/>
              </w:rPr>
            </w:pPr>
            <w:r>
              <w:rPr>
                <w:rFonts w:ascii="Aptos" w:hAnsi="Aptos" w:eastAsia="MS Mincho" w:cs="Segoe UI"/>
                <w:color w:val="000000"/>
                <w:sz w:val="13"/>
                <w:szCs w:val="13"/>
                <w:lang w:val="en-US"/>
              </w:rPr>
              <w:t>RWAs</w:t>
            </w: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Στοιχεία Ενεργητικού και στοιχεία εκτός Ισολογισμού, προσδιορισμένα βάσει σταθμισμένου κινδύνου, σύμφωνα με τον κανονισμό (</w:t>
            </w:r>
            <w:r>
              <w:rPr>
                <w:rFonts w:ascii="Aptos" w:hAnsi="Aptos" w:eastAsia="MS Mincho" w:cs="Segoe UI"/>
                <w:color w:val="000000"/>
                <w:sz w:val="13"/>
                <w:szCs w:val="13"/>
                <w:lang w:val="en-GB"/>
              </w:rPr>
              <w:t>EU</w:t>
            </w:r>
            <w:r>
              <w:rPr>
                <w:rFonts w:ascii="Aptos" w:hAnsi="Aptos" w:eastAsia="MS Mincho" w:cs="Segoe UI"/>
                <w:color w:val="000000"/>
                <w:sz w:val="13"/>
                <w:szCs w:val="13"/>
              </w:rPr>
              <w:t>) 575/2013</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Σωρευμένες προβλέψεις </w:t>
            </w:r>
          </w:p>
        </w:tc>
        <w:tc>
          <w:tcPr>
            <w:tcW w:w="1134"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w:t>
            </w:r>
          </w:p>
        </w:tc>
        <w:tc>
          <w:tcPr>
            <w:tcW w:w="6951" w:type="dxa"/>
            <w:shd w:val="clear" w:color="auto" w:fill="FFFFFF" w:themeFill="background1"/>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Πρόβλεψη ΑΠΖ δανείων και απαιτήσεων κατά πελατών</w:t>
            </w:r>
          </w:p>
        </w:tc>
      </w:tr>
      <w:tr>
        <w:tblPrEx>
          <w:tblBorders>
            <w:top w:val="dotted" w:color="007180" w:sz="4" w:space="0"/>
            <w:left w:val="dotted" w:color="007180" w:sz="4" w:space="0"/>
            <w:bottom w:val="single" w:color="007180" w:sz="12" w:space="0"/>
            <w:right w:val="dotted" w:color="007180" w:sz="4" w:space="0"/>
            <w:insideH w:val="dotted" w:color="007180" w:sz="4" w:space="0"/>
            <w:insideV w:val="dotted" w:color="007180" w:sz="4" w:space="0"/>
          </w:tblBorders>
          <w:tblCellMar>
            <w:top w:w="0" w:type="dxa"/>
            <w:left w:w="108" w:type="dxa"/>
            <w:bottom w:w="0" w:type="dxa"/>
            <w:right w:w="108" w:type="dxa"/>
          </w:tblCellMar>
        </w:tblPrEx>
        <w:trPr>
          <w:trHeight w:val="113" w:hRule="atLeast"/>
        </w:trPr>
        <w:tc>
          <w:tcPr>
            <w:tcW w:w="1972"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 xml:space="preserve">Φόροι </w:t>
            </w:r>
          </w:p>
        </w:tc>
        <w:tc>
          <w:tcPr>
            <w:tcW w:w="1134" w:type="dxa"/>
            <w:shd w:val="clear" w:color="auto" w:fill="F5F9F6"/>
            <w:noWrap/>
            <w:vAlign w:val="center"/>
          </w:tcPr>
          <w:p>
            <w:pPr>
              <w:rPr>
                <w:rFonts w:ascii="Aptos" w:hAnsi="Aptos" w:eastAsia="MS Mincho" w:cs="Segoe UI"/>
                <w:color w:val="000000"/>
                <w:sz w:val="13"/>
                <w:szCs w:val="13"/>
              </w:rPr>
            </w:pPr>
          </w:p>
        </w:tc>
        <w:tc>
          <w:tcPr>
            <w:tcW w:w="6951" w:type="dxa"/>
            <w:shd w:val="clear" w:color="auto" w:fill="F5F9F6"/>
            <w:noWrap/>
            <w:vAlign w:val="center"/>
          </w:tcPr>
          <w:p>
            <w:pPr>
              <w:rPr>
                <w:rFonts w:ascii="Aptos" w:hAnsi="Aptos" w:eastAsia="MS Mincho" w:cs="Segoe UI"/>
                <w:color w:val="000000"/>
                <w:sz w:val="13"/>
                <w:szCs w:val="13"/>
              </w:rPr>
            </w:pPr>
            <w:r>
              <w:rPr>
                <w:rFonts w:ascii="Aptos" w:hAnsi="Aptos" w:eastAsia="MS Mincho" w:cs="Segoe UI"/>
                <w:color w:val="000000"/>
                <w:sz w:val="13"/>
                <w:szCs w:val="13"/>
              </w:rPr>
              <w:t>Φόροι εξαιρουμένων έκτακτων φόρων ύψους €106 εκατ. το 2022</w:t>
            </w:r>
          </w:p>
        </w:tc>
      </w:tr>
    </w:tbl>
    <w:p>
      <w:pPr>
        <w:spacing w:after="160"/>
        <w:jc w:val="both"/>
        <w:rPr>
          <w:rFonts w:ascii="Aptos" w:hAnsi="Aptos" w:cs="Segoe UI"/>
          <w:sz w:val="18"/>
          <w:szCs w:val="18"/>
        </w:rPr>
      </w:pPr>
    </w:p>
    <w:p>
      <w:pPr>
        <w:rPr>
          <w:rFonts w:ascii="Aptos" w:hAnsi="Aptos" w:cs="Segoe UI"/>
          <w:color w:val="003841"/>
          <w:sz w:val="4"/>
          <w:szCs w:val="20"/>
          <w:lang w:eastAsia="el-GR"/>
        </w:rPr>
        <w:sectPr>
          <w:footerReference r:id="rId5" w:type="first"/>
          <w:headerReference r:id="rId3" w:type="default"/>
          <w:footerReference r:id="rId4" w:type="default"/>
          <w:type w:val="continuous"/>
          <w:pgSz w:w="11900" w:h="16840"/>
          <w:pgMar w:top="993" w:right="851" w:bottom="1134" w:left="851" w:header="283" w:footer="0" w:gutter="0"/>
          <w:cols w:space="292" w:num="1"/>
          <w:titlePg/>
          <w:docGrid w:linePitch="360" w:charSpace="0"/>
        </w:sectPr>
      </w:pPr>
    </w:p>
    <w:p>
      <w:pPr>
        <w:spacing w:after="160"/>
        <w:jc w:val="both"/>
        <w:rPr>
          <w:rFonts w:ascii="Aptos" w:hAnsi="Aptos" w:cs="Segoe UI"/>
          <w:b/>
          <w:color w:val="003841"/>
          <w:sz w:val="15"/>
          <w:szCs w:val="15"/>
        </w:rPr>
      </w:pPr>
      <w:r>
        <w:rPr>
          <w:rFonts w:ascii="Aptos" w:hAnsi="Aptos" w:cs="Segoe UI"/>
          <w:b/>
          <w:color w:val="003841"/>
          <w:sz w:val="15"/>
          <w:szCs w:val="15"/>
        </w:rPr>
        <w:t>ΑΠΟΠΟΙΗΣΗΣ ΕΥΘΥΝΗΣ</w:t>
      </w:r>
    </w:p>
    <w:p>
      <w:pPr>
        <w:spacing w:after="160" w:line="276" w:lineRule="auto"/>
        <w:jc w:val="both"/>
        <w:rPr>
          <w:rFonts w:ascii="Aptos" w:hAnsi="Aptos" w:eastAsia="MS Mincho" w:cs="Segoe UI"/>
          <w:sz w:val="13"/>
          <w:szCs w:val="13"/>
          <w:highlight w:val="yellow"/>
        </w:rPr>
      </w:pPr>
      <w:r>
        <w:rPr>
          <w:rFonts w:ascii="Aptos" w:hAnsi="Aptos" w:eastAsia="MS Mincho" w:cs="Segoe UI"/>
          <w:sz w:val="13"/>
          <w:szCs w:val="13"/>
        </w:rPr>
        <w:t xml:space="preserve">Οι πληροφορίες, οι δηλώσεις και οι γνώμες που παρατίθενται στο παρών Δελτίο Τύπου Αποτελεσμάτων 2023 και η συνοδευτική συζήτηση (το «Δελτίο Τύπου») έχουν παρασχεθεί από την Εθνική Τράπεζα της Ελλάδας Α.Ε. (η «Τράπεζα») (μαζί με τις ενοποιούμενες θυγατρικές της (o «Όμιλος»). Εξυπηρετούν αποκλειστικά ενημερωτικούς σκοπούς και δεν θα πρέπει να θεωρούνται ως συμβουλή ή σύσταση προς τους επενδυτές ή τους δυνητικούς επενδυτές σε σχέση με την κατοχή, την αγορά ή την πώληση κινητών αξιών ή άλλων χρηματοπιστωτικών προϊόντων ή μέσων, και δεν λαμβάνουν υπόψη συγκεκριμένους επενδυτικούς στόχους, οικονομική κατάσταση ή ανάγκες. Δεν συνιστούν έρευνα στον τομέα των επενδύσεων, επιβεβαίωση συναλλαγής ή για προσφορά ή πρόσκληση για αγορά/πώληση οποιωνδήποτε χρηματοπιστωτικών μέσων. </w:t>
      </w:r>
    </w:p>
    <w:p>
      <w:pPr>
        <w:spacing w:line="276" w:lineRule="auto"/>
        <w:jc w:val="both"/>
        <w:rPr>
          <w:rFonts w:ascii="Aptos" w:hAnsi="Aptos" w:eastAsia="MS Mincho" w:cs="Segoe UI"/>
          <w:b/>
          <w:color w:val="003841"/>
          <w:sz w:val="15"/>
          <w:szCs w:val="15"/>
        </w:rPr>
      </w:pPr>
      <w:r>
        <w:rPr>
          <w:rFonts w:ascii="Aptos" w:hAnsi="Aptos" w:eastAsia="MS Mincho" w:cs="Segoe UI"/>
          <w:b/>
          <w:color w:val="003841"/>
          <w:sz w:val="15"/>
          <w:szCs w:val="15"/>
        </w:rPr>
        <w:t>Ακρίβεια Πληροφοριών και Περιορισμός Ευθύνης</w:t>
      </w:r>
    </w:p>
    <w:p>
      <w:pPr>
        <w:spacing w:after="160" w:line="276" w:lineRule="auto"/>
        <w:jc w:val="both"/>
        <w:rPr>
          <w:rFonts w:ascii="Aptos" w:hAnsi="Aptos" w:eastAsia="MS Mincho" w:cs="Segoe UI"/>
          <w:sz w:val="13"/>
          <w:szCs w:val="13"/>
        </w:rPr>
      </w:pPr>
      <w:r>
        <w:rPr>
          <w:rFonts w:ascii="Aptos" w:hAnsi="Aptos" w:eastAsia="MS Mincho" w:cs="Segoe UI"/>
          <w:sz w:val="13"/>
          <w:szCs w:val="13"/>
        </w:rPr>
        <w:t>Μολονότι έχει ληφθεί εύλογη επιμέλεια για να διασφαλιστεί ότι το περιεχόμενο του Δελτίου Τύπου είναι αληθές και ακριβές, δεν παρέχονται δηλώσεις ή εγγυήσεις, ρητές ή σιωπηρές, όσον αφορά την ακρίβεια ή την πληρότητα των πληροφοριών που περιλαμβάνονται στο Δελτίο Τύπου. Στον μέγιστο βαθμό που επιτρέπεται από το νόμο, σε καμία περίπτωση η Τράπεζα, ή οποιαδήποτε από τις θυγατρικές της, οι μέτοχοι, οι συνδεδεμένες εταιρείες, οι εκπρόσωποι, οι διευθυντές, τα στελέχη, οι υπάλληλοι, οι σύμβουλοι ή οι αντιπρόσωποι δεν ευθύνονται για οποιαδήποτε άμεση, έμμεση ή επακόλουθη ζημία ή διαφυγόν κέρδος που τυχόν θα προκύψει από τη χρήση του Δελτίου Τύπου, το περιεχόμενο του (συμπεριλαμβανομένων των εσωτερικών οικονομικών μοντέλων), τις παραλείψεις της, την εξάρτηση από τις πληροφορίες που περιέχονται σε αυτό, ή τις απόψεις που διατυπώνονται σε σχέση με αυτό ή άλλως που προκύπτουν σε σχέση με αυτό. Οι πληροφορίες που εμπεριέχονται στο Δελτίο Τύπου δεν έχουν επαληθευτεί από ανεξάρτητο τρίτο μέρος.</w:t>
      </w:r>
    </w:p>
    <w:p>
      <w:pPr>
        <w:spacing w:after="160" w:line="276" w:lineRule="auto"/>
        <w:jc w:val="both"/>
        <w:rPr>
          <w:rFonts w:ascii="Aptos" w:hAnsi="Aptos" w:eastAsia="MS Mincho" w:cs="Segoe UI"/>
          <w:sz w:val="13"/>
          <w:szCs w:val="13"/>
        </w:rPr>
      </w:pPr>
      <w:r>
        <w:rPr>
          <w:rFonts w:ascii="Aptos" w:hAnsi="Aptos" w:eastAsia="MS Mincho" w:cs="Segoe UI"/>
          <w:sz w:val="13"/>
          <w:szCs w:val="13"/>
        </w:rPr>
        <w:t xml:space="preserve">Οι παραλήπτες του Δελτίου Τύπου δεν θα πρέπει να ερμηνεύσουν το περιεχόμενό του, ή οποιαδήποτε προηγούμενη ή μεταγενέστερη επικοινωνία από ή με την Τράπεζα ή τους εκπροσώπους της, ως χρηματοοικονομική, επενδυτική, νομική, φορολογική, επιχειρηματική ή άλλη επαγγελματική συμβουλή. Επιπρόσθετα, το Δελτίο Τύπου δεν θεωρείται ότι είναι εξαντλητικό ή περιέχει όλες τις πληροφορίες που ενδεχομένως απαιτούνται για την πλήρη ανάλυση της Τράπεζας. Οι παραλήπτες του Δελτίου Τύπου θα πρέπει να απευθύνονται στους δικούς τους συμβούλους καθώς και να πραγματοποιούν έκαστος τις δικές τους αξιολογήσεις σε σχέση με την Τράπεζα και την καταλληλόλητα και την επάρκεια των πληροφοριών. Το Δελτίο Τύπου περιλαμβάνει αναφορές σε συγκεκριμένα χρηματοοικονομικά μεγέθη, τα οποία δεν ορίζονται από τα ΔΠΧΑ. Τα εν λόγω μεγέθη παρουσιάζονται στην ανωτέρω ενότητα «Ορισμός των Χρηματοοικονομικών Στοιχείων και των Δεικτών που Χρησιμοποιήθηκαν» και ενδέχεται να μην είναι συγκρίσιμα με εκείνα έτερων πιστωτικών ιδρυμάτων. Η αναφορά στα εν λόγω μεγέθη, τα οποία δεν ορίζονται από τα ΔΠΧΑ, θα πρέπει να λαμβάνει υπόψη και τα χρηματοοικονομικά μεγέθη κατά τα ΔΠΧΑ, χωρίς να θεωρείται ωστόσο ότι υποκαθιστούν καθ’ οποιονδήποτε τρόπο τα αποτελέσματα που παρουσιάζονται σύμφωνα με τα ΔΠΧΑ. </w:t>
      </w:r>
    </w:p>
    <w:p>
      <w:pPr>
        <w:spacing w:after="160" w:line="276" w:lineRule="auto"/>
        <w:jc w:val="both"/>
        <w:rPr>
          <w:rFonts w:ascii="Aptos" w:hAnsi="Aptos" w:eastAsia="MS Mincho" w:cs="Segoe UI"/>
          <w:sz w:val="13"/>
          <w:szCs w:val="13"/>
        </w:rPr>
      </w:pPr>
      <w:r>
        <w:rPr>
          <w:rFonts w:ascii="Aptos" w:hAnsi="Aptos" w:eastAsia="MS Mincho" w:cs="Segoe UI"/>
          <w:sz w:val="13"/>
          <w:szCs w:val="13"/>
        </w:rPr>
        <w:t xml:space="preserve">Λόγω στρογγυλοποίησης, τα σύνολα των αριθμών που παρουσιάζονται στο σύνολο του Δελτίου Τύπου ενδέχεται να μην αθροίζονται στο ακέραιο και τα ποσοστά ενδέχεται να μην αντικατοπτρίζουν με ακρίβεια τις απόλυτες τιμές. </w:t>
      </w:r>
    </w:p>
    <w:p>
      <w:pPr>
        <w:spacing w:line="276" w:lineRule="auto"/>
        <w:jc w:val="both"/>
        <w:rPr>
          <w:rFonts w:ascii="Aptos" w:hAnsi="Aptos" w:eastAsia="MS Mincho" w:cs="Segoe UI"/>
          <w:b/>
          <w:color w:val="003841"/>
          <w:sz w:val="15"/>
          <w:szCs w:val="15"/>
        </w:rPr>
      </w:pPr>
      <w:r>
        <w:rPr>
          <w:rFonts w:ascii="Aptos" w:hAnsi="Aptos" w:eastAsia="MS Mincho" w:cs="Segoe UI"/>
          <w:b/>
          <w:color w:val="003841"/>
          <w:sz w:val="15"/>
          <w:szCs w:val="15"/>
        </w:rPr>
        <w:t>Δηλώσεις σχετικά με το μέλλον (Forward Looking Statements)</w:t>
      </w:r>
    </w:p>
    <w:p>
      <w:pPr>
        <w:spacing w:after="160" w:line="276" w:lineRule="auto"/>
        <w:jc w:val="both"/>
        <w:rPr>
          <w:rFonts w:ascii="Aptos" w:hAnsi="Aptos" w:eastAsia="MS Mincho" w:cs="Segoe UI"/>
          <w:sz w:val="13"/>
          <w:szCs w:val="13"/>
        </w:rPr>
      </w:pPr>
      <w:r>
        <w:rPr>
          <w:rFonts w:ascii="Aptos" w:hAnsi="Aptos" w:eastAsia="MS Mincho" w:cs="Segoe UI"/>
          <w:sz w:val="13"/>
          <w:szCs w:val="13"/>
        </w:rPr>
        <w:t>Το Δελτίο Τύπου περιέχει δηλώσεις σχετικά με το μέλλον (forward-looking statements) που αφορούν την πρόθεση της Διοίκησης, τις πεποιθήσεις ή τις σημερινές προσδοκίες σχετικά, μεταξύ άλλων, με τις δραστηριότητες και τις λειτουργίες της Τράπεζας, τις συνθήκες της αγοράς, τα αποτελέσματα της λειτουργίας και τη χρηματοοικονομική κατάσταση, την κεφαλαιακή επάρκεια, τις πρακτικές διαχείρισης κινδύνων, τη ρευστότητα, τις προοπτικές, την ανάπτυξη και τις στρατηγικές («δηλώσεις σχετικά με το μέλλον»). Οι δηλώσεις σχετικά με το μέλλον αφορούν μελλοντικές περιστάσεις και αποτελέσματα και άλλες δηλώσεις που δεν αποτελούν ιστορικά γεγονότα και ορισμένες φορές προσδιορίζονται από τους όρους «ενδεχομένως», «θα», «πιστεύει», «αναμένει», «προβλέπει», «σκοπεύει», «προβάλει», «σχεδιάζει», «εκτιμά», «στοχεύει», «διαβλέπει», «προσδοκά», «στοχοθετεί», «θα επιθυμούσε», «θα μπορούσε» ή παρόμοιες εκφράσεις ή τα αρνητικά αυτών.</w:t>
      </w:r>
    </w:p>
    <w:p>
      <w:pPr>
        <w:spacing w:after="160" w:line="276" w:lineRule="auto"/>
        <w:jc w:val="both"/>
        <w:rPr>
          <w:rFonts w:ascii="Aptos" w:hAnsi="Aptos" w:eastAsia="MS Mincho" w:cs="Segoe UI"/>
          <w:sz w:val="13"/>
          <w:szCs w:val="13"/>
        </w:rPr>
      </w:pPr>
      <w:r>
        <w:rPr>
          <w:rFonts w:ascii="Aptos" w:hAnsi="Aptos" w:eastAsia="MS Mincho" w:cs="Segoe UI"/>
          <w:sz w:val="13"/>
          <w:szCs w:val="13"/>
        </w:rPr>
        <w:t xml:space="preserve">Οι δηλώσεις σχετικά με το μέλλον αντικατοπτρίζουν τις γνώσεις και τις πληροφορίες που είναι διαθέσιμες κατά την ημερομηνία της σύνταξης του Δελτίου Τύπου και υπόκεινται σε εγγενείς αβεβαιότητες και σε ποικίλες παραδοχές, είτε αυτές αναφέρονται ρητά στην Έκθεση του Διοικητικού Συμβουλίου είτε όχι. Μολονότι οι δηλώσεις σχετικά με το μέλλον που περιλαμβάνονται στο Δελτίο Τύπου βασίζονται σε, κατά την πεποίθηση της Διοίκησης της Τράπεζας, λογικές παραδοχές, δεδομένου ότι οι παραδοχές αυτές υπόκεινται εγγενώς σε σημαντικές αβεβαιότητες και αλληλεξαρτήσεις, συμπεριλαμβανομένων των κινδύνων που απορρέουν από τις συνεχιζόμενες πληθωριστικές πιέσεις και τις αυξημένες γεωπολιτικές εντάσεις που είναι δύσκολο ή αδύνατο να προβλεφθούν και κείνται εκτός του ελέγχου της Τράπεζας δεν μπορεί να παρασχεθεί διαβεβαίωση ότι η Τράπεζα θα επιτύχει ή θα εκπληρώσει αυτές τις προσδοκίες, πεποιθήσεις ή προβλέψεις. Οι ενεργειακοί κίνδυνοι και μια νέα έξαρση των πληθωριστικών πιέσεων, σε περίπτωση νέας κλιμάκωσης της κρίσης στην Ουκρανία, σε συνδυασμό με την κρίση στη Μέση Ανατολή (συμπλοκή μεταξύ Χαμάς και Ισραήλ) ή η ισχυρότερη από το αναμενόμενο ενίσχυση της παγκόσμιας ζήτησης ή/και αναζωπύρωση του κινδύνου διακοπών της τροφοδοσίας ενέργειας από τους διεθνείς προμηθευτές, αποτελούν τους κυριότερους παράγοντες κινδύνου, δεδομένων και των περιορισμένων περιθωρίων για νέες δημοσιονομικές παρεμβάσεις. Ο αρνητικός αντίκτυπος στην οικονομική δραστηριότητα και τις χρηματοοικονομικές συνθήκες από τη συνεχιζόμενη αυστηροποίηση της νομισματικής πολιτικής και τις νέες πιέσεις στον τραπεζικό τομέα διεθνώς, ύστερα από τα περιστατικά αναταραχής του Μαρτίου 2023 (SVB, Credit Suisse), καθώς και η αύξηση του βασικού επιτοκίου της Ευρωπαϊκής Κεντρικής Τράπεζας (ΕΚΤ) κατά 450μ.β. από τον Ιούλιο 2022 μέχρι τον Σεπτέμβριο 2023, θα μπορούσε επίσης να επηρεάσει την επιχειρηματική και χρηματοοικονομική δραστηριότητα, ενώ μία προσωρινή επιδείνωση του πληθωρισμού των ειδών διατροφής στην Ελλάδα αναμένεται το Δ’ τρίμηνο του 2023, λόγω των ανοδικών πιέσεων στις τιμές των τροφίμων μετά τις ζημιές στη γεωργική παραγωγή που προκάλεσε η καταιγίδα </w:t>
      </w:r>
      <w:r>
        <w:rPr>
          <w:rFonts w:ascii="Aptos" w:hAnsi="Aptos" w:eastAsia="MS Mincho" w:cs="Segoe UI"/>
          <w:sz w:val="13"/>
          <w:szCs w:val="13"/>
          <w:lang w:val="en-US"/>
        </w:rPr>
        <w:t>Daniel</w:t>
      </w:r>
      <w:r>
        <w:rPr>
          <w:rFonts w:ascii="Aptos" w:hAnsi="Aptos" w:eastAsia="MS Mincho" w:cs="Segoe UI"/>
          <w:sz w:val="13"/>
          <w:szCs w:val="13"/>
        </w:rPr>
        <w:t xml:space="preserve">, η οποία έπληξε τη Κεντρική Ελλάδα τον Σεπτέμβριο του 2023. Επιπρόσθετα, υπάρχει αβεβαιότητα σχετικά με το εύρος των ενεργειών που δύναται να απαιτηθούν από εμάς, τις κυβερνήσεις και άλλους για την επίτευξη στόχων που σχετίζονται με κλιματικά, περιβαλλοντικά και κοινωνικά ζητήματα, καθώς και την εξελισσόμενη φύση των υποκείμενων επιστημονικών και κλαδικών και κυβερνητικών προτύπων και κανονισμών. Ως εκ τούτου, τα εν λόγω γεγονότα αποτελούν επιπλέον παράγοντες που θα μπορούσαν να προκαλέσουν σημαντικές διαφορές μεταξύ των πραγματικών αποτελεσμάτων και εκείνων που περιλαμβάνονται στις δηλώσεις σχετικά με το μέλλον. Οι δηλώσεις σχετικά με το μέλλον παρέχονται μόνο για επεξηγηματικούς σκοπούς και δεν προορίζονται και δεν πρέπει να θεωρούνται ως εγγύηση, διαβεβαίωση, πρόβλεψη ή οριστική δήλωση πραγματικών γεγονότων ή πιθανοτήτων. </w:t>
      </w:r>
    </w:p>
    <w:p>
      <w:pPr>
        <w:spacing w:after="160" w:line="276" w:lineRule="auto"/>
        <w:jc w:val="both"/>
        <w:rPr>
          <w:rFonts w:ascii="Aptos" w:hAnsi="Aptos" w:eastAsia="MS Mincho" w:cs="Segoe UI"/>
          <w:sz w:val="13"/>
          <w:szCs w:val="13"/>
        </w:rPr>
      </w:pPr>
      <w:r>
        <w:rPr>
          <w:rFonts w:ascii="Aptos" w:hAnsi="Aptos" w:eastAsia="MS Mincho" w:cs="Segoe UI"/>
          <w:sz w:val="13"/>
          <w:szCs w:val="13"/>
        </w:rPr>
        <w:t xml:space="preserve">Τα πραγματικά αποτελέσματα της Τράπεζας ενδέχεται να διαφέρουν σημαντικά από τα αναφερόμενα στις δηλώσεις σχετικά με το μέλλον. Ορισμένοι σημαντικοί παράγοντες που θα μπορούσαν να διαφοροποιήσουν τα πραγματικά αποτελέσματα από τα αναφερόμενα στις δηλώσεις σχετικά με το μέλλον θα μπορούσαν να περιλαμβάνουν, μεταξύ άλλων, αλλαγές στις εγχώριες και ξένες επιχειρήσεις, στην αγορά, σε χρηματοοικονομικές, πολιτικές και νομικές συνθήκες, συμπεριλαμβανομένων των ρυθμιστικών αλλαγών του κλάδου, δυσμενείς αποφάσεις από εγχώριες ή διεθνείς ρυθμιστικές και εποπτικές αρχές, τον αντίκτυπο της μείωσης του μεγέθους της αγοράς, την ικανότητα διατήρησης των αξιολογήσεων πιστοληπτικής ικανότητας, τους κεφαλαιακούς πόρους και τις κεφαλαιακές δαπάνες, τις δυσμενείς δικαστικές εκβάσεις και την επίδραση τούτων στη χρηματοοικονομική κατάσταση του Ομίλου. </w:t>
      </w:r>
    </w:p>
    <w:p>
      <w:pPr>
        <w:spacing w:after="160" w:line="276" w:lineRule="auto"/>
        <w:jc w:val="both"/>
        <w:rPr>
          <w:rFonts w:ascii="Aptos" w:hAnsi="Aptos" w:eastAsia="MS Mincho" w:cs="Segoe UI"/>
          <w:sz w:val="13"/>
          <w:szCs w:val="13"/>
        </w:rPr>
      </w:pPr>
      <w:r>
        <w:rPr>
          <w:rFonts w:ascii="Aptos" w:hAnsi="Aptos" w:eastAsia="MS Mincho" w:cs="Segoe UI"/>
          <w:sz w:val="13"/>
          <w:szCs w:val="13"/>
        </w:rPr>
        <w:t>Δεν μπορεί να υπάρξει διαβεβαίωση ότι οποιεσδήποτε δηλώσεις σχετικά με το μέλλον θα πραγματοποιηθούν, και η Τράπεζα ρητά αποποιείται οποιαδήποτε υποχρέωση ή δέσμευση για την επικαιροποίηση ή αναθεώρηση πληροφοριών σε οποιαδήποτε δήλωση σχετικά με το μέλλον ώστε να αντικατοπτρίζει τυχόν αλλαγές στις προσδοκίες της Τράπεζας σε σχέση με αυτές ή τυχόν αλλαγές στα γεγονότα, τις συνθήκες ή τις περιστάσεις στις οποίες βασίζεται οποιαδήποτε δήλωση σχετικά με το μέλλον. Ως εκ τούτου, εφιστάται η προσοχή του αναγνώστη να μη βασίζεται υπέρ το δέον στις δηλώσεις σχετικά με το μέλλον.</w:t>
      </w:r>
    </w:p>
    <w:p>
      <w:pPr>
        <w:spacing w:line="276" w:lineRule="auto"/>
        <w:jc w:val="both"/>
        <w:rPr>
          <w:rFonts w:ascii="Aptos" w:hAnsi="Aptos" w:eastAsia="MS Mincho" w:cs="Segoe UI"/>
          <w:b/>
          <w:color w:val="003841"/>
          <w:sz w:val="15"/>
          <w:szCs w:val="15"/>
        </w:rPr>
      </w:pPr>
      <w:r>
        <w:rPr>
          <w:rFonts w:ascii="Aptos" w:hAnsi="Aptos" w:eastAsia="MS Mincho" w:cs="Segoe UI"/>
          <w:b/>
          <w:color w:val="003841"/>
          <w:sz w:val="15"/>
          <w:szCs w:val="15"/>
        </w:rPr>
        <w:t>Μη επικαιροποίηση</w:t>
      </w:r>
    </w:p>
    <w:p>
      <w:pPr>
        <w:spacing w:after="160" w:line="276" w:lineRule="auto"/>
        <w:jc w:val="both"/>
        <w:rPr>
          <w:rFonts w:ascii="Aptos" w:hAnsi="Aptos" w:eastAsia="MS Mincho" w:cs="Segoe UI"/>
          <w:sz w:val="13"/>
          <w:szCs w:val="13"/>
        </w:rPr>
      </w:pPr>
      <w:r>
        <w:rPr>
          <w:rFonts w:ascii="Aptos" w:hAnsi="Aptos" w:eastAsia="MS Mincho" w:cs="Segoe UI"/>
          <w:sz w:val="13"/>
          <w:szCs w:val="13"/>
        </w:rPr>
        <w:t>Εκτός εάν ορίζεται διαφορετικά, όλες οι πληροφορίες στο Δελτίο Τύπου φέρουν ημερομηνία αναφοράς την ημερομηνία σύνταξης του Δελτίου Τύπου. Ούτε η παράδοση του Δελτίου Τύπου, ούτε οποιαδήποτε άλλη επικοινωνία με τους παραλήπτες του, υπό οποιαδήποτε συνθήκη, θα πρέπει να οδηγεί στο συμπέρασμα ότι δεν έχει υπάρξει καμία αλλαγή στα θέματα της Τράπεζας από την ημερομηνία αυτή. Εκτός εάν αναφέρεται διαφορετικά στο παρόν, η Τράπεζα δεν σκοπεύει, ούτε θα αναλάβει υποχρέωση, να επικαιροποιήσει το Δελτίο Τύπου ή οποιαδήποτε από τις πληροφορίες που περιλαμβάνονται σε αυτήν.</w:t>
      </w:r>
    </w:p>
    <w:p>
      <w:pPr>
        <w:spacing w:after="160" w:line="276" w:lineRule="auto"/>
        <w:jc w:val="both"/>
        <w:rPr>
          <w:rFonts w:ascii="Aptos" w:hAnsi="Aptos" w:cs="Segoe UI"/>
          <w:sz w:val="13"/>
          <w:szCs w:val="13"/>
        </w:rPr>
      </w:pPr>
      <w:r>
        <w:rPr>
          <w:rFonts w:ascii="Aptos" w:hAnsi="Aptos" w:eastAsia="MS Mincho" w:cs="Segoe UI"/>
          <w:sz w:val="13"/>
          <w:szCs w:val="13"/>
        </w:rPr>
        <w:t xml:space="preserve">Το Δελτίο Τύπου υπόκειται στο ελληνικό δίκαιο, και κάθε διαφορά που ανακύπτει σε σχέση με Το Δελτίο Τύπου υπόκειται στην αποκλειστική δικαιοδοσία των Δικαστηρίων της Αθήνας. </w:t>
      </w:r>
    </w:p>
    <w:p>
      <w:pPr>
        <w:spacing w:after="160"/>
        <w:jc w:val="both"/>
        <w:rPr>
          <w:rFonts w:ascii="Aptos" w:hAnsi="Aptos" w:cs="Segoe UI"/>
          <w:sz w:val="13"/>
          <w:szCs w:val="13"/>
        </w:rPr>
      </w:pPr>
    </w:p>
    <w:sectPr>
      <w:pgSz w:w="11900" w:h="16840"/>
      <w:pgMar w:top="1248" w:right="851" w:bottom="1134" w:left="851" w:header="283" w:footer="283" w:gutter="0"/>
      <w:pgBorders w:offsetFrom="page">
        <w:bottom w:val="single" w:color="FFC000" w:sz="12" w:space="24"/>
      </w:pgBorders>
      <w:cols w:space="292"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A1"/>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A1"/>
    <w:family w:val="swiss"/>
    <w:pitch w:val="default"/>
    <w:sig w:usb0="E1002EFF" w:usb1="C000605B" w:usb2="00000029" w:usb3="00000000" w:csb0="200101FF" w:csb1="20280000"/>
  </w:font>
  <w:font w:name="Verdana">
    <w:panose1 w:val="020B0604030504040204"/>
    <w:charset w:val="A1"/>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7F" w:usb3="00000000" w:csb0="003F01FF" w:csb1="00000000"/>
  </w:font>
  <w:font w:name="Arial">
    <w:panose1 w:val="020B0604020202020204"/>
    <w:charset w:val="A1"/>
    <w:family w:val="swiss"/>
    <w:pitch w:val="default"/>
    <w:sig w:usb0="E0002EFF" w:usb1="C000785B" w:usb2="00000009" w:usb3="00000000" w:csb0="400001FF" w:csb1="FFFF0000"/>
  </w:font>
  <w:font w:name="Consolas">
    <w:panose1 w:val="020B0609020204030204"/>
    <w:charset w:val="A1"/>
    <w:family w:val="modern"/>
    <w:pitch w:val="default"/>
    <w:sig w:usb0="E00006FF" w:usb1="0000FCFF" w:usb2="00000001" w:usb3="00000000" w:csb0="6000019F" w:csb1="DFD70000"/>
  </w:font>
  <w:font w:name="Segoe UI">
    <w:panose1 w:val="020B0502040204020203"/>
    <w:charset w:val="A1"/>
    <w:family w:val="swiss"/>
    <w:pitch w:val="default"/>
    <w:sig w:usb0="E4002EFF" w:usb1="C000E47F" w:usb2="00000009" w:usb3="00000000" w:csb0="200001FF" w:csb1="00000000"/>
  </w:font>
  <w:font w:name="Aptos ExtraBold">
    <w:altName w:val="Segoe Print"/>
    <w:panose1 w:val="00000000000000000000"/>
    <w:charset w:val="00"/>
    <w:family w:val="swiss"/>
    <w:pitch w:val="default"/>
    <w:sig w:usb0="00000000" w:usb1="00000000" w:usb2="00000000" w:usb3="00000000" w:csb0="0000019F" w:csb1="00000000"/>
  </w:font>
  <w:font w:name="+mn-ea">
    <w:altName w:val="Segoe Print"/>
    <w:panose1 w:val="00000000000000000000"/>
    <w:charset w:val="00"/>
    <w:family w:val="roman"/>
    <w:pitch w:val="default"/>
    <w:sig w:usb0="00000000" w:usb1="00000000" w:usb2="00000000" w:usb3="00000000" w:csb0="00000000" w:csb1="00000000"/>
  </w:font>
  <w:font w:name="+mn-cs">
    <w:altName w:val="Segoe Print"/>
    <w:panose1 w:val="00000000000000000000"/>
    <w:charset w:val="00"/>
    <w:family w:val="roman"/>
    <w:pitch w:val="default"/>
    <w:sig w:usb0="00000000" w:usb1="00000000" w:usb2="00000000" w:usb3="00000000" w:csb0="00000000" w:csb1="00000000"/>
  </w:font>
  <w:font w:name="Aptos">
    <w:altName w:val="Segoe Print"/>
    <w:panose1 w:val="00000000000000000000"/>
    <w:charset w:val="00"/>
    <w:family w:val="swiss"/>
    <w:pitch w:val="default"/>
    <w:sig w:usb0="00000000" w:usb1="00000000" w:usb2="00000000" w:usb3="00000000" w:csb0="0000019F" w:csb1="00000000"/>
  </w:font>
  <w:font w:name="等线">
    <w:altName w:val="Microsoft YaHei"/>
    <w:panose1 w:val="00000000000000000000"/>
    <w:charset w:val="00"/>
    <w:family w:val="auto"/>
    <w:pitch w:val="default"/>
    <w:sig w:usb0="00000000" w:usb1="00000000" w:usb2="00000000" w:usb3="00000000" w:csb0="00000000" w:csb1="00000000"/>
  </w:font>
  <w:font w:name="Aptos Light">
    <w:altName w:val="Segoe Print"/>
    <w:panose1 w:val="00000000000000000000"/>
    <w:charset w:val="00"/>
    <w:family w:val="swiss"/>
    <w:pitch w:val="default"/>
    <w:sig w:usb0="00000000" w:usb1="00000000" w:usb2="00000000" w:usb3="00000000" w:csb0="0000019F" w:csb1="00000000"/>
  </w:font>
  <w:font w:name="Courier New">
    <w:panose1 w:val="02070309020205020404"/>
    <w:charset w:val="A1"/>
    <w:family w:val="modern"/>
    <w:pitch w:val="default"/>
    <w:sig w:usb0="E0002EFF" w:usb1="C0007843" w:usb2="00000009" w:usb3="00000000" w:csb0="400001FF" w:csb1="FFFF0000"/>
  </w:font>
  <w:font w:name="Segoe UI">
    <w:panose1 w:val="020B0502040204020203"/>
    <w:charset w:val="00"/>
    <w:family w:val="swiss"/>
    <w:pitch w:val="variable"/>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1"/>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1632402"/>
      <w:docPartObj>
        <w:docPartGallery w:val="AutoText"/>
      </w:docPartObj>
    </w:sdtPr>
    <w:sdtEndPr>
      <w:rPr>
        <w:sz w:val="16"/>
        <w:szCs w:val="16"/>
      </w:rPr>
    </w:sdtEndPr>
    <w:sdtContent>
      <w:p>
        <w:pPr>
          <w:pStyle w:val="12"/>
          <w:widowControl w:val="0"/>
          <w:tabs>
            <w:tab w:val="left" w:pos="7785"/>
            <w:tab w:val="right" w:pos="10198"/>
          </w:tabs>
          <w:rPr>
            <w:sz w:val="16"/>
            <w:szCs w:val="16"/>
          </w:rPr>
        </w:pPr>
        <w:r>
          <w:tab/>
        </w:r>
        <w:r>
          <w:tab/>
        </w:r>
        <w:r>
          <w:tab/>
        </w:r>
        <w:r>
          <w:tab/>
        </w:r>
        <w:r>
          <w:rPr>
            <w:sz w:val="16"/>
            <w:szCs w:val="16"/>
          </w:rPr>
          <w:fldChar w:fldCharType="begin"/>
        </w:r>
        <w:r>
          <w:rPr>
            <w:sz w:val="16"/>
            <w:szCs w:val="16"/>
          </w:rPr>
          <w:instrText xml:space="preserve"> PAGE   \* MERGEFORMAT </w:instrText>
        </w:r>
        <w:r>
          <w:rPr>
            <w:sz w:val="16"/>
            <w:szCs w:val="16"/>
          </w:rPr>
          <w:fldChar w:fldCharType="separate"/>
        </w:r>
        <w:r>
          <w:rPr>
            <w:sz w:val="16"/>
            <w:szCs w:val="16"/>
          </w:rPr>
          <w:t>2</w:t>
        </w:r>
        <w:r>
          <w:rPr>
            <w:sz w:val="16"/>
            <w:szCs w:val="16"/>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tab w:relativeTo="margin" w:alignment="left"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16"/>
      <w:gridCol w:w="4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2610" w:type="pct"/>
          <w:tcBorders>
            <w:bottom w:val="single" w:color="00B2C6" w:sz="18" w:space="0"/>
          </w:tcBorders>
          <w:shd w:val="clear" w:color="auto" w:fill="auto"/>
          <w:vAlign w:val="bottom"/>
        </w:tcPr>
        <w:p>
          <w:pPr>
            <w:pStyle w:val="15"/>
            <w:rPr>
              <w:rFonts w:ascii="Aptos" w:hAnsi="Aptos"/>
              <w:b/>
              <w:bCs/>
              <w:color w:val="007382"/>
              <w:sz w:val="20"/>
              <w:szCs w:val="20"/>
              <w:lang w:val="en-US"/>
            </w:rPr>
          </w:pPr>
          <w:r>
            <w:rPr>
              <w:rFonts w:ascii="Aptos" w:hAnsi="Aptos"/>
              <w:b/>
              <w:bCs/>
              <w:color w:val="007382"/>
              <w:sz w:val="20"/>
              <w:szCs w:val="20"/>
            </w:rPr>
            <w:drawing>
              <wp:inline distT="0" distB="0" distL="0" distR="0">
                <wp:extent cx="842645" cy="241935"/>
                <wp:effectExtent l="0" t="0" r="0" b="5715"/>
                <wp:docPr id="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1"/>
                        <pic:cNvPicPr>
                          <a:picLocks noChangeAspect="1"/>
                        </pic:cNvPicPr>
                      </pic:nvPicPr>
                      <pic:blipFill>
                        <a:blip r:embed="rId1" cstate="screen">
                          <a:extLst>
                            <a:ext uri="{96DAC541-7B7A-43D3-8B79-37D633B846F1}">
                              <asvg:svgBlip xmlns:asvg="http://schemas.microsoft.com/office/drawing/2016/SVG/main" r:embed="rId2"/>
                            </a:ext>
                          </a:extLst>
                        </a:blip>
                        <a:stretch>
                          <a:fillRect/>
                        </a:stretch>
                      </pic:blipFill>
                      <pic:spPr>
                        <a:xfrm>
                          <a:off x="0" y="0"/>
                          <a:ext cx="867988" cy="249546"/>
                        </a:xfrm>
                        <a:prstGeom prst="rect">
                          <a:avLst/>
                        </a:prstGeom>
                      </pic:spPr>
                    </pic:pic>
                  </a:graphicData>
                </a:graphic>
              </wp:inline>
            </w:drawing>
          </w:r>
        </w:p>
      </w:tc>
      <w:tc>
        <w:tcPr>
          <w:tcW w:w="2390" w:type="pct"/>
          <w:tcBorders>
            <w:bottom w:val="single" w:color="00B2C6" w:sz="18" w:space="0"/>
          </w:tcBorders>
          <w:shd w:val="clear" w:color="auto" w:fill="auto"/>
          <w:vAlign w:val="bottom"/>
        </w:tcPr>
        <w:p>
          <w:pPr>
            <w:pStyle w:val="15"/>
            <w:jc w:val="right"/>
            <w:rPr>
              <w:rFonts w:ascii="Aptos" w:hAnsi="Aptos"/>
              <w:color w:val="007382"/>
              <w:sz w:val="18"/>
              <w:szCs w:val="18"/>
              <w:lang w:val="en-US"/>
            </w:rPr>
          </w:pPr>
          <w:r>
            <w:rPr>
              <w:rFonts w:ascii="Aptos" w:hAnsi="Aptos"/>
              <w:color w:val="7F7F7F" w:themeColor="background1" w:themeShade="80"/>
              <w:sz w:val="18"/>
              <w:szCs w:val="18"/>
            </w:rPr>
            <w:t>Αποτελέσματα Οικονομικού Έτους 2023</w:t>
          </w:r>
        </w:p>
      </w:tc>
    </w:tr>
  </w:tbl>
  <w:p>
    <w:pPr>
      <w:pStyle w:val="1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65F2C"/>
    <w:multiLevelType w:val="multilevel"/>
    <w:tmpl w:val="2FD65F2C"/>
    <w:lvl w:ilvl="0" w:tentative="0">
      <w:start w:val="1"/>
      <w:numFmt w:val="bullet"/>
      <w:lvlText w:val=""/>
      <w:lvlJc w:val="left"/>
      <w:pPr>
        <w:ind w:left="360" w:hanging="360"/>
      </w:pPr>
      <w:rPr>
        <w:rFonts w:hint="default" w:ascii="Symbol" w:hAnsi="Symbol"/>
        <w:color w:val="00ADBF"/>
        <w:sz w:val="20"/>
        <w:szCs w:val="20"/>
      </w:rPr>
    </w:lvl>
    <w:lvl w:ilvl="1" w:tentative="0">
      <w:start w:val="1"/>
      <w:numFmt w:val="bullet"/>
      <w:lvlText w:val="o"/>
      <w:lvlJc w:val="left"/>
      <w:pPr>
        <w:ind w:left="720" w:hanging="360"/>
      </w:pPr>
      <w:rPr>
        <w:rFonts w:hint="default" w:ascii="Courier New" w:hAnsi="Courier New" w:cs="Courier New"/>
        <w:sz w:val="15"/>
        <w:szCs w:val="15"/>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3E18689A"/>
    <w:multiLevelType w:val="multilevel"/>
    <w:tmpl w:val="3E18689A"/>
    <w:lvl w:ilvl="0" w:tentative="0">
      <w:start w:val="1"/>
      <w:numFmt w:val="bullet"/>
      <w:pStyle w:val="42"/>
      <w:lvlText w:val=""/>
      <w:lvlJc w:val="left"/>
      <w:pPr>
        <w:tabs>
          <w:tab w:val="left" w:pos="720"/>
        </w:tabs>
        <w:ind w:left="720" w:hanging="720"/>
      </w:pPr>
      <w:rPr>
        <w:rFonts w:hint="default" w:ascii="Symbol" w:hAnsi="Symbol"/>
        <w:color w:val="auto"/>
      </w:rPr>
    </w:lvl>
    <w:lvl w:ilvl="1" w:tentative="0">
      <w:start w:val="1"/>
      <w:numFmt w:val="bullet"/>
      <w:lvlText w:val=""/>
      <w:lvlJc w:val="left"/>
      <w:pPr>
        <w:tabs>
          <w:tab w:val="left" w:pos="1440"/>
        </w:tabs>
        <w:ind w:left="1440" w:hanging="720"/>
      </w:pPr>
      <w:rPr>
        <w:rFonts w:hint="default" w:ascii="Symbol" w:hAnsi="Symbol"/>
        <w:color w:val="auto"/>
      </w:rPr>
    </w:lvl>
    <w:lvl w:ilvl="2" w:tentative="0">
      <w:start w:val="1"/>
      <w:numFmt w:val="bullet"/>
      <w:lvlText w:val="ᴼ"/>
      <w:lvlJc w:val="left"/>
      <w:pPr>
        <w:tabs>
          <w:tab w:val="left" w:pos="720"/>
        </w:tabs>
        <w:ind w:left="1440" w:hanging="720"/>
      </w:pPr>
      <w:rPr>
        <w:rFonts w:hint="default" w:ascii="Tahoma" w:hAnsi="Tahoma" w:cs="Times New Roman"/>
        <w:color w:val="auto"/>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rawingGridHorizontalSpacing w:val="113"/>
  <w:drawingGridVerticalSpacing w:val="11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F6"/>
    <w:rsid w:val="0000091C"/>
    <w:rsid w:val="00000E66"/>
    <w:rsid w:val="000013EC"/>
    <w:rsid w:val="00001418"/>
    <w:rsid w:val="000014DC"/>
    <w:rsid w:val="000017C8"/>
    <w:rsid w:val="00001DCC"/>
    <w:rsid w:val="00002C2B"/>
    <w:rsid w:val="00003126"/>
    <w:rsid w:val="0000340D"/>
    <w:rsid w:val="00003522"/>
    <w:rsid w:val="00003596"/>
    <w:rsid w:val="00003724"/>
    <w:rsid w:val="00003C48"/>
    <w:rsid w:val="0000442E"/>
    <w:rsid w:val="00004946"/>
    <w:rsid w:val="00004F60"/>
    <w:rsid w:val="00005D82"/>
    <w:rsid w:val="00005FD6"/>
    <w:rsid w:val="000069C4"/>
    <w:rsid w:val="00006BD5"/>
    <w:rsid w:val="00006BDB"/>
    <w:rsid w:val="00006C2B"/>
    <w:rsid w:val="00006D0C"/>
    <w:rsid w:val="00006D8F"/>
    <w:rsid w:val="00006DA3"/>
    <w:rsid w:val="00006DDA"/>
    <w:rsid w:val="00006EE9"/>
    <w:rsid w:val="00006FC1"/>
    <w:rsid w:val="000070BD"/>
    <w:rsid w:val="0000722E"/>
    <w:rsid w:val="0000754F"/>
    <w:rsid w:val="00007DF2"/>
    <w:rsid w:val="00007FB3"/>
    <w:rsid w:val="0001004C"/>
    <w:rsid w:val="000105E7"/>
    <w:rsid w:val="00010C89"/>
    <w:rsid w:val="00010CD7"/>
    <w:rsid w:val="00011401"/>
    <w:rsid w:val="0001201F"/>
    <w:rsid w:val="0001206A"/>
    <w:rsid w:val="000125F9"/>
    <w:rsid w:val="00012A6C"/>
    <w:rsid w:val="00012AA7"/>
    <w:rsid w:val="00013060"/>
    <w:rsid w:val="000130FF"/>
    <w:rsid w:val="000131DB"/>
    <w:rsid w:val="00013449"/>
    <w:rsid w:val="000137FC"/>
    <w:rsid w:val="000139A7"/>
    <w:rsid w:val="00013A11"/>
    <w:rsid w:val="00013AB3"/>
    <w:rsid w:val="00013C46"/>
    <w:rsid w:val="00013CBF"/>
    <w:rsid w:val="00013DCE"/>
    <w:rsid w:val="00014247"/>
    <w:rsid w:val="000146F8"/>
    <w:rsid w:val="00014BDE"/>
    <w:rsid w:val="000150F9"/>
    <w:rsid w:val="00015FB6"/>
    <w:rsid w:val="00016491"/>
    <w:rsid w:val="000164BB"/>
    <w:rsid w:val="0001693A"/>
    <w:rsid w:val="00017448"/>
    <w:rsid w:val="000177A9"/>
    <w:rsid w:val="000178A9"/>
    <w:rsid w:val="00017B65"/>
    <w:rsid w:val="00017D0C"/>
    <w:rsid w:val="000201BD"/>
    <w:rsid w:val="00020239"/>
    <w:rsid w:val="0002099F"/>
    <w:rsid w:val="00020AC9"/>
    <w:rsid w:val="00020B68"/>
    <w:rsid w:val="00021295"/>
    <w:rsid w:val="00021DE8"/>
    <w:rsid w:val="00021EAF"/>
    <w:rsid w:val="00022524"/>
    <w:rsid w:val="00022812"/>
    <w:rsid w:val="000228F1"/>
    <w:rsid w:val="00022F37"/>
    <w:rsid w:val="00023268"/>
    <w:rsid w:val="00023273"/>
    <w:rsid w:val="00023636"/>
    <w:rsid w:val="0002365B"/>
    <w:rsid w:val="000237DA"/>
    <w:rsid w:val="00023894"/>
    <w:rsid w:val="000238EC"/>
    <w:rsid w:val="00023D78"/>
    <w:rsid w:val="00023F4D"/>
    <w:rsid w:val="0002401C"/>
    <w:rsid w:val="00024327"/>
    <w:rsid w:val="00025154"/>
    <w:rsid w:val="000254A9"/>
    <w:rsid w:val="000254C8"/>
    <w:rsid w:val="000255BD"/>
    <w:rsid w:val="0002568C"/>
    <w:rsid w:val="00025C51"/>
    <w:rsid w:val="00025F2D"/>
    <w:rsid w:val="0002621F"/>
    <w:rsid w:val="00026340"/>
    <w:rsid w:val="0002636F"/>
    <w:rsid w:val="00026516"/>
    <w:rsid w:val="000266C9"/>
    <w:rsid w:val="0002690A"/>
    <w:rsid w:val="00026B3F"/>
    <w:rsid w:val="00026C57"/>
    <w:rsid w:val="0002778C"/>
    <w:rsid w:val="000277B7"/>
    <w:rsid w:val="00027D3B"/>
    <w:rsid w:val="00027DFA"/>
    <w:rsid w:val="00027E2A"/>
    <w:rsid w:val="000303C0"/>
    <w:rsid w:val="00030770"/>
    <w:rsid w:val="00030800"/>
    <w:rsid w:val="000308D5"/>
    <w:rsid w:val="00030BCE"/>
    <w:rsid w:val="00031665"/>
    <w:rsid w:val="000319EF"/>
    <w:rsid w:val="00031B3E"/>
    <w:rsid w:val="00031B54"/>
    <w:rsid w:val="00031BC6"/>
    <w:rsid w:val="00031EB4"/>
    <w:rsid w:val="00031FE7"/>
    <w:rsid w:val="00032164"/>
    <w:rsid w:val="0003265A"/>
    <w:rsid w:val="00032660"/>
    <w:rsid w:val="000328E9"/>
    <w:rsid w:val="000329B7"/>
    <w:rsid w:val="00032B02"/>
    <w:rsid w:val="00032D33"/>
    <w:rsid w:val="00032D78"/>
    <w:rsid w:val="00032D90"/>
    <w:rsid w:val="00033225"/>
    <w:rsid w:val="000339DE"/>
    <w:rsid w:val="00034275"/>
    <w:rsid w:val="0003469E"/>
    <w:rsid w:val="000347D0"/>
    <w:rsid w:val="00034929"/>
    <w:rsid w:val="00034B3E"/>
    <w:rsid w:val="000353F5"/>
    <w:rsid w:val="00035C59"/>
    <w:rsid w:val="00035F6E"/>
    <w:rsid w:val="00036034"/>
    <w:rsid w:val="00036104"/>
    <w:rsid w:val="0003618A"/>
    <w:rsid w:val="000367B2"/>
    <w:rsid w:val="00036B80"/>
    <w:rsid w:val="00036BF2"/>
    <w:rsid w:val="00036D51"/>
    <w:rsid w:val="000373E5"/>
    <w:rsid w:val="00037E15"/>
    <w:rsid w:val="00040144"/>
    <w:rsid w:val="0004078E"/>
    <w:rsid w:val="00040A06"/>
    <w:rsid w:val="00040A3B"/>
    <w:rsid w:val="00040E71"/>
    <w:rsid w:val="00041267"/>
    <w:rsid w:val="000413D9"/>
    <w:rsid w:val="00041948"/>
    <w:rsid w:val="00042473"/>
    <w:rsid w:val="00042696"/>
    <w:rsid w:val="00042845"/>
    <w:rsid w:val="000430EC"/>
    <w:rsid w:val="00043108"/>
    <w:rsid w:val="00043222"/>
    <w:rsid w:val="000436A9"/>
    <w:rsid w:val="000446CC"/>
    <w:rsid w:val="00044763"/>
    <w:rsid w:val="000448E1"/>
    <w:rsid w:val="00045A5C"/>
    <w:rsid w:val="00045E96"/>
    <w:rsid w:val="00045EDA"/>
    <w:rsid w:val="00045EE9"/>
    <w:rsid w:val="0004638E"/>
    <w:rsid w:val="00046A12"/>
    <w:rsid w:val="00046B90"/>
    <w:rsid w:val="0004716C"/>
    <w:rsid w:val="000471C0"/>
    <w:rsid w:val="000471C2"/>
    <w:rsid w:val="0004729A"/>
    <w:rsid w:val="000475A6"/>
    <w:rsid w:val="00047EA1"/>
    <w:rsid w:val="00050585"/>
    <w:rsid w:val="00050775"/>
    <w:rsid w:val="00050778"/>
    <w:rsid w:val="00050D24"/>
    <w:rsid w:val="00050DBF"/>
    <w:rsid w:val="000516E2"/>
    <w:rsid w:val="00052445"/>
    <w:rsid w:val="00052521"/>
    <w:rsid w:val="00052648"/>
    <w:rsid w:val="00052A10"/>
    <w:rsid w:val="00052F52"/>
    <w:rsid w:val="00053193"/>
    <w:rsid w:val="00053E72"/>
    <w:rsid w:val="000540A1"/>
    <w:rsid w:val="00054139"/>
    <w:rsid w:val="000542A6"/>
    <w:rsid w:val="00054679"/>
    <w:rsid w:val="00054700"/>
    <w:rsid w:val="00054B57"/>
    <w:rsid w:val="00054D0D"/>
    <w:rsid w:val="00054FA3"/>
    <w:rsid w:val="0005543A"/>
    <w:rsid w:val="0005583B"/>
    <w:rsid w:val="00055A52"/>
    <w:rsid w:val="00055D4C"/>
    <w:rsid w:val="00056442"/>
    <w:rsid w:val="000567DD"/>
    <w:rsid w:val="00056F22"/>
    <w:rsid w:val="00057482"/>
    <w:rsid w:val="0005770F"/>
    <w:rsid w:val="0005778C"/>
    <w:rsid w:val="00057A38"/>
    <w:rsid w:val="00057EB0"/>
    <w:rsid w:val="000603AF"/>
    <w:rsid w:val="000609AF"/>
    <w:rsid w:val="000609CE"/>
    <w:rsid w:val="00060B18"/>
    <w:rsid w:val="00060E80"/>
    <w:rsid w:val="0006126E"/>
    <w:rsid w:val="0006137A"/>
    <w:rsid w:val="00061558"/>
    <w:rsid w:val="00061BBC"/>
    <w:rsid w:val="00061D9F"/>
    <w:rsid w:val="00061FE2"/>
    <w:rsid w:val="0006216A"/>
    <w:rsid w:val="000621A4"/>
    <w:rsid w:val="000622D9"/>
    <w:rsid w:val="00062376"/>
    <w:rsid w:val="00063344"/>
    <w:rsid w:val="000634ED"/>
    <w:rsid w:val="000635FB"/>
    <w:rsid w:val="000637AF"/>
    <w:rsid w:val="00063A93"/>
    <w:rsid w:val="00063CDE"/>
    <w:rsid w:val="000646CD"/>
    <w:rsid w:val="0006505D"/>
    <w:rsid w:val="000650FB"/>
    <w:rsid w:val="0006557D"/>
    <w:rsid w:val="000655A1"/>
    <w:rsid w:val="00065A4C"/>
    <w:rsid w:val="00065BD6"/>
    <w:rsid w:val="00065C94"/>
    <w:rsid w:val="0006615D"/>
    <w:rsid w:val="000662EE"/>
    <w:rsid w:val="000668AD"/>
    <w:rsid w:val="000668C2"/>
    <w:rsid w:val="00066A02"/>
    <w:rsid w:val="00066AAA"/>
    <w:rsid w:val="000671D7"/>
    <w:rsid w:val="0006750A"/>
    <w:rsid w:val="000679B3"/>
    <w:rsid w:val="00067C7A"/>
    <w:rsid w:val="00070233"/>
    <w:rsid w:val="000702FF"/>
    <w:rsid w:val="0007063A"/>
    <w:rsid w:val="00070846"/>
    <w:rsid w:val="00070922"/>
    <w:rsid w:val="000709B8"/>
    <w:rsid w:val="00070AA3"/>
    <w:rsid w:val="00070E4C"/>
    <w:rsid w:val="00071032"/>
    <w:rsid w:val="0007142C"/>
    <w:rsid w:val="000714B8"/>
    <w:rsid w:val="0007157F"/>
    <w:rsid w:val="00071C69"/>
    <w:rsid w:val="00072210"/>
    <w:rsid w:val="00072384"/>
    <w:rsid w:val="0007244D"/>
    <w:rsid w:val="0007258F"/>
    <w:rsid w:val="000726B3"/>
    <w:rsid w:val="00072725"/>
    <w:rsid w:val="00072CE3"/>
    <w:rsid w:val="00072D2D"/>
    <w:rsid w:val="00073621"/>
    <w:rsid w:val="00073707"/>
    <w:rsid w:val="000739A3"/>
    <w:rsid w:val="00073CFF"/>
    <w:rsid w:val="0007401A"/>
    <w:rsid w:val="00074259"/>
    <w:rsid w:val="00074812"/>
    <w:rsid w:val="00074843"/>
    <w:rsid w:val="00074ADB"/>
    <w:rsid w:val="00074B3E"/>
    <w:rsid w:val="00074C0A"/>
    <w:rsid w:val="00074C2C"/>
    <w:rsid w:val="000754C2"/>
    <w:rsid w:val="00075716"/>
    <w:rsid w:val="0007577C"/>
    <w:rsid w:val="0007582A"/>
    <w:rsid w:val="00075BF9"/>
    <w:rsid w:val="000762BF"/>
    <w:rsid w:val="000765B8"/>
    <w:rsid w:val="000765E8"/>
    <w:rsid w:val="00076A0A"/>
    <w:rsid w:val="00076E4E"/>
    <w:rsid w:val="000776A1"/>
    <w:rsid w:val="00077EB8"/>
    <w:rsid w:val="00077EE6"/>
    <w:rsid w:val="00080528"/>
    <w:rsid w:val="0008065D"/>
    <w:rsid w:val="0008107E"/>
    <w:rsid w:val="00081252"/>
    <w:rsid w:val="000815AD"/>
    <w:rsid w:val="00081ACA"/>
    <w:rsid w:val="00081ED2"/>
    <w:rsid w:val="00082333"/>
    <w:rsid w:val="00082F2B"/>
    <w:rsid w:val="00083041"/>
    <w:rsid w:val="000846BD"/>
    <w:rsid w:val="00085094"/>
    <w:rsid w:val="000858F2"/>
    <w:rsid w:val="00085E3F"/>
    <w:rsid w:val="0008648D"/>
    <w:rsid w:val="00087115"/>
    <w:rsid w:val="000908A3"/>
    <w:rsid w:val="00090994"/>
    <w:rsid w:val="00090AC8"/>
    <w:rsid w:val="00090F57"/>
    <w:rsid w:val="0009104F"/>
    <w:rsid w:val="00091098"/>
    <w:rsid w:val="000912FB"/>
    <w:rsid w:val="00091349"/>
    <w:rsid w:val="000915A1"/>
    <w:rsid w:val="0009183E"/>
    <w:rsid w:val="00091D00"/>
    <w:rsid w:val="00091F88"/>
    <w:rsid w:val="000920F5"/>
    <w:rsid w:val="00092121"/>
    <w:rsid w:val="000925E5"/>
    <w:rsid w:val="00092D39"/>
    <w:rsid w:val="00092DC3"/>
    <w:rsid w:val="000930D0"/>
    <w:rsid w:val="000930F5"/>
    <w:rsid w:val="000933EA"/>
    <w:rsid w:val="00093500"/>
    <w:rsid w:val="00094A76"/>
    <w:rsid w:val="0009509C"/>
    <w:rsid w:val="00096A48"/>
    <w:rsid w:val="00096B18"/>
    <w:rsid w:val="00096EFE"/>
    <w:rsid w:val="00097139"/>
    <w:rsid w:val="000971A0"/>
    <w:rsid w:val="000972C7"/>
    <w:rsid w:val="00097AE2"/>
    <w:rsid w:val="000A0149"/>
    <w:rsid w:val="000A030A"/>
    <w:rsid w:val="000A04FF"/>
    <w:rsid w:val="000A05D1"/>
    <w:rsid w:val="000A07AF"/>
    <w:rsid w:val="000A0A69"/>
    <w:rsid w:val="000A0DA1"/>
    <w:rsid w:val="000A0F8A"/>
    <w:rsid w:val="000A146A"/>
    <w:rsid w:val="000A164F"/>
    <w:rsid w:val="000A1D4E"/>
    <w:rsid w:val="000A24BA"/>
    <w:rsid w:val="000A2880"/>
    <w:rsid w:val="000A2E3C"/>
    <w:rsid w:val="000A2F8D"/>
    <w:rsid w:val="000A2FBE"/>
    <w:rsid w:val="000A3A95"/>
    <w:rsid w:val="000A3FF8"/>
    <w:rsid w:val="000A4011"/>
    <w:rsid w:val="000A41E9"/>
    <w:rsid w:val="000A46F4"/>
    <w:rsid w:val="000A499B"/>
    <w:rsid w:val="000A4B4E"/>
    <w:rsid w:val="000A5093"/>
    <w:rsid w:val="000A5B45"/>
    <w:rsid w:val="000A67F1"/>
    <w:rsid w:val="000A681F"/>
    <w:rsid w:val="000A694F"/>
    <w:rsid w:val="000A7032"/>
    <w:rsid w:val="000A7332"/>
    <w:rsid w:val="000A7627"/>
    <w:rsid w:val="000A7D9C"/>
    <w:rsid w:val="000A7DCD"/>
    <w:rsid w:val="000B01A9"/>
    <w:rsid w:val="000B029F"/>
    <w:rsid w:val="000B02FC"/>
    <w:rsid w:val="000B07FB"/>
    <w:rsid w:val="000B0C18"/>
    <w:rsid w:val="000B137E"/>
    <w:rsid w:val="000B1778"/>
    <w:rsid w:val="000B17C3"/>
    <w:rsid w:val="000B1CEA"/>
    <w:rsid w:val="000B20BE"/>
    <w:rsid w:val="000B23DD"/>
    <w:rsid w:val="000B24C9"/>
    <w:rsid w:val="000B28A7"/>
    <w:rsid w:val="000B294D"/>
    <w:rsid w:val="000B2971"/>
    <w:rsid w:val="000B2982"/>
    <w:rsid w:val="000B29DD"/>
    <w:rsid w:val="000B2B5B"/>
    <w:rsid w:val="000B2C98"/>
    <w:rsid w:val="000B30E4"/>
    <w:rsid w:val="000B318B"/>
    <w:rsid w:val="000B324E"/>
    <w:rsid w:val="000B33C5"/>
    <w:rsid w:val="000B392D"/>
    <w:rsid w:val="000B3DDF"/>
    <w:rsid w:val="000B3F9C"/>
    <w:rsid w:val="000B47FB"/>
    <w:rsid w:val="000B483E"/>
    <w:rsid w:val="000B4C52"/>
    <w:rsid w:val="000B54AF"/>
    <w:rsid w:val="000B56AC"/>
    <w:rsid w:val="000B681A"/>
    <w:rsid w:val="000B6DAB"/>
    <w:rsid w:val="000B6DD1"/>
    <w:rsid w:val="000B7723"/>
    <w:rsid w:val="000B77F3"/>
    <w:rsid w:val="000B78DA"/>
    <w:rsid w:val="000B79C0"/>
    <w:rsid w:val="000B7A26"/>
    <w:rsid w:val="000C0032"/>
    <w:rsid w:val="000C0043"/>
    <w:rsid w:val="000C0093"/>
    <w:rsid w:val="000C0191"/>
    <w:rsid w:val="000C0704"/>
    <w:rsid w:val="000C0A43"/>
    <w:rsid w:val="000C0EC9"/>
    <w:rsid w:val="000C0EED"/>
    <w:rsid w:val="000C124A"/>
    <w:rsid w:val="000C14F0"/>
    <w:rsid w:val="000C16CA"/>
    <w:rsid w:val="000C1A73"/>
    <w:rsid w:val="000C2218"/>
    <w:rsid w:val="000C2BE0"/>
    <w:rsid w:val="000C2CCA"/>
    <w:rsid w:val="000C3025"/>
    <w:rsid w:val="000C30CE"/>
    <w:rsid w:val="000C3179"/>
    <w:rsid w:val="000C3AB6"/>
    <w:rsid w:val="000C3ADB"/>
    <w:rsid w:val="000C3C89"/>
    <w:rsid w:val="000C3F5A"/>
    <w:rsid w:val="000C4581"/>
    <w:rsid w:val="000C4985"/>
    <w:rsid w:val="000C4DEE"/>
    <w:rsid w:val="000C4FF9"/>
    <w:rsid w:val="000C5012"/>
    <w:rsid w:val="000C518D"/>
    <w:rsid w:val="000C5BDA"/>
    <w:rsid w:val="000C5C61"/>
    <w:rsid w:val="000C5E96"/>
    <w:rsid w:val="000C603B"/>
    <w:rsid w:val="000C6C3D"/>
    <w:rsid w:val="000C6F0D"/>
    <w:rsid w:val="000C6F70"/>
    <w:rsid w:val="000C726F"/>
    <w:rsid w:val="000C728C"/>
    <w:rsid w:val="000C739D"/>
    <w:rsid w:val="000C79CB"/>
    <w:rsid w:val="000C7A73"/>
    <w:rsid w:val="000C7AB2"/>
    <w:rsid w:val="000D0029"/>
    <w:rsid w:val="000D0072"/>
    <w:rsid w:val="000D09DA"/>
    <w:rsid w:val="000D0A49"/>
    <w:rsid w:val="000D0F0D"/>
    <w:rsid w:val="000D1769"/>
    <w:rsid w:val="000D2509"/>
    <w:rsid w:val="000D2517"/>
    <w:rsid w:val="000D27C0"/>
    <w:rsid w:val="000D2B28"/>
    <w:rsid w:val="000D2BB3"/>
    <w:rsid w:val="000D2D20"/>
    <w:rsid w:val="000D315A"/>
    <w:rsid w:val="000D4806"/>
    <w:rsid w:val="000D4BAB"/>
    <w:rsid w:val="000D4DBA"/>
    <w:rsid w:val="000D4E54"/>
    <w:rsid w:val="000D5071"/>
    <w:rsid w:val="000D58C3"/>
    <w:rsid w:val="000D598C"/>
    <w:rsid w:val="000D59EB"/>
    <w:rsid w:val="000D5A13"/>
    <w:rsid w:val="000D5C5F"/>
    <w:rsid w:val="000D5F80"/>
    <w:rsid w:val="000D6923"/>
    <w:rsid w:val="000D6A50"/>
    <w:rsid w:val="000D6D8E"/>
    <w:rsid w:val="000D7000"/>
    <w:rsid w:val="000D718A"/>
    <w:rsid w:val="000D745B"/>
    <w:rsid w:val="000D7504"/>
    <w:rsid w:val="000D779E"/>
    <w:rsid w:val="000D7A28"/>
    <w:rsid w:val="000D7C2F"/>
    <w:rsid w:val="000D7F62"/>
    <w:rsid w:val="000E0050"/>
    <w:rsid w:val="000E021D"/>
    <w:rsid w:val="000E0770"/>
    <w:rsid w:val="000E0C7C"/>
    <w:rsid w:val="000E1936"/>
    <w:rsid w:val="000E1C4E"/>
    <w:rsid w:val="000E1D28"/>
    <w:rsid w:val="000E1EA4"/>
    <w:rsid w:val="000E1ED5"/>
    <w:rsid w:val="000E2036"/>
    <w:rsid w:val="000E24A7"/>
    <w:rsid w:val="000E2708"/>
    <w:rsid w:val="000E275D"/>
    <w:rsid w:val="000E2AE2"/>
    <w:rsid w:val="000E32BA"/>
    <w:rsid w:val="000E3722"/>
    <w:rsid w:val="000E39AE"/>
    <w:rsid w:val="000E3ABA"/>
    <w:rsid w:val="000E4CED"/>
    <w:rsid w:val="000E4D2B"/>
    <w:rsid w:val="000E5272"/>
    <w:rsid w:val="000E5377"/>
    <w:rsid w:val="000E58F1"/>
    <w:rsid w:val="000E5AC7"/>
    <w:rsid w:val="000E5CA5"/>
    <w:rsid w:val="000E6072"/>
    <w:rsid w:val="000E622F"/>
    <w:rsid w:val="000E651C"/>
    <w:rsid w:val="000E6714"/>
    <w:rsid w:val="000E6AF8"/>
    <w:rsid w:val="000E6DE4"/>
    <w:rsid w:val="000E75D4"/>
    <w:rsid w:val="000E75ED"/>
    <w:rsid w:val="000E77D3"/>
    <w:rsid w:val="000E77FB"/>
    <w:rsid w:val="000E78A8"/>
    <w:rsid w:val="000E7A70"/>
    <w:rsid w:val="000F0C83"/>
    <w:rsid w:val="000F0CC1"/>
    <w:rsid w:val="000F105E"/>
    <w:rsid w:val="000F12F8"/>
    <w:rsid w:val="000F187F"/>
    <w:rsid w:val="000F1FBE"/>
    <w:rsid w:val="000F2349"/>
    <w:rsid w:val="000F26B0"/>
    <w:rsid w:val="000F2C5D"/>
    <w:rsid w:val="000F2F62"/>
    <w:rsid w:val="000F308A"/>
    <w:rsid w:val="000F39DE"/>
    <w:rsid w:val="000F40A1"/>
    <w:rsid w:val="000F4782"/>
    <w:rsid w:val="000F484A"/>
    <w:rsid w:val="000F4AD1"/>
    <w:rsid w:val="000F4D03"/>
    <w:rsid w:val="000F4DBC"/>
    <w:rsid w:val="000F5236"/>
    <w:rsid w:val="000F525C"/>
    <w:rsid w:val="000F5356"/>
    <w:rsid w:val="000F55F1"/>
    <w:rsid w:val="000F5C24"/>
    <w:rsid w:val="000F5D74"/>
    <w:rsid w:val="000F5E8A"/>
    <w:rsid w:val="000F5EA4"/>
    <w:rsid w:val="000F6118"/>
    <w:rsid w:val="000F65A4"/>
    <w:rsid w:val="000F6649"/>
    <w:rsid w:val="000F6744"/>
    <w:rsid w:val="000F6B47"/>
    <w:rsid w:val="000F6CBE"/>
    <w:rsid w:val="000F6D3C"/>
    <w:rsid w:val="000F6EA1"/>
    <w:rsid w:val="000F701B"/>
    <w:rsid w:val="000F7D3C"/>
    <w:rsid w:val="00100707"/>
    <w:rsid w:val="00100896"/>
    <w:rsid w:val="00100FB7"/>
    <w:rsid w:val="001010A0"/>
    <w:rsid w:val="00101648"/>
    <w:rsid w:val="00101877"/>
    <w:rsid w:val="0010213F"/>
    <w:rsid w:val="00102505"/>
    <w:rsid w:val="001028DC"/>
    <w:rsid w:val="00102E6B"/>
    <w:rsid w:val="00103634"/>
    <w:rsid w:val="00103657"/>
    <w:rsid w:val="00103808"/>
    <w:rsid w:val="00103AAE"/>
    <w:rsid w:val="00103C64"/>
    <w:rsid w:val="00103E04"/>
    <w:rsid w:val="00104A3C"/>
    <w:rsid w:val="00104B67"/>
    <w:rsid w:val="00104C2D"/>
    <w:rsid w:val="00104F1A"/>
    <w:rsid w:val="00104FC2"/>
    <w:rsid w:val="0010579E"/>
    <w:rsid w:val="001058C9"/>
    <w:rsid w:val="00105CBA"/>
    <w:rsid w:val="00105D4C"/>
    <w:rsid w:val="00106AB5"/>
    <w:rsid w:val="00106C53"/>
    <w:rsid w:val="001073E9"/>
    <w:rsid w:val="001079AC"/>
    <w:rsid w:val="00107B11"/>
    <w:rsid w:val="00107B3F"/>
    <w:rsid w:val="00110088"/>
    <w:rsid w:val="0011054B"/>
    <w:rsid w:val="001113DC"/>
    <w:rsid w:val="00111880"/>
    <w:rsid w:val="00111DAF"/>
    <w:rsid w:val="00111F47"/>
    <w:rsid w:val="00112281"/>
    <w:rsid w:val="0011268E"/>
    <w:rsid w:val="00112907"/>
    <w:rsid w:val="00112BE9"/>
    <w:rsid w:val="00112E9B"/>
    <w:rsid w:val="001133E5"/>
    <w:rsid w:val="0011395A"/>
    <w:rsid w:val="00113C4B"/>
    <w:rsid w:val="00113FB6"/>
    <w:rsid w:val="00114711"/>
    <w:rsid w:val="00114E10"/>
    <w:rsid w:val="00114E4E"/>
    <w:rsid w:val="00114E52"/>
    <w:rsid w:val="0011501A"/>
    <w:rsid w:val="00115189"/>
    <w:rsid w:val="001152F2"/>
    <w:rsid w:val="00115425"/>
    <w:rsid w:val="00115A31"/>
    <w:rsid w:val="00115CC2"/>
    <w:rsid w:val="00115FE8"/>
    <w:rsid w:val="00116192"/>
    <w:rsid w:val="001161A3"/>
    <w:rsid w:val="00116341"/>
    <w:rsid w:val="001166CA"/>
    <w:rsid w:val="00116709"/>
    <w:rsid w:val="001168D3"/>
    <w:rsid w:val="0011691E"/>
    <w:rsid w:val="00116995"/>
    <w:rsid w:val="00116CE8"/>
    <w:rsid w:val="0011710C"/>
    <w:rsid w:val="001172A0"/>
    <w:rsid w:val="001172A4"/>
    <w:rsid w:val="001173F5"/>
    <w:rsid w:val="001179A0"/>
    <w:rsid w:val="00117AD5"/>
    <w:rsid w:val="00117AF9"/>
    <w:rsid w:val="00117BC2"/>
    <w:rsid w:val="00117D5A"/>
    <w:rsid w:val="00117D73"/>
    <w:rsid w:val="0012024E"/>
    <w:rsid w:val="00120B55"/>
    <w:rsid w:val="00120FAA"/>
    <w:rsid w:val="0012114E"/>
    <w:rsid w:val="001211C7"/>
    <w:rsid w:val="001217FE"/>
    <w:rsid w:val="00121E83"/>
    <w:rsid w:val="001223E7"/>
    <w:rsid w:val="001224E9"/>
    <w:rsid w:val="00122514"/>
    <w:rsid w:val="001226F1"/>
    <w:rsid w:val="00122B00"/>
    <w:rsid w:val="00122EE2"/>
    <w:rsid w:val="001233CA"/>
    <w:rsid w:val="00123B81"/>
    <w:rsid w:val="0012442E"/>
    <w:rsid w:val="001245B5"/>
    <w:rsid w:val="00124765"/>
    <w:rsid w:val="001247B9"/>
    <w:rsid w:val="00124BDF"/>
    <w:rsid w:val="00124D4A"/>
    <w:rsid w:val="0012511B"/>
    <w:rsid w:val="00125555"/>
    <w:rsid w:val="00125A73"/>
    <w:rsid w:val="00125B19"/>
    <w:rsid w:val="00125DF9"/>
    <w:rsid w:val="00126317"/>
    <w:rsid w:val="001266F2"/>
    <w:rsid w:val="001267D7"/>
    <w:rsid w:val="00126949"/>
    <w:rsid w:val="00126F29"/>
    <w:rsid w:val="00126FE2"/>
    <w:rsid w:val="00127029"/>
    <w:rsid w:val="001275B4"/>
    <w:rsid w:val="0012791A"/>
    <w:rsid w:val="00127A64"/>
    <w:rsid w:val="001302E0"/>
    <w:rsid w:val="00130976"/>
    <w:rsid w:val="00130BCC"/>
    <w:rsid w:val="00130D2E"/>
    <w:rsid w:val="00130D4B"/>
    <w:rsid w:val="00130F40"/>
    <w:rsid w:val="001313BF"/>
    <w:rsid w:val="001316D7"/>
    <w:rsid w:val="00131DF4"/>
    <w:rsid w:val="00131F5C"/>
    <w:rsid w:val="001325D4"/>
    <w:rsid w:val="0013271A"/>
    <w:rsid w:val="00132CAD"/>
    <w:rsid w:val="00132FA3"/>
    <w:rsid w:val="001333CA"/>
    <w:rsid w:val="00133671"/>
    <w:rsid w:val="00133E39"/>
    <w:rsid w:val="001340BE"/>
    <w:rsid w:val="00134916"/>
    <w:rsid w:val="00134B1E"/>
    <w:rsid w:val="00134C55"/>
    <w:rsid w:val="00134DEA"/>
    <w:rsid w:val="00134E76"/>
    <w:rsid w:val="00134F97"/>
    <w:rsid w:val="001351E8"/>
    <w:rsid w:val="0013547C"/>
    <w:rsid w:val="0013547E"/>
    <w:rsid w:val="0013594E"/>
    <w:rsid w:val="00135AA2"/>
    <w:rsid w:val="001361FF"/>
    <w:rsid w:val="00136684"/>
    <w:rsid w:val="001366A3"/>
    <w:rsid w:val="00136817"/>
    <w:rsid w:val="001369A2"/>
    <w:rsid w:val="00137109"/>
    <w:rsid w:val="001374D6"/>
    <w:rsid w:val="0013779C"/>
    <w:rsid w:val="0014093B"/>
    <w:rsid w:val="00140984"/>
    <w:rsid w:val="00140E6E"/>
    <w:rsid w:val="001415A9"/>
    <w:rsid w:val="00141CEE"/>
    <w:rsid w:val="001421FC"/>
    <w:rsid w:val="00142510"/>
    <w:rsid w:val="001425D6"/>
    <w:rsid w:val="00142637"/>
    <w:rsid w:val="00142BED"/>
    <w:rsid w:val="00142EBE"/>
    <w:rsid w:val="00143074"/>
    <w:rsid w:val="001430F4"/>
    <w:rsid w:val="00143261"/>
    <w:rsid w:val="00143F7A"/>
    <w:rsid w:val="001440B2"/>
    <w:rsid w:val="001441C8"/>
    <w:rsid w:val="00144E25"/>
    <w:rsid w:val="00144F12"/>
    <w:rsid w:val="00144F4D"/>
    <w:rsid w:val="00144FDB"/>
    <w:rsid w:val="00145264"/>
    <w:rsid w:val="00145289"/>
    <w:rsid w:val="00145611"/>
    <w:rsid w:val="00145A1B"/>
    <w:rsid w:val="00145DFB"/>
    <w:rsid w:val="00145FC7"/>
    <w:rsid w:val="00146173"/>
    <w:rsid w:val="0014618E"/>
    <w:rsid w:val="001470FC"/>
    <w:rsid w:val="001474A9"/>
    <w:rsid w:val="001479E1"/>
    <w:rsid w:val="00150465"/>
    <w:rsid w:val="00151196"/>
    <w:rsid w:val="001512FB"/>
    <w:rsid w:val="00151341"/>
    <w:rsid w:val="001513C7"/>
    <w:rsid w:val="00151B1E"/>
    <w:rsid w:val="00151FF7"/>
    <w:rsid w:val="00152099"/>
    <w:rsid w:val="0015226A"/>
    <w:rsid w:val="001522C3"/>
    <w:rsid w:val="00152BC9"/>
    <w:rsid w:val="00152C93"/>
    <w:rsid w:val="00152FA6"/>
    <w:rsid w:val="0015351A"/>
    <w:rsid w:val="001541D6"/>
    <w:rsid w:val="00154591"/>
    <w:rsid w:val="00154A4E"/>
    <w:rsid w:val="00154C57"/>
    <w:rsid w:val="00155076"/>
    <w:rsid w:val="0015575B"/>
    <w:rsid w:val="0015591A"/>
    <w:rsid w:val="00155A5E"/>
    <w:rsid w:val="00155AA1"/>
    <w:rsid w:val="00156372"/>
    <w:rsid w:val="001563FE"/>
    <w:rsid w:val="001565D8"/>
    <w:rsid w:val="0015724F"/>
    <w:rsid w:val="0015732E"/>
    <w:rsid w:val="00157416"/>
    <w:rsid w:val="00157E3A"/>
    <w:rsid w:val="00160180"/>
    <w:rsid w:val="00160561"/>
    <w:rsid w:val="001605BB"/>
    <w:rsid w:val="00160867"/>
    <w:rsid w:val="00160B0B"/>
    <w:rsid w:val="00160B27"/>
    <w:rsid w:val="00160EB8"/>
    <w:rsid w:val="00160F9E"/>
    <w:rsid w:val="00161617"/>
    <w:rsid w:val="00161923"/>
    <w:rsid w:val="0016211B"/>
    <w:rsid w:val="00162888"/>
    <w:rsid w:val="00162BA1"/>
    <w:rsid w:val="00162BDD"/>
    <w:rsid w:val="0016305E"/>
    <w:rsid w:val="001633DC"/>
    <w:rsid w:val="001635B7"/>
    <w:rsid w:val="0016376C"/>
    <w:rsid w:val="00163972"/>
    <w:rsid w:val="00163C8D"/>
    <w:rsid w:val="00164233"/>
    <w:rsid w:val="00164607"/>
    <w:rsid w:val="00164B05"/>
    <w:rsid w:val="00164BC5"/>
    <w:rsid w:val="00164C3D"/>
    <w:rsid w:val="00164CC2"/>
    <w:rsid w:val="00164F23"/>
    <w:rsid w:val="00165027"/>
    <w:rsid w:val="0016569E"/>
    <w:rsid w:val="00165705"/>
    <w:rsid w:val="00165B92"/>
    <w:rsid w:val="00165E55"/>
    <w:rsid w:val="00165FCD"/>
    <w:rsid w:val="00166207"/>
    <w:rsid w:val="00166545"/>
    <w:rsid w:val="00166656"/>
    <w:rsid w:val="0016678B"/>
    <w:rsid w:val="00166BDC"/>
    <w:rsid w:val="00166C15"/>
    <w:rsid w:val="0016729D"/>
    <w:rsid w:val="00167392"/>
    <w:rsid w:val="00167812"/>
    <w:rsid w:val="00167C92"/>
    <w:rsid w:val="00170300"/>
    <w:rsid w:val="00170393"/>
    <w:rsid w:val="001706EF"/>
    <w:rsid w:val="00170756"/>
    <w:rsid w:val="0017097E"/>
    <w:rsid w:val="00170B5F"/>
    <w:rsid w:val="00170FA0"/>
    <w:rsid w:val="00171034"/>
    <w:rsid w:val="00171051"/>
    <w:rsid w:val="00171395"/>
    <w:rsid w:val="00171868"/>
    <w:rsid w:val="00171B93"/>
    <w:rsid w:val="00171C3B"/>
    <w:rsid w:val="00171D68"/>
    <w:rsid w:val="00172455"/>
    <w:rsid w:val="0017262C"/>
    <w:rsid w:val="00172D3D"/>
    <w:rsid w:val="00172E68"/>
    <w:rsid w:val="0017315C"/>
    <w:rsid w:val="00173A1B"/>
    <w:rsid w:val="00173EDA"/>
    <w:rsid w:val="00173FAE"/>
    <w:rsid w:val="0017432F"/>
    <w:rsid w:val="00174981"/>
    <w:rsid w:val="00174E5B"/>
    <w:rsid w:val="0017545C"/>
    <w:rsid w:val="0017552B"/>
    <w:rsid w:val="00175662"/>
    <w:rsid w:val="00175879"/>
    <w:rsid w:val="00175992"/>
    <w:rsid w:val="00175E2E"/>
    <w:rsid w:val="001760BD"/>
    <w:rsid w:val="0017612A"/>
    <w:rsid w:val="00176490"/>
    <w:rsid w:val="0017650A"/>
    <w:rsid w:val="001772A7"/>
    <w:rsid w:val="001772E9"/>
    <w:rsid w:val="00177582"/>
    <w:rsid w:val="0018087F"/>
    <w:rsid w:val="00180A68"/>
    <w:rsid w:val="00181350"/>
    <w:rsid w:val="00182080"/>
    <w:rsid w:val="00182C4B"/>
    <w:rsid w:val="00182C5F"/>
    <w:rsid w:val="001830C6"/>
    <w:rsid w:val="001834B6"/>
    <w:rsid w:val="001835A1"/>
    <w:rsid w:val="00183ABC"/>
    <w:rsid w:val="00184741"/>
    <w:rsid w:val="00184C93"/>
    <w:rsid w:val="00184D9C"/>
    <w:rsid w:val="001851A9"/>
    <w:rsid w:val="0018520E"/>
    <w:rsid w:val="001857B3"/>
    <w:rsid w:val="00185B57"/>
    <w:rsid w:val="00185C35"/>
    <w:rsid w:val="00185D59"/>
    <w:rsid w:val="001867B7"/>
    <w:rsid w:val="00186878"/>
    <w:rsid w:val="00186CA0"/>
    <w:rsid w:val="00186DCF"/>
    <w:rsid w:val="00186F3E"/>
    <w:rsid w:val="00187344"/>
    <w:rsid w:val="001874DF"/>
    <w:rsid w:val="00187696"/>
    <w:rsid w:val="00187734"/>
    <w:rsid w:val="00187971"/>
    <w:rsid w:val="00187DE9"/>
    <w:rsid w:val="00190657"/>
    <w:rsid w:val="001907E1"/>
    <w:rsid w:val="00190B96"/>
    <w:rsid w:val="00190EF6"/>
    <w:rsid w:val="00191680"/>
    <w:rsid w:val="00191C39"/>
    <w:rsid w:val="00192091"/>
    <w:rsid w:val="001928A5"/>
    <w:rsid w:val="00192FCD"/>
    <w:rsid w:val="001932FD"/>
    <w:rsid w:val="00193511"/>
    <w:rsid w:val="00193602"/>
    <w:rsid w:val="001937AC"/>
    <w:rsid w:val="00193FA9"/>
    <w:rsid w:val="00194167"/>
    <w:rsid w:val="00194382"/>
    <w:rsid w:val="0019490A"/>
    <w:rsid w:val="00194C5F"/>
    <w:rsid w:val="00194F7A"/>
    <w:rsid w:val="00195344"/>
    <w:rsid w:val="0019551D"/>
    <w:rsid w:val="001958A4"/>
    <w:rsid w:val="001958FA"/>
    <w:rsid w:val="001961D4"/>
    <w:rsid w:val="00196646"/>
    <w:rsid w:val="001969E5"/>
    <w:rsid w:val="001972A2"/>
    <w:rsid w:val="00197438"/>
    <w:rsid w:val="001977B7"/>
    <w:rsid w:val="00197869"/>
    <w:rsid w:val="00197895"/>
    <w:rsid w:val="001A03C4"/>
    <w:rsid w:val="001A0468"/>
    <w:rsid w:val="001A0C74"/>
    <w:rsid w:val="001A0D97"/>
    <w:rsid w:val="001A18FD"/>
    <w:rsid w:val="001A2612"/>
    <w:rsid w:val="001A275D"/>
    <w:rsid w:val="001A2784"/>
    <w:rsid w:val="001A2FB5"/>
    <w:rsid w:val="001A30BC"/>
    <w:rsid w:val="001A3168"/>
    <w:rsid w:val="001A374F"/>
    <w:rsid w:val="001A3974"/>
    <w:rsid w:val="001A39BC"/>
    <w:rsid w:val="001A406B"/>
    <w:rsid w:val="001A4121"/>
    <w:rsid w:val="001A44C9"/>
    <w:rsid w:val="001A47E5"/>
    <w:rsid w:val="001A4FB9"/>
    <w:rsid w:val="001A52A1"/>
    <w:rsid w:val="001A5454"/>
    <w:rsid w:val="001A576A"/>
    <w:rsid w:val="001A5AFA"/>
    <w:rsid w:val="001A5B1C"/>
    <w:rsid w:val="001A60D0"/>
    <w:rsid w:val="001A62A4"/>
    <w:rsid w:val="001A6760"/>
    <w:rsid w:val="001A6BE9"/>
    <w:rsid w:val="001A6ED9"/>
    <w:rsid w:val="001A701E"/>
    <w:rsid w:val="001A71F8"/>
    <w:rsid w:val="001A724D"/>
    <w:rsid w:val="001A7296"/>
    <w:rsid w:val="001A7475"/>
    <w:rsid w:val="001A78A8"/>
    <w:rsid w:val="001A7E20"/>
    <w:rsid w:val="001B09B3"/>
    <w:rsid w:val="001B0B5C"/>
    <w:rsid w:val="001B0BDB"/>
    <w:rsid w:val="001B0D42"/>
    <w:rsid w:val="001B0EE8"/>
    <w:rsid w:val="001B0F0E"/>
    <w:rsid w:val="001B136A"/>
    <w:rsid w:val="001B14A3"/>
    <w:rsid w:val="001B15AB"/>
    <w:rsid w:val="001B1B56"/>
    <w:rsid w:val="001B1F3F"/>
    <w:rsid w:val="001B2A60"/>
    <w:rsid w:val="001B2B45"/>
    <w:rsid w:val="001B2C3B"/>
    <w:rsid w:val="001B2C7F"/>
    <w:rsid w:val="001B2D1E"/>
    <w:rsid w:val="001B3081"/>
    <w:rsid w:val="001B31BF"/>
    <w:rsid w:val="001B32C8"/>
    <w:rsid w:val="001B32DC"/>
    <w:rsid w:val="001B34C1"/>
    <w:rsid w:val="001B3786"/>
    <w:rsid w:val="001B37BC"/>
    <w:rsid w:val="001B3D8E"/>
    <w:rsid w:val="001B4282"/>
    <w:rsid w:val="001B46EB"/>
    <w:rsid w:val="001B48FD"/>
    <w:rsid w:val="001B4950"/>
    <w:rsid w:val="001B5318"/>
    <w:rsid w:val="001B5DD6"/>
    <w:rsid w:val="001B5ED8"/>
    <w:rsid w:val="001B61E0"/>
    <w:rsid w:val="001B6CA3"/>
    <w:rsid w:val="001B6EBE"/>
    <w:rsid w:val="001B7783"/>
    <w:rsid w:val="001B7818"/>
    <w:rsid w:val="001B7A5B"/>
    <w:rsid w:val="001B7A79"/>
    <w:rsid w:val="001C0B76"/>
    <w:rsid w:val="001C0D9A"/>
    <w:rsid w:val="001C1CF5"/>
    <w:rsid w:val="001C206E"/>
    <w:rsid w:val="001C2680"/>
    <w:rsid w:val="001C2A4A"/>
    <w:rsid w:val="001C2B33"/>
    <w:rsid w:val="001C2BAB"/>
    <w:rsid w:val="001C2F52"/>
    <w:rsid w:val="001C35B2"/>
    <w:rsid w:val="001C36D0"/>
    <w:rsid w:val="001C3790"/>
    <w:rsid w:val="001C37C5"/>
    <w:rsid w:val="001C3EAC"/>
    <w:rsid w:val="001C4829"/>
    <w:rsid w:val="001C508D"/>
    <w:rsid w:val="001C5838"/>
    <w:rsid w:val="001C5A04"/>
    <w:rsid w:val="001C5C57"/>
    <w:rsid w:val="001C5D6E"/>
    <w:rsid w:val="001C5E46"/>
    <w:rsid w:val="001C5E47"/>
    <w:rsid w:val="001C65B9"/>
    <w:rsid w:val="001C6804"/>
    <w:rsid w:val="001C73CD"/>
    <w:rsid w:val="001C7566"/>
    <w:rsid w:val="001C782F"/>
    <w:rsid w:val="001C7C39"/>
    <w:rsid w:val="001C7D2D"/>
    <w:rsid w:val="001D03A5"/>
    <w:rsid w:val="001D058E"/>
    <w:rsid w:val="001D08E9"/>
    <w:rsid w:val="001D0CEA"/>
    <w:rsid w:val="001D0E39"/>
    <w:rsid w:val="001D0F1B"/>
    <w:rsid w:val="001D152C"/>
    <w:rsid w:val="001D1693"/>
    <w:rsid w:val="001D1936"/>
    <w:rsid w:val="001D1CED"/>
    <w:rsid w:val="001D23A8"/>
    <w:rsid w:val="001D283B"/>
    <w:rsid w:val="001D2FB5"/>
    <w:rsid w:val="001D36B9"/>
    <w:rsid w:val="001D3878"/>
    <w:rsid w:val="001D3DF7"/>
    <w:rsid w:val="001D3E98"/>
    <w:rsid w:val="001D420D"/>
    <w:rsid w:val="001D4481"/>
    <w:rsid w:val="001D46F4"/>
    <w:rsid w:val="001D4BDB"/>
    <w:rsid w:val="001D50EC"/>
    <w:rsid w:val="001D552B"/>
    <w:rsid w:val="001D5623"/>
    <w:rsid w:val="001D6231"/>
    <w:rsid w:val="001D64F5"/>
    <w:rsid w:val="001D653B"/>
    <w:rsid w:val="001D6711"/>
    <w:rsid w:val="001D67B4"/>
    <w:rsid w:val="001D6BC9"/>
    <w:rsid w:val="001D6BE2"/>
    <w:rsid w:val="001D722F"/>
    <w:rsid w:val="001D7747"/>
    <w:rsid w:val="001D782A"/>
    <w:rsid w:val="001D7C5C"/>
    <w:rsid w:val="001D7D90"/>
    <w:rsid w:val="001E012B"/>
    <w:rsid w:val="001E06E9"/>
    <w:rsid w:val="001E1004"/>
    <w:rsid w:val="001E11EA"/>
    <w:rsid w:val="001E1DC9"/>
    <w:rsid w:val="001E2640"/>
    <w:rsid w:val="001E2C74"/>
    <w:rsid w:val="001E30EA"/>
    <w:rsid w:val="001E31E1"/>
    <w:rsid w:val="001E363F"/>
    <w:rsid w:val="001E3687"/>
    <w:rsid w:val="001E39CA"/>
    <w:rsid w:val="001E3C09"/>
    <w:rsid w:val="001E3EAC"/>
    <w:rsid w:val="001E40B2"/>
    <w:rsid w:val="001E4131"/>
    <w:rsid w:val="001E472E"/>
    <w:rsid w:val="001E48C0"/>
    <w:rsid w:val="001E4B93"/>
    <w:rsid w:val="001E4D00"/>
    <w:rsid w:val="001E55B2"/>
    <w:rsid w:val="001E56FB"/>
    <w:rsid w:val="001E581D"/>
    <w:rsid w:val="001E5D6E"/>
    <w:rsid w:val="001E5DE1"/>
    <w:rsid w:val="001E61DB"/>
    <w:rsid w:val="001E6305"/>
    <w:rsid w:val="001E6401"/>
    <w:rsid w:val="001E68EB"/>
    <w:rsid w:val="001E6E71"/>
    <w:rsid w:val="001E79B8"/>
    <w:rsid w:val="001E7E10"/>
    <w:rsid w:val="001F07EE"/>
    <w:rsid w:val="001F0879"/>
    <w:rsid w:val="001F0C55"/>
    <w:rsid w:val="001F0E91"/>
    <w:rsid w:val="001F18BD"/>
    <w:rsid w:val="001F1D9A"/>
    <w:rsid w:val="001F20A1"/>
    <w:rsid w:val="001F213A"/>
    <w:rsid w:val="001F21AA"/>
    <w:rsid w:val="001F26C1"/>
    <w:rsid w:val="001F2BF2"/>
    <w:rsid w:val="001F2E8E"/>
    <w:rsid w:val="001F3388"/>
    <w:rsid w:val="001F365B"/>
    <w:rsid w:val="001F3887"/>
    <w:rsid w:val="001F3DD7"/>
    <w:rsid w:val="001F41F3"/>
    <w:rsid w:val="001F42CA"/>
    <w:rsid w:val="001F49D9"/>
    <w:rsid w:val="001F4A2A"/>
    <w:rsid w:val="001F57E9"/>
    <w:rsid w:val="001F589C"/>
    <w:rsid w:val="001F596A"/>
    <w:rsid w:val="001F6149"/>
    <w:rsid w:val="001F62AF"/>
    <w:rsid w:val="001F65D2"/>
    <w:rsid w:val="001F6736"/>
    <w:rsid w:val="001F7104"/>
    <w:rsid w:val="001F75EC"/>
    <w:rsid w:val="001F79BB"/>
    <w:rsid w:val="001F7DA5"/>
    <w:rsid w:val="002001D5"/>
    <w:rsid w:val="00200297"/>
    <w:rsid w:val="0020033A"/>
    <w:rsid w:val="002004BB"/>
    <w:rsid w:val="00200781"/>
    <w:rsid w:val="00200991"/>
    <w:rsid w:val="00200C66"/>
    <w:rsid w:val="0020102C"/>
    <w:rsid w:val="0020173D"/>
    <w:rsid w:val="00201B0B"/>
    <w:rsid w:val="00201C9E"/>
    <w:rsid w:val="00201DF8"/>
    <w:rsid w:val="00201EC4"/>
    <w:rsid w:val="00202071"/>
    <w:rsid w:val="002027DC"/>
    <w:rsid w:val="00202CAF"/>
    <w:rsid w:val="00202EDC"/>
    <w:rsid w:val="0020347E"/>
    <w:rsid w:val="002035E1"/>
    <w:rsid w:val="00203737"/>
    <w:rsid w:val="0020487F"/>
    <w:rsid w:val="00204946"/>
    <w:rsid w:val="00204FBB"/>
    <w:rsid w:val="002051BA"/>
    <w:rsid w:val="00205407"/>
    <w:rsid w:val="00205B13"/>
    <w:rsid w:val="00205E92"/>
    <w:rsid w:val="0020604A"/>
    <w:rsid w:val="00206716"/>
    <w:rsid w:val="00206725"/>
    <w:rsid w:val="002067B5"/>
    <w:rsid w:val="002068D2"/>
    <w:rsid w:val="00206AE2"/>
    <w:rsid w:val="00206BDF"/>
    <w:rsid w:val="00206E94"/>
    <w:rsid w:val="00206F30"/>
    <w:rsid w:val="00207448"/>
    <w:rsid w:val="00207530"/>
    <w:rsid w:val="002077C4"/>
    <w:rsid w:val="00207896"/>
    <w:rsid w:val="002079D0"/>
    <w:rsid w:val="002079FD"/>
    <w:rsid w:val="00207A4F"/>
    <w:rsid w:val="0021021F"/>
    <w:rsid w:val="00210B89"/>
    <w:rsid w:val="00210CAE"/>
    <w:rsid w:val="00210DB5"/>
    <w:rsid w:val="00211C02"/>
    <w:rsid w:val="00211EEE"/>
    <w:rsid w:val="00211F71"/>
    <w:rsid w:val="00212268"/>
    <w:rsid w:val="002128B1"/>
    <w:rsid w:val="00212B0A"/>
    <w:rsid w:val="00212F3D"/>
    <w:rsid w:val="00212FC2"/>
    <w:rsid w:val="0021305A"/>
    <w:rsid w:val="00213389"/>
    <w:rsid w:val="002133D0"/>
    <w:rsid w:val="002138B5"/>
    <w:rsid w:val="002138BB"/>
    <w:rsid w:val="00213E8D"/>
    <w:rsid w:val="0021400C"/>
    <w:rsid w:val="0021459C"/>
    <w:rsid w:val="002146F1"/>
    <w:rsid w:val="00214A51"/>
    <w:rsid w:val="00214B1A"/>
    <w:rsid w:val="00214C08"/>
    <w:rsid w:val="0021503F"/>
    <w:rsid w:val="002158C4"/>
    <w:rsid w:val="00215A2B"/>
    <w:rsid w:val="00215C1F"/>
    <w:rsid w:val="00215EFA"/>
    <w:rsid w:val="00216412"/>
    <w:rsid w:val="002165CF"/>
    <w:rsid w:val="00216702"/>
    <w:rsid w:val="0021687A"/>
    <w:rsid w:val="00216B0E"/>
    <w:rsid w:val="00216DE4"/>
    <w:rsid w:val="002170A6"/>
    <w:rsid w:val="00217343"/>
    <w:rsid w:val="0021796A"/>
    <w:rsid w:val="00217EAC"/>
    <w:rsid w:val="0022103B"/>
    <w:rsid w:val="002211CF"/>
    <w:rsid w:val="00222971"/>
    <w:rsid w:val="00222D3D"/>
    <w:rsid w:val="002230CA"/>
    <w:rsid w:val="00223522"/>
    <w:rsid w:val="00223983"/>
    <w:rsid w:val="00223B8E"/>
    <w:rsid w:val="00223CE9"/>
    <w:rsid w:val="00224797"/>
    <w:rsid w:val="00224C2D"/>
    <w:rsid w:val="00224EBA"/>
    <w:rsid w:val="0022517D"/>
    <w:rsid w:val="0022551A"/>
    <w:rsid w:val="00225D7D"/>
    <w:rsid w:val="0022665A"/>
    <w:rsid w:val="00226B0A"/>
    <w:rsid w:val="002272B4"/>
    <w:rsid w:val="00227D10"/>
    <w:rsid w:val="00227E97"/>
    <w:rsid w:val="00227EC5"/>
    <w:rsid w:val="00230165"/>
    <w:rsid w:val="002303B2"/>
    <w:rsid w:val="002306DB"/>
    <w:rsid w:val="0023078A"/>
    <w:rsid w:val="00230B4E"/>
    <w:rsid w:val="00230D9C"/>
    <w:rsid w:val="00230DD2"/>
    <w:rsid w:val="0023244A"/>
    <w:rsid w:val="00232450"/>
    <w:rsid w:val="00232647"/>
    <w:rsid w:val="002326C0"/>
    <w:rsid w:val="002327AE"/>
    <w:rsid w:val="00232E0C"/>
    <w:rsid w:val="00232F82"/>
    <w:rsid w:val="0023386A"/>
    <w:rsid w:val="0023397A"/>
    <w:rsid w:val="00233B10"/>
    <w:rsid w:val="00234138"/>
    <w:rsid w:val="0023547E"/>
    <w:rsid w:val="00235570"/>
    <w:rsid w:val="0023610E"/>
    <w:rsid w:val="002361E7"/>
    <w:rsid w:val="0023622E"/>
    <w:rsid w:val="00236268"/>
    <w:rsid w:val="002362A4"/>
    <w:rsid w:val="002369B0"/>
    <w:rsid w:val="00236A49"/>
    <w:rsid w:val="00236CD4"/>
    <w:rsid w:val="00236EC7"/>
    <w:rsid w:val="00237362"/>
    <w:rsid w:val="002377E6"/>
    <w:rsid w:val="00237972"/>
    <w:rsid w:val="00237A55"/>
    <w:rsid w:val="00237C90"/>
    <w:rsid w:val="00237F85"/>
    <w:rsid w:val="00240492"/>
    <w:rsid w:val="0024057A"/>
    <w:rsid w:val="00240590"/>
    <w:rsid w:val="002406B4"/>
    <w:rsid w:val="00241309"/>
    <w:rsid w:val="00241321"/>
    <w:rsid w:val="00241C7D"/>
    <w:rsid w:val="00241F0B"/>
    <w:rsid w:val="00242067"/>
    <w:rsid w:val="00243E5F"/>
    <w:rsid w:val="0024428E"/>
    <w:rsid w:val="002444B1"/>
    <w:rsid w:val="00244C47"/>
    <w:rsid w:val="002451A6"/>
    <w:rsid w:val="00245340"/>
    <w:rsid w:val="00245767"/>
    <w:rsid w:val="0024591F"/>
    <w:rsid w:val="002459D1"/>
    <w:rsid w:val="00245BE8"/>
    <w:rsid w:val="002460BC"/>
    <w:rsid w:val="00246174"/>
    <w:rsid w:val="002468A4"/>
    <w:rsid w:val="00246F83"/>
    <w:rsid w:val="00247154"/>
    <w:rsid w:val="002471DE"/>
    <w:rsid w:val="00247219"/>
    <w:rsid w:val="00247486"/>
    <w:rsid w:val="002475E0"/>
    <w:rsid w:val="00247B85"/>
    <w:rsid w:val="00247C4C"/>
    <w:rsid w:val="00247CAA"/>
    <w:rsid w:val="00247DE8"/>
    <w:rsid w:val="0025002F"/>
    <w:rsid w:val="00250073"/>
    <w:rsid w:val="0025027F"/>
    <w:rsid w:val="00250718"/>
    <w:rsid w:val="002507BB"/>
    <w:rsid w:val="002508C5"/>
    <w:rsid w:val="00250C1D"/>
    <w:rsid w:val="00250FA4"/>
    <w:rsid w:val="002516C6"/>
    <w:rsid w:val="00251ABB"/>
    <w:rsid w:val="00251E02"/>
    <w:rsid w:val="0025210D"/>
    <w:rsid w:val="0025257E"/>
    <w:rsid w:val="00252580"/>
    <w:rsid w:val="002528C6"/>
    <w:rsid w:val="00252CDA"/>
    <w:rsid w:val="00252D10"/>
    <w:rsid w:val="00253749"/>
    <w:rsid w:val="002539A3"/>
    <w:rsid w:val="00253EF4"/>
    <w:rsid w:val="002544F3"/>
    <w:rsid w:val="00254915"/>
    <w:rsid w:val="00254A66"/>
    <w:rsid w:val="00254C4E"/>
    <w:rsid w:val="00254F41"/>
    <w:rsid w:val="00255651"/>
    <w:rsid w:val="00255B60"/>
    <w:rsid w:val="00256105"/>
    <w:rsid w:val="002568FE"/>
    <w:rsid w:val="002571BA"/>
    <w:rsid w:val="00257614"/>
    <w:rsid w:val="00257858"/>
    <w:rsid w:val="00257921"/>
    <w:rsid w:val="0025796E"/>
    <w:rsid w:val="00257A2E"/>
    <w:rsid w:val="002601E4"/>
    <w:rsid w:val="00260562"/>
    <w:rsid w:val="002607A2"/>
    <w:rsid w:val="0026092B"/>
    <w:rsid w:val="00260CD1"/>
    <w:rsid w:val="00260E5E"/>
    <w:rsid w:val="00260FD2"/>
    <w:rsid w:val="0026110C"/>
    <w:rsid w:val="0026115D"/>
    <w:rsid w:val="00261B6D"/>
    <w:rsid w:val="00261F07"/>
    <w:rsid w:val="00262465"/>
    <w:rsid w:val="00262D70"/>
    <w:rsid w:val="0026328F"/>
    <w:rsid w:val="00263F1C"/>
    <w:rsid w:val="00263FFA"/>
    <w:rsid w:val="0026417A"/>
    <w:rsid w:val="00264288"/>
    <w:rsid w:val="002642C4"/>
    <w:rsid w:val="002647DD"/>
    <w:rsid w:val="002649D8"/>
    <w:rsid w:val="00264EF3"/>
    <w:rsid w:val="0026522D"/>
    <w:rsid w:val="002656AA"/>
    <w:rsid w:val="002656DD"/>
    <w:rsid w:val="002658C5"/>
    <w:rsid w:val="002659C2"/>
    <w:rsid w:val="00266204"/>
    <w:rsid w:val="002662DA"/>
    <w:rsid w:val="0026636B"/>
    <w:rsid w:val="00266ECC"/>
    <w:rsid w:val="002671C2"/>
    <w:rsid w:val="002672B1"/>
    <w:rsid w:val="00267EAA"/>
    <w:rsid w:val="00267FA7"/>
    <w:rsid w:val="002702B8"/>
    <w:rsid w:val="0027071B"/>
    <w:rsid w:val="00270BB9"/>
    <w:rsid w:val="00270DC3"/>
    <w:rsid w:val="00270EA2"/>
    <w:rsid w:val="00270EA5"/>
    <w:rsid w:val="00271084"/>
    <w:rsid w:val="00271391"/>
    <w:rsid w:val="00271420"/>
    <w:rsid w:val="00271465"/>
    <w:rsid w:val="00271800"/>
    <w:rsid w:val="00271CEC"/>
    <w:rsid w:val="00272115"/>
    <w:rsid w:val="002721CF"/>
    <w:rsid w:val="00272358"/>
    <w:rsid w:val="0027236F"/>
    <w:rsid w:val="00272496"/>
    <w:rsid w:val="0027264F"/>
    <w:rsid w:val="00272727"/>
    <w:rsid w:val="00272A6B"/>
    <w:rsid w:val="00272B14"/>
    <w:rsid w:val="00272C68"/>
    <w:rsid w:val="00272DFA"/>
    <w:rsid w:val="00273240"/>
    <w:rsid w:val="00273311"/>
    <w:rsid w:val="002739ED"/>
    <w:rsid w:val="00274103"/>
    <w:rsid w:val="002749A1"/>
    <w:rsid w:val="0027501C"/>
    <w:rsid w:val="002755E5"/>
    <w:rsid w:val="0027574A"/>
    <w:rsid w:val="0027589E"/>
    <w:rsid w:val="00275CB4"/>
    <w:rsid w:val="00275DD8"/>
    <w:rsid w:val="00275F4D"/>
    <w:rsid w:val="00276146"/>
    <w:rsid w:val="002763DE"/>
    <w:rsid w:val="002767D5"/>
    <w:rsid w:val="00276A11"/>
    <w:rsid w:val="00276D7B"/>
    <w:rsid w:val="002772B6"/>
    <w:rsid w:val="0027742F"/>
    <w:rsid w:val="00277A8D"/>
    <w:rsid w:val="00277B53"/>
    <w:rsid w:val="00277D80"/>
    <w:rsid w:val="00277E78"/>
    <w:rsid w:val="00280901"/>
    <w:rsid w:val="00280B44"/>
    <w:rsid w:val="00280F72"/>
    <w:rsid w:val="00280FB6"/>
    <w:rsid w:val="0028138F"/>
    <w:rsid w:val="002816EE"/>
    <w:rsid w:val="0028187A"/>
    <w:rsid w:val="002819EB"/>
    <w:rsid w:val="00281F22"/>
    <w:rsid w:val="00281F98"/>
    <w:rsid w:val="0028203B"/>
    <w:rsid w:val="00282B51"/>
    <w:rsid w:val="002831F1"/>
    <w:rsid w:val="00283A59"/>
    <w:rsid w:val="00283FBA"/>
    <w:rsid w:val="0028404F"/>
    <w:rsid w:val="00284159"/>
    <w:rsid w:val="002847B9"/>
    <w:rsid w:val="002849A3"/>
    <w:rsid w:val="00284D71"/>
    <w:rsid w:val="00284F09"/>
    <w:rsid w:val="00284FA8"/>
    <w:rsid w:val="0028518E"/>
    <w:rsid w:val="002855BE"/>
    <w:rsid w:val="00285C10"/>
    <w:rsid w:val="00285D48"/>
    <w:rsid w:val="00285D6C"/>
    <w:rsid w:val="00285DF8"/>
    <w:rsid w:val="00285EAD"/>
    <w:rsid w:val="00286314"/>
    <w:rsid w:val="002864D6"/>
    <w:rsid w:val="0028681B"/>
    <w:rsid w:val="00286A06"/>
    <w:rsid w:val="00286D12"/>
    <w:rsid w:val="00286F74"/>
    <w:rsid w:val="00286FD9"/>
    <w:rsid w:val="002876F2"/>
    <w:rsid w:val="00287851"/>
    <w:rsid w:val="00287959"/>
    <w:rsid w:val="00287C22"/>
    <w:rsid w:val="00290253"/>
    <w:rsid w:val="00290284"/>
    <w:rsid w:val="00290A23"/>
    <w:rsid w:val="0029131C"/>
    <w:rsid w:val="002914ED"/>
    <w:rsid w:val="002928AA"/>
    <w:rsid w:val="00292909"/>
    <w:rsid w:val="00292B5A"/>
    <w:rsid w:val="00292F85"/>
    <w:rsid w:val="002935B8"/>
    <w:rsid w:val="00293D40"/>
    <w:rsid w:val="0029440A"/>
    <w:rsid w:val="002954B9"/>
    <w:rsid w:val="00295763"/>
    <w:rsid w:val="00295808"/>
    <w:rsid w:val="00295955"/>
    <w:rsid w:val="00295A14"/>
    <w:rsid w:val="00296B46"/>
    <w:rsid w:val="00296C5D"/>
    <w:rsid w:val="00296FE6"/>
    <w:rsid w:val="0029730B"/>
    <w:rsid w:val="002977E5"/>
    <w:rsid w:val="00297A1D"/>
    <w:rsid w:val="002A04B2"/>
    <w:rsid w:val="002A04C0"/>
    <w:rsid w:val="002A06CE"/>
    <w:rsid w:val="002A092A"/>
    <w:rsid w:val="002A098F"/>
    <w:rsid w:val="002A0A54"/>
    <w:rsid w:val="002A1144"/>
    <w:rsid w:val="002A1250"/>
    <w:rsid w:val="002A14D0"/>
    <w:rsid w:val="002A1522"/>
    <w:rsid w:val="002A1638"/>
    <w:rsid w:val="002A1AF6"/>
    <w:rsid w:val="002A1B45"/>
    <w:rsid w:val="002A28FE"/>
    <w:rsid w:val="002A2E22"/>
    <w:rsid w:val="002A3021"/>
    <w:rsid w:val="002A3573"/>
    <w:rsid w:val="002A35FA"/>
    <w:rsid w:val="002A370B"/>
    <w:rsid w:val="002A45E6"/>
    <w:rsid w:val="002A478C"/>
    <w:rsid w:val="002A490F"/>
    <w:rsid w:val="002A4B81"/>
    <w:rsid w:val="002A4B8B"/>
    <w:rsid w:val="002A52E2"/>
    <w:rsid w:val="002A5616"/>
    <w:rsid w:val="002A57EC"/>
    <w:rsid w:val="002A5BF5"/>
    <w:rsid w:val="002A5C1A"/>
    <w:rsid w:val="002A5F80"/>
    <w:rsid w:val="002A694C"/>
    <w:rsid w:val="002A696E"/>
    <w:rsid w:val="002A71E0"/>
    <w:rsid w:val="002A7518"/>
    <w:rsid w:val="002A7EEE"/>
    <w:rsid w:val="002B0592"/>
    <w:rsid w:val="002B05B1"/>
    <w:rsid w:val="002B0695"/>
    <w:rsid w:val="002B0BC8"/>
    <w:rsid w:val="002B0EC6"/>
    <w:rsid w:val="002B20AE"/>
    <w:rsid w:val="002B22EC"/>
    <w:rsid w:val="002B27E3"/>
    <w:rsid w:val="002B2FA1"/>
    <w:rsid w:val="002B3EA9"/>
    <w:rsid w:val="002B4F19"/>
    <w:rsid w:val="002B52E6"/>
    <w:rsid w:val="002B5463"/>
    <w:rsid w:val="002B565C"/>
    <w:rsid w:val="002B5710"/>
    <w:rsid w:val="002B5B46"/>
    <w:rsid w:val="002B5B51"/>
    <w:rsid w:val="002B617C"/>
    <w:rsid w:val="002B626A"/>
    <w:rsid w:val="002B62D4"/>
    <w:rsid w:val="002B6641"/>
    <w:rsid w:val="002B6F09"/>
    <w:rsid w:val="002B6FD0"/>
    <w:rsid w:val="002B70D9"/>
    <w:rsid w:val="002B714E"/>
    <w:rsid w:val="002B717E"/>
    <w:rsid w:val="002B769C"/>
    <w:rsid w:val="002B7ADB"/>
    <w:rsid w:val="002B7CA4"/>
    <w:rsid w:val="002C0059"/>
    <w:rsid w:val="002C0A4C"/>
    <w:rsid w:val="002C10B7"/>
    <w:rsid w:val="002C147E"/>
    <w:rsid w:val="002C1AE0"/>
    <w:rsid w:val="002C1D6B"/>
    <w:rsid w:val="002C1E14"/>
    <w:rsid w:val="002C2317"/>
    <w:rsid w:val="002C246B"/>
    <w:rsid w:val="002C2495"/>
    <w:rsid w:val="002C24FB"/>
    <w:rsid w:val="002C26DA"/>
    <w:rsid w:val="002C2B8E"/>
    <w:rsid w:val="002C2CC8"/>
    <w:rsid w:val="002C344C"/>
    <w:rsid w:val="002C35C2"/>
    <w:rsid w:val="002C3843"/>
    <w:rsid w:val="002C3E55"/>
    <w:rsid w:val="002C401D"/>
    <w:rsid w:val="002C4CD9"/>
    <w:rsid w:val="002C4E5A"/>
    <w:rsid w:val="002C53BB"/>
    <w:rsid w:val="002C5847"/>
    <w:rsid w:val="002C5AD8"/>
    <w:rsid w:val="002C5C6A"/>
    <w:rsid w:val="002C5EE3"/>
    <w:rsid w:val="002C640E"/>
    <w:rsid w:val="002C641C"/>
    <w:rsid w:val="002C6796"/>
    <w:rsid w:val="002C6902"/>
    <w:rsid w:val="002C6A15"/>
    <w:rsid w:val="002C70F9"/>
    <w:rsid w:val="002C73BA"/>
    <w:rsid w:val="002C773B"/>
    <w:rsid w:val="002C7C17"/>
    <w:rsid w:val="002D01A8"/>
    <w:rsid w:val="002D0A12"/>
    <w:rsid w:val="002D0FDD"/>
    <w:rsid w:val="002D12A1"/>
    <w:rsid w:val="002D136A"/>
    <w:rsid w:val="002D14B6"/>
    <w:rsid w:val="002D1753"/>
    <w:rsid w:val="002D17E5"/>
    <w:rsid w:val="002D1AAC"/>
    <w:rsid w:val="002D1FCF"/>
    <w:rsid w:val="002D2463"/>
    <w:rsid w:val="002D2D61"/>
    <w:rsid w:val="002D2EE3"/>
    <w:rsid w:val="002D3156"/>
    <w:rsid w:val="002D368A"/>
    <w:rsid w:val="002D3C1D"/>
    <w:rsid w:val="002D3CD0"/>
    <w:rsid w:val="002D41B4"/>
    <w:rsid w:val="002D4351"/>
    <w:rsid w:val="002D43C7"/>
    <w:rsid w:val="002D44B8"/>
    <w:rsid w:val="002D45D4"/>
    <w:rsid w:val="002D4687"/>
    <w:rsid w:val="002D4A39"/>
    <w:rsid w:val="002D5DC2"/>
    <w:rsid w:val="002D5EF7"/>
    <w:rsid w:val="002D5F85"/>
    <w:rsid w:val="002D60D4"/>
    <w:rsid w:val="002D61DD"/>
    <w:rsid w:val="002D6523"/>
    <w:rsid w:val="002D6C62"/>
    <w:rsid w:val="002D6C79"/>
    <w:rsid w:val="002D6F4E"/>
    <w:rsid w:val="002D7047"/>
    <w:rsid w:val="002D7334"/>
    <w:rsid w:val="002D7885"/>
    <w:rsid w:val="002D78B8"/>
    <w:rsid w:val="002D7A81"/>
    <w:rsid w:val="002E000C"/>
    <w:rsid w:val="002E0E37"/>
    <w:rsid w:val="002E0E76"/>
    <w:rsid w:val="002E0EDB"/>
    <w:rsid w:val="002E1335"/>
    <w:rsid w:val="002E13DF"/>
    <w:rsid w:val="002E1F4C"/>
    <w:rsid w:val="002E2855"/>
    <w:rsid w:val="002E2FE0"/>
    <w:rsid w:val="002E34E0"/>
    <w:rsid w:val="002E35E6"/>
    <w:rsid w:val="002E36D7"/>
    <w:rsid w:val="002E4C15"/>
    <w:rsid w:val="002E5102"/>
    <w:rsid w:val="002E5A7F"/>
    <w:rsid w:val="002E5F37"/>
    <w:rsid w:val="002E63A4"/>
    <w:rsid w:val="002E6807"/>
    <w:rsid w:val="002E69A6"/>
    <w:rsid w:val="002E6AD3"/>
    <w:rsid w:val="002E6AFE"/>
    <w:rsid w:val="002E6EA4"/>
    <w:rsid w:val="002E7052"/>
    <w:rsid w:val="002E7327"/>
    <w:rsid w:val="002E7341"/>
    <w:rsid w:val="002E7544"/>
    <w:rsid w:val="002E77E6"/>
    <w:rsid w:val="002E79BA"/>
    <w:rsid w:val="002E7EE9"/>
    <w:rsid w:val="002F02E5"/>
    <w:rsid w:val="002F0507"/>
    <w:rsid w:val="002F0710"/>
    <w:rsid w:val="002F080B"/>
    <w:rsid w:val="002F0CB5"/>
    <w:rsid w:val="002F1155"/>
    <w:rsid w:val="002F1589"/>
    <w:rsid w:val="002F187C"/>
    <w:rsid w:val="002F2DCE"/>
    <w:rsid w:val="002F2F59"/>
    <w:rsid w:val="002F3006"/>
    <w:rsid w:val="002F3072"/>
    <w:rsid w:val="002F338E"/>
    <w:rsid w:val="002F3603"/>
    <w:rsid w:val="002F38CA"/>
    <w:rsid w:val="002F3CE8"/>
    <w:rsid w:val="002F4103"/>
    <w:rsid w:val="002F427A"/>
    <w:rsid w:val="002F42BE"/>
    <w:rsid w:val="002F4329"/>
    <w:rsid w:val="002F4367"/>
    <w:rsid w:val="002F4644"/>
    <w:rsid w:val="002F464D"/>
    <w:rsid w:val="002F468F"/>
    <w:rsid w:val="002F4CB7"/>
    <w:rsid w:val="002F5188"/>
    <w:rsid w:val="002F55F1"/>
    <w:rsid w:val="002F5788"/>
    <w:rsid w:val="002F605E"/>
    <w:rsid w:val="002F6524"/>
    <w:rsid w:val="002F659B"/>
    <w:rsid w:val="002F6745"/>
    <w:rsid w:val="002F6795"/>
    <w:rsid w:val="002F68B8"/>
    <w:rsid w:val="002F6CE9"/>
    <w:rsid w:val="002F6E74"/>
    <w:rsid w:val="002F745D"/>
    <w:rsid w:val="002F7687"/>
    <w:rsid w:val="002F78A3"/>
    <w:rsid w:val="002F7B34"/>
    <w:rsid w:val="002F7F8C"/>
    <w:rsid w:val="0030041E"/>
    <w:rsid w:val="00300445"/>
    <w:rsid w:val="00300A03"/>
    <w:rsid w:val="00300AAD"/>
    <w:rsid w:val="00300E75"/>
    <w:rsid w:val="0030121B"/>
    <w:rsid w:val="003015F4"/>
    <w:rsid w:val="00302002"/>
    <w:rsid w:val="003023B8"/>
    <w:rsid w:val="00302419"/>
    <w:rsid w:val="003026CD"/>
    <w:rsid w:val="00302888"/>
    <w:rsid w:val="00302963"/>
    <w:rsid w:val="003035A1"/>
    <w:rsid w:val="003035A7"/>
    <w:rsid w:val="00303BAA"/>
    <w:rsid w:val="00303D11"/>
    <w:rsid w:val="0030431D"/>
    <w:rsid w:val="00304385"/>
    <w:rsid w:val="00304471"/>
    <w:rsid w:val="00304473"/>
    <w:rsid w:val="0030451B"/>
    <w:rsid w:val="00304674"/>
    <w:rsid w:val="00304C25"/>
    <w:rsid w:val="00305389"/>
    <w:rsid w:val="00305487"/>
    <w:rsid w:val="00305601"/>
    <w:rsid w:val="00305B55"/>
    <w:rsid w:val="00305DE9"/>
    <w:rsid w:val="00306013"/>
    <w:rsid w:val="00306057"/>
    <w:rsid w:val="0030685A"/>
    <w:rsid w:val="00306F4A"/>
    <w:rsid w:val="00307370"/>
    <w:rsid w:val="00307CAB"/>
    <w:rsid w:val="0031002A"/>
    <w:rsid w:val="003100E2"/>
    <w:rsid w:val="003102A8"/>
    <w:rsid w:val="0031036E"/>
    <w:rsid w:val="00310379"/>
    <w:rsid w:val="0031050E"/>
    <w:rsid w:val="00310E29"/>
    <w:rsid w:val="00310F48"/>
    <w:rsid w:val="00310FA8"/>
    <w:rsid w:val="00311673"/>
    <w:rsid w:val="00311951"/>
    <w:rsid w:val="00311CB2"/>
    <w:rsid w:val="0031220A"/>
    <w:rsid w:val="003127E9"/>
    <w:rsid w:val="00312DCE"/>
    <w:rsid w:val="00312EF5"/>
    <w:rsid w:val="00312F04"/>
    <w:rsid w:val="00312FC0"/>
    <w:rsid w:val="003134C9"/>
    <w:rsid w:val="00313A2B"/>
    <w:rsid w:val="00313BF0"/>
    <w:rsid w:val="0031406F"/>
    <w:rsid w:val="00314526"/>
    <w:rsid w:val="00314968"/>
    <w:rsid w:val="00314DE8"/>
    <w:rsid w:val="003152F8"/>
    <w:rsid w:val="003162DA"/>
    <w:rsid w:val="003169B8"/>
    <w:rsid w:val="00316A9F"/>
    <w:rsid w:val="00316C32"/>
    <w:rsid w:val="00316DED"/>
    <w:rsid w:val="00317041"/>
    <w:rsid w:val="003171A0"/>
    <w:rsid w:val="00317293"/>
    <w:rsid w:val="003178E4"/>
    <w:rsid w:val="00317984"/>
    <w:rsid w:val="00317C26"/>
    <w:rsid w:val="00317F19"/>
    <w:rsid w:val="0032025C"/>
    <w:rsid w:val="00320328"/>
    <w:rsid w:val="00320338"/>
    <w:rsid w:val="003208B1"/>
    <w:rsid w:val="003209A6"/>
    <w:rsid w:val="00320C0E"/>
    <w:rsid w:val="00321864"/>
    <w:rsid w:val="00321F27"/>
    <w:rsid w:val="00322791"/>
    <w:rsid w:val="00322B04"/>
    <w:rsid w:val="00322E78"/>
    <w:rsid w:val="00322EEF"/>
    <w:rsid w:val="00322F1D"/>
    <w:rsid w:val="00322F48"/>
    <w:rsid w:val="00323184"/>
    <w:rsid w:val="00323517"/>
    <w:rsid w:val="003235E4"/>
    <w:rsid w:val="003240EF"/>
    <w:rsid w:val="0032466D"/>
    <w:rsid w:val="00324B6A"/>
    <w:rsid w:val="00324F7F"/>
    <w:rsid w:val="00324FCA"/>
    <w:rsid w:val="003257AA"/>
    <w:rsid w:val="00325CEC"/>
    <w:rsid w:val="00325E41"/>
    <w:rsid w:val="00325F11"/>
    <w:rsid w:val="0032613E"/>
    <w:rsid w:val="0032619D"/>
    <w:rsid w:val="00326263"/>
    <w:rsid w:val="003262BD"/>
    <w:rsid w:val="00326408"/>
    <w:rsid w:val="00326542"/>
    <w:rsid w:val="003268AA"/>
    <w:rsid w:val="00326C4D"/>
    <w:rsid w:val="00326F5A"/>
    <w:rsid w:val="00326FBC"/>
    <w:rsid w:val="0032714E"/>
    <w:rsid w:val="00327634"/>
    <w:rsid w:val="00327EA6"/>
    <w:rsid w:val="00330216"/>
    <w:rsid w:val="003304CA"/>
    <w:rsid w:val="00330589"/>
    <w:rsid w:val="00330615"/>
    <w:rsid w:val="00330D58"/>
    <w:rsid w:val="00331126"/>
    <w:rsid w:val="003314FA"/>
    <w:rsid w:val="003318E9"/>
    <w:rsid w:val="00331955"/>
    <w:rsid w:val="00331972"/>
    <w:rsid w:val="00331B80"/>
    <w:rsid w:val="003322F2"/>
    <w:rsid w:val="00332467"/>
    <w:rsid w:val="00332920"/>
    <w:rsid w:val="00332D2E"/>
    <w:rsid w:val="00333049"/>
    <w:rsid w:val="00333408"/>
    <w:rsid w:val="003334D2"/>
    <w:rsid w:val="003335BE"/>
    <w:rsid w:val="0033371A"/>
    <w:rsid w:val="00333920"/>
    <w:rsid w:val="00333A8C"/>
    <w:rsid w:val="003341C0"/>
    <w:rsid w:val="00334556"/>
    <w:rsid w:val="0033462B"/>
    <w:rsid w:val="00334FAD"/>
    <w:rsid w:val="003351B7"/>
    <w:rsid w:val="0033594F"/>
    <w:rsid w:val="00335AA8"/>
    <w:rsid w:val="00335C03"/>
    <w:rsid w:val="00335FFC"/>
    <w:rsid w:val="0033638C"/>
    <w:rsid w:val="003367F6"/>
    <w:rsid w:val="00336FDB"/>
    <w:rsid w:val="00337F3A"/>
    <w:rsid w:val="003402D0"/>
    <w:rsid w:val="003402EE"/>
    <w:rsid w:val="003403F2"/>
    <w:rsid w:val="003409BC"/>
    <w:rsid w:val="00340A5F"/>
    <w:rsid w:val="00340E74"/>
    <w:rsid w:val="00340E85"/>
    <w:rsid w:val="00341268"/>
    <w:rsid w:val="00341F36"/>
    <w:rsid w:val="00342075"/>
    <w:rsid w:val="003434E0"/>
    <w:rsid w:val="003438D3"/>
    <w:rsid w:val="00343ED0"/>
    <w:rsid w:val="003441EF"/>
    <w:rsid w:val="003443E8"/>
    <w:rsid w:val="0034469F"/>
    <w:rsid w:val="00344FD0"/>
    <w:rsid w:val="0034516B"/>
    <w:rsid w:val="0034526B"/>
    <w:rsid w:val="003452BC"/>
    <w:rsid w:val="003456CE"/>
    <w:rsid w:val="00345D70"/>
    <w:rsid w:val="00345F4D"/>
    <w:rsid w:val="003462FB"/>
    <w:rsid w:val="00346458"/>
    <w:rsid w:val="00346567"/>
    <w:rsid w:val="00346716"/>
    <w:rsid w:val="00346A53"/>
    <w:rsid w:val="00346BCF"/>
    <w:rsid w:val="00346D9F"/>
    <w:rsid w:val="003470E8"/>
    <w:rsid w:val="003473B2"/>
    <w:rsid w:val="003474E1"/>
    <w:rsid w:val="0034760D"/>
    <w:rsid w:val="00347EE1"/>
    <w:rsid w:val="00350183"/>
    <w:rsid w:val="003505CF"/>
    <w:rsid w:val="00350735"/>
    <w:rsid w:val="0035075C"/>
    <w:rsid w:val="00350D87"/>
    <w:rsid w:val="00350DCC"/>
    <w:rsid w:val="0035118A"/>
    <w:rsid w:val="00351830"/>
    <w:rsid w:val="00351E31"/>
    <w:rsid w:val="00351EC6"/>
    <w:rsid w:val="0035215C"/>
    <w:rsid w:val="0035237B"/>
    <w:rsid w:val="00352A76"/>
    <w:rsid w:val="00352BAC"/>
    <w:rsid w:val="00352CAF"/>
    <w:rsid w:val="00352E05"/>
    <w:rsid w:val="00353234"/>
    <w:rsid w:val="003539BE"/>
    <w:rsid w:val="00353CF7"/>
    <w:rsid w:val="00353E2C"/>
    <w:rsid w:val="00354AD2"/>
    <w:rsid w:val="00354BAD"/>
    <w:rsid w:val="003554B6"/>
    <w:rsid w:val="003554C8"/>
    <w:rsid w:val="0035553C"/>
    <w:rsid w:val="003556E8"/>
    <w:rsid w:val="0035570A"/>
    <w:rsid w:val="00355888"/>
    <w:rsid w:val="00355CF1"/>
    <w:rsid w:val="00356232"/>
    <w:rsid w:val="0035647D"/>
    <w:rsid w:val="003566FD"/>
    <w:rsid w:val="00356CB6"/>
    <w:rsid w:val="00356E21"/>
    <w:rsid w:val="003574C2"/>
    <w:rsid w:val="003577BB"/>
    <w:rsid w:val="003579E2"/>
    <w:rsid w:val="0036033C"/>
    <w:rsid w:val="00360358"/>
    <w:rsid w:val="00360450"/>
    <w:rsid w:val="00360582"/>
    <w:rsid w:val="0036093B"/>
    <w:rsid w:val="00360955"/>
    <w:rsid w:val="003610BA"/>
    <w:rsid w:val="0036118B"/>
    <w:rsid w:val="00361401"/>
    <w:rsid w:val="00361451"/>
    <w:rsid w:val="003619E9"/>
    <w:rsid w:val="00361E1A"/>
    <w:rsid w:val="00362373"/>
    <w:rsid w:val="003628A1"/>
    <w:rsid w:val="003629B6"/>
    <w:rsid w:val="00362E04"/>
    <w:rsid w:val="0036300B"/>
    <w:rsid w:val="00363075"/>
    <w:rsid w:val="00364060"/>
    <w:rsid w:val="003640E6"/>
    <w:rsid w:val="00365353"/>
    <w:rsid w:val="00365591"/>
    <w:rsid w:val="00365B0F"/>
    <w:rsid w:val="003661D4"/>
    <w:rsid w:val="00366276"/>
    <w:rsid w:val="0036646E"/>
    <w:rsid w:val="00366B85"/>
    <w:rsid w:val="003671A7"/>
    <w:rsid w:val="0036728B"/>
    <w:rsid w:val="0036738E"/>
    <w:rsid w:val="00367782"/>
    <w:rsid w:val="003679BC"/>
    <w:rsid w:val="00367FEF"/>
    <w:rsid w:val="003700DF"/>
    <w:rsid w:val="00370946"/>
    <w:rsid w:val="00370CCD"/>
    <w:rsid w:val="00370E67"/>
    <w:rsid w:val="00370EAD"/>
    <w:rsid w:val="00370F1E"/>
    <w:rsid w:val="003712EF"/>
    <w:rsid w:val="0037155E"/>
    <w:rsid w:val="00372198"/>
    <w:rsid w:val="003728F3"/>
    <w:rsid w:val="00372D60"/>
    <w:rsid w:val="0037353D"/>
    <w:rsid w:val="00373573"/>
    <w:rsid w:val="00373B40"/>
    <w:rsid w:val="00373D1D"/>
    <w:rsid w:val="00373E41"/>
    <w:rsid w:val="00373E8C"/>
    <w:rsid w:val="003740C3"/>
    <w:rsid w:val="00374514"/>
    <w:rsid w:val="003745FB"/>
    <w:rsid w:val="0037566A"/>
    <w:rsid w:val="00375BD7"/>
    <w:rsid w:val="00375F9F"/>
    <w:rsid w:val="003765D8"/>
    <w:rsid w:val="003768D3"/>
    <w:rsid w:val="00376A19"/>
    <w:rsid w:val="00376AC6"/>
    <w:rsid w:val="0037720D"/>
    <w:rsid w:val="003774E0"/>
    <w:rsid w:val="00377A72"/>
    <w:rsid w:val="00377D4B"/>
    <w:rsid w:val="00377D4F"/>
    <w:rsid w:val="00377ECB"/>
    <w:rsid w:val="00377F86"/>
    <w:rsid w:val="00377FFB"/>
    <w:rsid w:val="00380296"/>
    <w:rsid w:val="00380A62"/>
    <w:rsid w:val="00380A68"/>
    <w:rsid w:val="00380C08"/>
    <w:rsid w:val="00380DAA"/>
    <w:rsid w:val="0038127F"/>
    <w:rsid w:val="003812E5"/>
    <w:rsid w:val="00381774"/>
    <w:rsid w:val="003818A8"/>
    <w:rsid w:val="00381AAC"/>
    <w:rsid w:val="00382072"/>
    <w:rsid w:val="003830DF"/>
    <w:rsid w:val="00383948"/>
    <w:rsid w:val="00383A8A"/>
    <w:rsid w:val="00383C2F"/>
    <w:rsid w:val="00384E47"/>
    <w:rsid w:val="0038515D"/>
    <w:rsid w:val="003858CC"/>
    <w:rsid w:val="0038595B"/>
    <w:rsid w:val="00385C4D"/>
    <w:rsid w:val="00385DBC"/>
    <w:rsid w:val="0038608B"/>
    <w:rsid w:val="00386120"/>
    <w:rsid w:val="0038689E"/>
    <w:rsid w:val="00386DB9"/>
    <w:rsid w:val="00386E93"/>
    <w:rsid w:val="0038703C"/>
    <w:rsid w:val="0038739E"/>
    <w:rsid w:val="00387656"/>
    <w:rsid w:val="003879CE"/>
    <w:rsid w:val="00387B3A"/>
    <w:rsid w:val="00390415"/>
    <w:rsid w:val="00390E14"/>
    <w:rsid w:val="00390E1C"/>
    <w:rsid w:val="00390E68"/>
    <w:rsid w:val="00390ECE"/>
    <w:rsid w:val="003914A0"/>
    <w:rsid w:val="003914C6"/>
    <w:rsid w:val="003917AD"/>
    <w:rsid w:val="00391DB1"/>
    <w:rsid w:val="00392181"/>
    <w:rsid w:val="003923CE"/>
    <w:rsid w:val="00392957"/>
    <w:rsid w:val="00392C39"/>
    <w:rsid w:val="00393247"/>
    <w:rsid w:val="0039325F"/>
    <w:rsid w:val="0039352A"/>
    <w:rsid w:val="0039352C"/>
    <w:rsid w:val="003936A4"/>
    <w:rsid w:val="003939D8"/>
    <w:rsid w:val="00393D9E"/>
    <w:rsid w:val="00394219"/>
    <w:rsid w:val="003942B9"/>
    <w:rsid w:val="003945EE"/>
    <w:rsid w:val="003948B9"/>
    <w:rsid w:val="00394901"/>
    <w:rsid w:val="00394B20"/>
    <w:rsid w:val="00395C0D"/>
    <w:rsid w:val="00395D54"/>
    <w:rsid w:val="00395DA4"/>
    <w:rsid w:val="00395F4C"/>
    <w:rsid w:val="0039618F"/>
    <w:rsid w:val="003962F0"/>
    <w:rsid w:val="003963E5"/>
    <w:rsid w:val="00396499"/>
    <w:rsid w:val="003966D6"/>
    <w:rsid w:val="00396782"/>
    <w:rsid w:val="003968E6"/>
    <w:rsid w:val="00396A83"/>
    <w:rsid w:val="00396B29"/>
    <w:rsid w:val="00397202"/>
    <w:rsid w:val="00397525"/>
    <w:rsid w:val="0039777D"/>
    <w:rsid w:val="00397894"/>
    <w:rsid w:val="00397BC9"/>
    <w:rsid w:val="00397D18"/>
    <w:rsid w:val="003A00D6"/>
    <w:rsid w:val="003A010E"/>
    <w:rsid w:val="003A015A"/>
    <w:rsid w:val="003A023C"/>
    <w:rsid w:val="003A0F94"/>
    <w:rsid w:val="003A11C8"/>
    <w:rsid w:val="003A1C35"/>
    <w:rsid w:val="003A20CD"/>
    <w:rsid w:val="003A2579"/>
    <w:rsid w:val="003A2CA9"/>
    <w:rsid w:val="003A2ECD"/>
    <w:rsid w:val="003A339E"/>
    <w:rsid w:val="003A357B"/>
    <w:rsid w:val="003A36FD"/>
    <w:rsid w:val="003A3ADB"/>
    <w:rsid w:val="003A403A"/>
    <w:rsid w:val="003A4474"/>
    <w:rsid w:val="003A453C"/>
    <w:rsid w:val="003A457D"/>
    <w:rsid w:val="003A45D1"/>
    <w:rsid w:val="003A46B9"/>
    <w:rsid w:val="003A492D"/>
    <w:rsid w:val="003A493E"/>
    <w:rsid w:val="003A4DE4"/>
    <w:rsid w:val="003A4EE9"/>
    <w:rsid w:val="003A4FD2"/>
    <w:rsid w:val="003A534F"/>
    <w:rsid w:val="003A59CD"/>
    <w:rsid w:val="003A5BD9"/>
    <w:rsid w:val="003A60EB"/>
    <w:rsid w:val="003A6363"/>
    <w:rsid w:val="003A6637"/>
    <w:rsid w:val="003A6701"/>
    <w:rsid w:val="003A689C"/>
    <w:rsid w:val="003A6D4E"/>
    <w:rsid w:val="003A70BD"/>
    <w:rsid w:val="003A7433"/>
    <w:rsid w:val="003A74DE"/>
    <w:rsid w:val="003A7701"/>
    <w:rsid w:val="003A773B"/>
    <w:rsid w:val="003A7AE1"/>
    <w:rsid w:val="003A7EFD"/>
    <w:rsid w:val="003B0B17"/>
    <w:rsid w:val="003B0D7F"/>
    <w:rsid w:val="003B0D85"/>
    <w:rsid w:val="003B1126"/>
    <w:rsid w:val="003B1249"/>
    <w:rsid w:val="003B1279"/>
    <w:rsid w:val="003B131A"/>
    <w:rsid w:val="003B13E9"/>
    <w:rsid w:val="003B1454"/>
    <w:rsid w:val="003B1578"/>
    <w:rsid w:val="003B1599"/>
    <w:rsid w:val="003B159B"/>
    <w:rsid w:val="003B1634"/>
    <w:rsid w:val="003B178B"/>
    <w:rsid w:val="003B1AD0"/>
    <w:rsid w:val="003B1C6A"/>
    <w:rsid w:val="003B2403"/>
    <w:rsid w:val="003B247C"/>
    <w:rsid w:val="003B2815"/>
    <w:rsid w:val="003B29D5"/>
    <w:rsid w:val="003B2B95"/>
    <w:rsid w:val="003B2DDC"/>
    <w:rsid w:val="003B2DE5"/>
    <w:rsid w:val="003B3041"/>
    <w:rsid w:val="003B3103"/>
    <w:rsid w:val="003B33A6"/>
    <w:rsid w:val="003B3A6E"/>
    <w:rsid w:val="003B3D6F"/>
    <w:rsid w:val="003B412E"/>
    <w:rsid w:val="003B4262"/>
    <w:rsid w:val="003B45EC"/>
    <w:rsid w:val="003B4A2C"/>
    <w:rsid w:val="003B4C0C"/>
    <w:rsid w:val="003B59D0"/>
    <w:rsid w:val="003B5B18"/>
    <w:rsid w:val="003B5D30"/>
    <w:rsid w:val="003B5E02"/>
    <w:rsid w:val="003B5E36"/>
    <w:rsid w:val="003B6155"/>
    <w:rsid w:val="003B61B9"/>
    <w:rsid w:val="003B64BD"/>
    <w:rsid w:val="003B64CB"/>
    <w:rsid w:val="003B6871"/>
    <w:rsid w:val="003B6BF4"/>
    <w:rsid w:val="003B6E61"/>
    <w:rsid w:val="003B6EF4"/>
    <w:rsid w:val="003B7101"/>
    <w:rsid w:val="003B73E0"/>
    <w:rsid w:val="003B7740"/>
    <w:rsid w:val="003B7D9D"/>
    <w:rsid w:val="003C0090"/>
    <w:rsid w:val="003C0237"/>
    <w:rsid w:val="003C045C"/>
    <w:rsid w:val="003C08FC"/>
    <w:rsid w:val="003C0928"/>
    <w:rsid w:val="003C0955"/>
    <w:rsid w:val="003C096F"/>
    <w:rsid w:val="003C0C00"/>
    <w:rsid w:val="003C1158"/>
    <w:rsid w:val="003C15BA"/>
    <w:rsid w:val="003C15EF"/>
    <w:rsid w:val="003C1E06"/>
    <w:rsid w:val="003C1FB6"/>
    <w:rsid w:val="003C1FD8"/>
    <w:rsid w:val="003C2057"/>
    <w:rsid w:val="003C224E"/>
    <w:rsid w:val="003C2805"/>
    <w:rsid w:val="003C31C2"/>
    <w:rsid w:val="003C3238"/>
    <w:rsid w:val="003C355A"/>
    <w:rsid w:val="003C3575"/>
    <w:rsid w:val="003C38CB"/>
    <w:rsid w:val="003C41DD"/>
    <w:rsid w:val="003C44A0"/>
    <w:rsid w:val="003C4F87"/>
    <w:rsid w:val="003C52B0"/>
    <w:rsid w:val="003C5DF6"/>
    <w:rsid w:val="003C613C"/>
    <w:rsid w:val="003C6466"/>
    <w:rsid w:val="003C68D7"/>
    <w:rsid w:val="003C6BDB"/>
    <w:rsid w:val="003C73BA"/>
    <w:rsid w:val="003C7926"/>
    <w:rsid w:val="003C7A43"/>
    <w:rsid w:val="003D00A7"/>
    <w:rsid w:val="003D0391"/>
    <w:rsid w:val="003D03D1"/>
    <w:rsid w:val="003D0C47"/>
    <w:rsid w:val="003D0C9C"/>
    <w:rsid w:val="003D0D6B"/>
    <w:rsid w:val="003D1177"/>
    <w:rsid w:val="003D11FE"/>
    <w:rsid w:val="003D19F2"/>
    <w:rsid w:val="003D1AEF"/>
    <w:rsid w:val="003D1D35"/>
    <w:rsid w:val="003D1E55"/>
    <w:rsid w:val="003D2405"/>
    <w:rsid w:val="003D256E"/>
    <w:rsid w:val="003D2F13"/>
    <w:rsid w:val="003D2F79"/>
    <w:rsid w:val="003D3104"/>
    <w:rsid w:val="003D315E"/>
    <w:rsid w:val="003D39E4"/>
    <w:rsid w:val="003D3F62"/>
    <w:rsid w:val="003D46F2"/>
    <w:rsid w:val="003D526B"/>
    <w:rsid w:val="003D53A8"/>
    <w:rsid w:val="003D59C3"/>
    <w:rsid w:val="003D5BB1"/>
    <w:rsid w:val="003D5EB1"/>
    <w:rsid w:val="003D6375"/>
    <w:rsid w:val="003D63AB"/>
    <w:rsid w:val="003D660C"/>
    <w:rsid w:val="003D66F9"/>
    <w:rsid w:val="003D67AF"/>
    <w:rsid w:val="003D7930"/>
    <w:rsid w:val="003D7D27"/>
    <w:rsid w:val="003E0482"/>
    <w:rsid w:val="003E0728"/>
    <w:rsid w:val="003E097F"/>
    <w:rsid w:val="003E0F74"/>
    <w:rsid w:val="003E1179"/>
    <w:rsid w:val="003E157B"/>
    <w:rsid w:val="003E16F0"/>
    <w:rsid w:val="003E197C"/>
    <w:rsid w:val="003E1B56"/>
    <w:rsid w:val="003E1ECF"/>
    <w:rsid w:val="003E228B"/>
    <w:rsid w:val="003E22FD"/>
    <w:rsid w:val="003E2A64"/>
    <w:rsid w:val="003E2FA8"/>
    <w:rsid w:val="003E3A4D"/>
    <w:rsid w:val="003E3BA8"/>
    <w:rsid w:val="003E3C03"/>
    <w:rsid w:val="003E3DE6"/>
    <w:rsid w:val="003E4A53"/>
    <w:rsid w:val="003E4D43"/>
    <w:rsid w:val="003E5103"/>
    <w:rsid w:val="003E514D"/>
    <w:rsid w:val="003E55CF"/>
    <w:rsid w:val="003E5C5A"/>
    <w:rsid w:val="003E5D6D"/>
    <w:rsid w:val="003E5EE2"/>
    <w:rsid w:val="003E6072"/>
    <w:rsid w:val="003E6906"/>
    <w:rsid w:val="003E6955"/>
    <w:rsid w:val="003E7065"/>
    <w:rsid w:val="003E70BE"/>
    <w:rsid w:val="003E72C3"/>
    <w:rsid w:val="003E747B"/>
    <w:rsid w:val="003E7672"/>
    <w:rsid w:val="003E7ABC"/>
    <w:rsid w:val="003F006E"/>
    <w:rsid w:val="003F0366"/>
    <w:rsid w:val="003F03A3"/>
    <w:rsid w:val="003F03B6"/>
    <w:rsid w:val="003F0520"/>
    <w:rsid w:val="003F0CD7"/>
    <w:rsid w:val="003F0FD6"/>
    <w:rsid w:val="003F1055"/>
    <w:rsid w:val="003F12BD"/>
    <w:rsid w:val="003F1302"/>
    <w:rsid w:val="003F1402"/>
    <w:rsid w:val="003F165F"/>
    <w:rsid w:val="003F19B9"/>
    <w:rsid w:val="003F1A73"/>
    <w:rsid w:val="003F1F3E"/>
    <w:rsid w:val="003F208E"/>
    <w:rsid w:val="003F2747"/>
    <w:rsid w:val="003F274B"/>
    <w:rsid w:val="003F28A5"/>
    <w:rsid w:val="003F29F4"/>
    <w:rsid w:val="003F2CD7"/>
    <w:rsid w:val="003F3318"/>
    <w:rsid w:val="003F3653"/>
    <w:rsid w:val="003F3755"/>
    <w:rsid w:val="003F3BC3"/>
    <w:rsid w:val="003F3BDE"/>
    <w:rsid w:val="003F4772"/>
    <w:rsid w:val="003F4DB0"/>
    <w:rsid w:val="003F566B"/>
    <w:rsid w:val="003F5801"/>
    <w:rsid w:val="003F58CC"/>
    <w:rsid w:val="003F5A8D"/>
    <w:rsid w:val="003F5F73"/>
    <w:rsid w:val="003F6374"/>
    <w:rsid w:val="003F6491"/>
    <w:rsid w:val="003F6942"/>
    <w:rsid w:val="003F7549"/>
    <w:rsid w:val="003F7A3D"/>
    <w:rsid w:val="003F7A61"/>
    <w:rsid w:val="003F7CCB"/>
    <w:rsid w:val="003F7DB0"/>
    <w:rsid w:val="003F7DD4"/>
    <w:rsid w:val="003F7EEE"/>
    <w:rsid w:val="003F7FD4"/>
    <w:rsid w:val="0040008D"/>
    <w:rsid w:val="00400407"/>
    <w:rsid w:val="004005B1"/>
    <w:rsid w:val="00400A90"/>
    <w:rsid w:val="00400DDD"/>
    <w:rsid w:val="00400EFA"/>
    <w:rsid w:val="0040130E"/>
    <w:rsid w:val="00401747"/>
    <w:rsid w:val="0040245B"/>
    <w:rsid w:val="004029AE"/>
    <w:rsid w:val="004029E0"/>
    <w:rsid w:val="00402C47"/>
    <w:rsid w:val="004030D6"/>
    <w:rsid w:val="00403393"/>
    <w:rsid w:val="00403E1C"/>
    <w:rsid w:val="00403ECA"/>
    <w:rsid w:val="004040F8"/>
    <w:rsid w:val="00404843"/>
    <w:rsid w:val="004048DF"/>
    <w:rsid w:val="00405938"/>
    <w:rsid w:val="00405B08"/>
    <w:rsid w:val="004061C6"/>
    <w:rsid w:val="004061F9"/>
    <w:rsid w:val="00406218"/>
    <w:rsid w:val="00406865"/>
    <w:rsid w:val="00406870"/>
    <w:rsid w:val="00407103"/>
    <w:rsid w:val="0040725A"/>
    <w:rsid w:val="00407E4A"/>
    <w:rsid w:val="00407EF3"/>
    <w:rsid w:val="00407F48"/>
    <w:rsid w:val="0041024E"/>
    <w:rsid w:val="0041090F"/>
    <w:rsid w:val="00410954"/>
    <w:rsid w:val="00410B5A"/>
    <w:rsid w:val="00410BD1"/>
    <w:rsid w:val="00410BF6"/>
    <w:rsid w:val="00410C73"/>
    <w:rsid w:val="004118E1"/>
    <w:rsid w:val="00411AA3"/>
    <w:rsid w:val="00411C83"/>
    <w:rsid w:val="00411D16"/>
    <w:rsid w:val="00411FA9"/>
    <w:rsid w:val="0041286B"/>
    <w:rsid w:val="0041292D"/>
    <w:rsid w:val="004130BB"/>
    <w:rsid w:val="00413529"/>
    <w:rsid w:val="0041367C"/>
    <w:rsid w:val="0041369A"/>
    <w:rsid w:val="00413ACD"/>
    <w:rsid w:val="00413E91"/>
    <w:rsid w:val="004143B9"/>
    <w:rsid w:val="00414745"/>
    <w:rsid w:val="00414B52"/>
    <w:rsid w:val="00414BDF"/>
    <w:rsid w:val="00414D46"/>
    <w:rsid w:val="00415220"/>
    <w:rsid w:val="00415250"/>
    <w:rsid w:val="004152D9"/>
    <w:rsid w:val="00415818"/>
    <w:rsid w:val="0041592D"/>
    <w:rsid w:val="00415A6B"/>
    <w:rsid w:val="00415A9C"/>
    <w:rsid w:val="00415B8B"/>
    <w:rsid w:val="00415C6A"/>
    <w:rsid w:val="00416051"/>
    <w:rsid w:val="0041646A"/>
    <w:rsid w:val="00416479"/>
    <w:rsid w:val="00416C3D"/>
    <w:rsid w:val="00416E86"/>
    <w:rsid w:val="00416EA7"/>
    <w:rsid w:val="004174DE"/>
    <w:rsid w:val="004177B9"/>
    <w:rsid w:val="004202AA"/>
    <w:rsid w:val="004208BD"/>
    <w:rsid w:val="00420DF4"/>
    <w:rsid w:val="004210DF"/>
    <w:rsid w:val="004214CB"/>
    <w:rsid w:val="00421869"/>
    <w:rsid w:val="00421A46"/>
    <w:rsid w:val="004221C0"/>
    <w:rsid w:val="0042223C"/>
    <w:rsid w:val="00422617"/>
    <w:rsid w:val="00423637"/>
    <w:rsid w:val="00423962"/>
    <w:rsid w:val="00423EAC"/>
    <w:rsid w:val="00423FA6"/>
    <w:rsid w:val="00423FF1"/>
    <w:rsid w:val="00424342"/>
    <w:rsid w:val="004245C2"/>
    <w:rsid w:val="0042479E"/>
    <w:rsid w:val="004249FE"/>
    <w:rsid w:val="00424ED0"/>
    <w:rsid w:val="004250C4"/>
    <w:rsid w:val="00425274"/>
    <w:rsid w:val="00425490"/>
    <w:rsid w:val="00425872"/>
    <w:rsid w:val="00425FCB"/>
    <w:rsid w:val="0042655F"/>
    <w:rsid w:val="0042676F"/>
    <w:rsid w:val="00426A6F"/>
    <w:rsid w:val="00426B5C"/>
    <w:rsid w:val="00426BCB"/>
    <w:rsid w:val="004275E5"/>
    <w:rsid w:val="00427955"/>
    <w:rsid w:val="00427A25"/>
    <w:rsid w:val="00427A2D"/>
    <w:rsid w:val="00427CA9"/>
    <w:rsid w:val="0043012A"/>
    <w:rsid w:val="00430659"/>
    <w:rsid w:val="00430F5A"/>
    <w:rsid w:val="00431567"/>
    <w:rsid w:val="00431B10"/>
    <w:rsid w:val="00431B1A"/>
    <w:rsid w:val="004324BC"/>
    <w:rsid w:val="0043257F"/>
    <w:rsid w:val="00432BD4"/>
    <w:rsid w:val="00432C4F"/>
    <w:rsid w:val="00433078"/>
    <w:rsid w:val="00433151"/>
    <w:rsid w:val="00433240"/>
    <w:rsid w:val="00433535"/>
    <w:rsid w:val="0043370F"/>
    <w:rsid w:val="00433968"/>
    <w:rsid w:val="00433DB7"/>
    <w:rsid w:val="00433FFF"/>
    <w:rsid w:val="00434593"/>
    <w:rsid w:val="00434644"/>
    <w:rsid w:val="00435405"/>
    <w:rsid w:val="0043580A"/>
    <w:rsid w:val="00435ADC"/>
    <w:rsid w:val="00435B78"/>
    <w:rsid w:val="00435E15"/>
    <w:rsid w:val="00436144"/>
    <w:rsid w:val="00436597"/>
    <w:rsid w:val="00436CE3"/>
    <w:rsid w:val="00436F37"/>
    <w:rsid w:val="00436F84"/>
    <w:rsid w:val="00437190"/>
    <w:rsid w:val="004372CE"/>
    <w:rsid w:val="00437479"/>
    <w:rsid w:val="004376CA"/>
    <w:rsid w:val="0043782E"/>
    <w:rsid w:val="004378B9"/>
    <w:rsid w:val="00437984"/>
    <w:rsid w:val="00437C49"/>
    <w:rsid w:val="00440188"/>
    <w:rsid w:val="00440ED0"/>
    <w:rsid w:val="00441325"/>
    <w:rsid w:val="00441C62"/>
    <w:rsid w:val="00441F16"/>
    <w:rsid w:val="00441FCD"/>
    <w:rsid w:val="00441FD4"/>
    <w:rsid w:val="00442737"/>
    <w:rsid w:val="00442D10"/>
    <w:rsid w:val="00443186"/>
    <w:rsid w:val="00443194"/>
    <w:rsid w:val="0044366A"/>
    <w:rsid w:val="004437D4"/>
    <w:rsid w:val="00443AEC"/>
    <w:rsid w:val="004442D7"/>
    <w:rsid w:val="00444900"/>
    <w:rsid w:val="00444A7A"/>
    <w:rsid w:val="00444D80"/>
    <w:rsid w:val="0044513E"/>
    <w:rsid w:val="00445469"/>
    <w:rsid w:val="00445709"/>
    <w:rsid w:val="00445830"/>
    <w:rsid w:val="004458A5"/>
    <w:rsid w:val="004458E9"/>
    <w:rsid w:val="004459C1"/>
    <w:rsid w:val="00445A37"/>
    <w:rsid w:val="00445D6E"/>
    <w:rsid w:val="00446286"/>
    <w:rsid w:val="00446429"/>
    <w:rsid w:val="00446898"/>
    <w:rsid w:val="00446BBE"/>
    <w:rsid w:val="00446D27"/>
    <w:rsid w:val="004472FA"/>
    <w:rsid w:val="0044756B"/>
    <w:rsid w:val="00447A1C"/>
    <w:rsid w:val="00447BBD"/>
    <w:rsid w:val="00450224"/>
    <w:rsid w:val="004505B5"/>
    <w:rsid w:val="00450B70"/>
    <w:rsid w:val="004511A4"/>
    <w:rsid w:val="00451378"/>
    <w:rsid w:val="004514C7"/>
    <w:rsid w:val="00451711"/>
    <w:rsid w:val="00451A73"/>
    <w:rsid w:val="00451ED9"/>
    <w:rsid w:val="0045224D"/>
    <w:rsid w:val="00452875"/>
    <w:rsid w:val="00452BA9"/>
    <w:rsid w:val="00452FF2"/>
    <w:rsid w:val="004531D1"/>
    <w:rsid w:val="00453C04"/>
    <w:rsid w:val="00453E66"/>
    <w:rsid w:val="00453E75"/>
    <w:rsid w:val="00453F01"/>
    <w:rsid w:val="00454151"/>
    <w:rsid w:val="0045431E"/>
    <w:rsid w:val="00454988"/>
    <w:rsid w:val="00454A40"/>
    <w:rsid w:val="00454BF7"/>
    <w:rsid w:val="00454CB5"/>
    <w:rsid w:val="00454F7A"/>
    <w:rsid w:val="004551D8"/>
    <w:rsid w:val="00455480"/>
    <w:rsid w:val="00455755"/>
    <w:rsid w:val="00455E45"/>
    <w:rsid w:val="004560D5"/>
    <w:rsid w:val="00456343"/>
    <w:rsid w:val="00456552"/>
    <w:rsid w:val="004565A8"/>
    <w:rsid w:val="00456A40"/>
    <w:rsid w:val="00456B30"/>
    <w:rsid w:val="00456CDD"/>
    <w:rsid w:val="00456E34"/>
    <w:rsid w:val="00456F49"/>
    <w:rsid w:val="00456F6C"/>
    <w:rsid w:val="00456FA4"/>
    <w:rsid w:val="0045707D"/>
    <w:rsid w:val="0045742C"/>
    <w:rsid w:val="004577FF"/>
    <w:rsid w:val="00457F7B"/>
    <w:rsid w:val="004603C0"/>
    <w:rsid w:val="00460622"/>
    <w:rsid w:val="00460AE7"/>
    <w:rsid w:val="00460E16"/>
    <w:rsid w:val="00461118"/>
    <w:rsid w:val="0046167F"/>
    <w:rsid w:val="00462177"/>
    <w:rsid w:val="00462452"/>
    <w:rsid w:val="00462D67"/>
    <w:rsid w:val="00462E1F"/>
    <w:rsid w:val="00462E40"/>
    <w:rsid w:val="00462EAD"/>
    <w:rsid w:val="004631AA"/>
    <w:rsid w:val="0046337A"/>
    <w:rsid w:val="0046369C"/>
    <w:rsid w:val="00463C90"/>
    <w:rsid w:val="0046403B"/>
    <w:rsid w:val="00464272"/>
    <w:rsid w:val="004644E3"/>
    <w:rsid w:val="00464D75"/>
    <w:rsid w:val="004653C5"/>
    <w:rsid w:val="004655E6"/>
    <w:rsid w:val="00465A2E"/>
    <w:rsid w:val="00465AAF"/>
    <w:rsid w:val="00465AF3"/>
    <w:rsid w:val="00465B48"/>
    <w:rsid w:val="004660EF"/>
    <w:rsid w:val="0046673E"/>
    <w:rsid w:val="00466858"/>
    <w:rsid w:val="00466BDD"/>
    <w:rsid w:val="00466C93"/>
    <w:rsid w:val="00466D7D"/>
    <w:rsid w:val="00466F50"/>
    <w:rsid w:val="004674AA"/>
    <w:rsid w:val="004678D3"/>
    <w:rsid w:val="00467AE2"/>
    <w:rsid w:val="00467D69"/>
    <w:rsid w:val="00467E58"/>
    <w:rsid w:val="0047028D"/>
    <w:rsid w:val="0047082F"/>
    <w:rsid w:val="00470C47"/>
    <w:rsid w:val="00470C50"/>
    <w:rsid w:val="00470DED"/>
    <w:rsid w:val="00470E79"/>
    <w:rsid w:val="00471733"/>
    <w:rsid w:val="004718D4"/>
    <w:rsid w:val="00471DB0"/>
    <w:rsid w:val="00471ED6"/>
    <w:rsid w:val="00471F0C"/>
    <w:rsid w:val="00472622"/>
    <w:rsid w:val="00472FB9"/>
    <w:rsid w:val="00473419"/>
    <w:rsid w:val="0047362D"/>
    <w:rsid w:val="00473BCD"/>
    <w:rsid w:val="00473C88"/>
    <w:rsid w:val="00473ED1"/>
    <w:rsid w:val="00473FDE"/>
    <w:rsid w:val="00474283"/>
    <w:rsid w:val="004742C6"/>
    <w:rsid w:val="00474522"/>
    <w:rsid w:val="004748DE"/>
    <w:rsid w:val="00475283"/>
    <w:rsid w:val="0047533D"/>
    <w:rsid w:val="00475392"/>
    <w:rsid w:val="0047559C"/>
    <w:rsid w:val="00475D34"/>
    <w:rsid w:val="00475EF0"/>
    <w:rsid w:val="004764BE"/>
    <w:rsid w:val="00476559"/>
    <w:rsid w:val="00476748"/>
    <w:rsid w:val="004767B3"/>
    <w:rsid w:val="004767E1"/>
    <w:rsid w:val="004769E4"/>
    <w:rsid w:val="00476AE0"/>
    <w:rsid w:val="004770EA"/>
    <w:rsid w:val="00477290"/>
    <w:rsid w:val="00477786"/>
    <w:rsid w:val="00477940"/>
    <w:rsid w:val="004803CE"/>
    <w:rsid w:val="00480655"/>
    <w:rsid w:val="004810B7"/>
    <w:rsid w:val="004812FA"/>
    <w:rsid w:val="004818F6"/>
    <w:rsid w:val="00481A5D"/>
    <w:rsid w:val="00483024"/>
    <w:rsid w:val="00483FC7"/>
    <w:rsid w:val="004846BD"/>
    <w:rsid w:val="0048488F"/>
    <w:rsid w:val="00485162"/>
    <w:rsid w:val="004854B0"/>
    <w:rsid w:val="00485548"/>
    <w:rsid w:val="0048562E"/>
    <w:rsid w:val="0048598D"/>
    <w:rsid w:val="004859BD"/>
    <w:rsid w:val="0048624E"/>
    <w:rsid w:val="00486367"/>
    <w:rsid w:val="00486831"/>
    <w:rsid w:val="00486D47"/>
    <w:rsid w:val="00486E89"/>
    <w:rsid w:val="00487130"/>
    <w:rsid w:val="0048731D"/>
    <w:rsid w:val="004875FC"/>
    <w:rsid w:val="00487A31"/>
    <w:rsid w:val="0049047F"/>
    <w:rsid w:val="004913FC"/>
    <w:rsid w:val="004914FD"/>
    <w:rsid w:val="004915DE"/>
    <w:rsid w:val="00491898"/>
    <w:rsid w:val="00491E9F"/>
    <w:rsid w:val="00492029"/>
    <w:rsid w:val="004920C3"/>
    <w:rsid w:val="004926CA"/>
    <w:rsid w:val="00492771"/>
    <w:rsid w:val="004934EE"/>
    <w:rsid w:val="00493EEC"/>
    <w:rsid w:val="00493FDA"/>
    <w:rsid w:val="00494325"/>
    <w:rsid w:val="004949C1"/>
    <w:rsid w:val="00495306"/>
    <w:rsid w:val="0049570D"/>
    <w:rsid w:val="00495A8C"/>
    <w:rsid w:val="00495BB8"/>
    <w:rsid w:val="004964C9"/>
    <w:rsid w:val="00496796"/>
    <w:rsid w:val="00496A90"/>
    <w:rsid w:val="00496B0F"/>
    <w:rsid w:val="00496E8B"/>
    <w:rsid w:val="004975D9"/>
    <w:rsid w:val="00497B3B"/>
    <w:rsid w:val="004A0610"/>
    <w:rsid w:val="004A0DEA"/>
    <w:rsid w:val="004A129A"/>
    <w:rsid w:val="004A1559"/>
    <w:rsid w:val="004A1674"/>
    <w:rsid w:val="004A16A8"/>
    <w:rsid w:val="004A1828"/>
    <w:rsid w:val="004A1A60"/>
    <w:rsid w:val="004A1D02"/>
    <w:rsid w:val="004A2543"/>
    <w:rsid w:val="004A2822"/>
    <w:rsid w:val="004A2982"/>
    <w:rsid w:val="004A2A20"/>
    <w:rsid w:val="004A2FC0"/>
    <w:rsid w:val="004A319A"/>
    <w:rsid w:val="004A323C"/>
    <w:rsid w:val="004A3824"/>
    <w:rsid w:val="004A3C71"/>
    <w:rsid w:val="004A3D0A"/>
    <w:rsid w:val="004A3F48"/>
    <w:rsid w:val="004A46BC"/>
    <w:rsid w:val="004A487F"/>
    <w:rsid w:val="004A4929"/>
    <w:rsid w:val="004A4CB1"/>
    <w:rsid w:val="004A59BD"/>
    <w:rsid w:val="004A5D66"/>
    <w:rsid w:val="004A5DBC"/>
    <w:rsid w:val="004A5E22"/>
    <w:rsid w:val="004A5E40"/>
    <w:rsid w:val="004A6211"/>
    <w:rsid w:val="004A65A5"/>
    <w:rsid w:val="004A69F7"/>
    <w:rsid w:val="004A6F46"/>
    <w:rsid w:val="004A7029"/>
    <w:rsid w:val="004A7088"/>
    <w:rsid w:val="004A71E2"/>
    <w:rsid w:val="004A7328"/>
    <w:rsid w:val="004A7C14"/>
    <w:rsid w:val="004B00A2"/>
    <w:rsid w:val="004B0377"/>
    <w:rsid w:val="004B1CA0"/>
    <w:rsid w:val="004B2905"/>
    <w:rsid w:val="004B2EC6"/>
    <w:rsid w:val="004B3678"/>
    <w:rsid w:val="004B394A"/>
    <w:rsid w:val="004B3C0A"/>
    <w:rsid w:val="004B3C21"/>
    <w:rsid w:val="004B3CAD"/>
    <w:rsid w:val="004B4000"/>
    <w:rsid w:val="004B4235"/>
    <w:rsid w:val="004B4BB2"/>
    <w:rsid w:val="004B4BD4"/>
    <w:rsid w:val="004B4EB0"/>
    <w:rsid w:val="004B4F32"/>
    <w:rsid w:val="004B50EE"/>
    <w:rsid w:val="004B51E9"/>
    <w:rsid w:val="004B5344"/>
    <w:rsid w:val="004B54BA"/>
    <w:rsid w:val="004B58EA"/>
    <w:rsid w:val="004B5B05"/>
    <w:rsid w:val="004B5CAC"/>
    <w:rsid w:val="004B5CC3"/>
    <w:rsid w:val="004B5D92"/>
    <w:rsid w:val="004B6187"/>
    <w:rsid w:val="004B66E6"/>
    <w:rsid w:val="004B6A0B"/>
    <w:rsid w:val="004B6EE8"/>
    <w:rsid w:val="004B7232"/>
    <w:rsid w:val="004B74D4"/>
    <w:rsid w:val="004B78A4"/>
    <w:rsid w:val="004B7ECA"/>
    <w:rsid w:val="004C035B"/>
    <w:rsid w:val="004C06D6"/>
    <w:rsid w:val="004C0A6D"/>
    <w:rsid w:val="004C0B2E"/>
    <w:rsid w:val="004C0F0F"/>
    <w:rsid w:val="004C1578"/>
    <w:rsid w:val="004C160D"/>
    <w:rsid w:val="004C1A0C"/>
    <w:rsid w:val="004C1BC4"/>
    <w:rsid w:val="004C1DDE"/>
    <w:rsid w:val="004C1E9A"/>
    <w:rsid w:val="004C2735"/>
    <w:rsid w:val="004C27F8"/>
    <w:rsid w:val="004C28F4"/>
    <w:rsid w:val="004C2C67"/>
    <w:rsid w:val="004C30CD"/>
    <w:rsid w:val="004C3174"/>
    <w:rsid w:val="004C382E"/>
    <w:rsid w:val="004C38C3"/>
    <w:rsid w:val="004C3D07"/>
    <w:rsid w:val="004C3E51"/>
    <w:rsid w:val="004C3EB3"/>
    <w:rsid w:val="004C43FA"/>
    <w:rsid w:val="004C455C"/>
    <w:rsid w:val="004C4AF7"/>
    <w:rsid w:val="004C4BF5"/>
    <w:rsid w:val="004C530A"/>
    <w:rsid w:val="004C5424"/>
    <w:rsid w:val="004C54AA"/>
    <w:rsid w:val="004C589D"/>
    <w:rsid w:val="004C5B27"/>
    <w:rsid w:val="004C5E92"/>
    <w:rsid w:val="004C5F1B"/>
    <w:rsid w:val="004C5F44"/>
    <w:rsid w:val="004C5F68"/>
    <w:rsid w:val="004C6646"/>
    <w:rsid w:val="004C68A5"/>
    <w:rsid w:val="004C6AC7"/>
    <w:rsid w:val="004C7091"/>
    <w:rsid w:val="004C7538"/>
    <w:rsid w:val="004C755D"/>
    <w:rsid w:val="004C7A0F"/>
    <w:rsid w:val="004D0113"/>
    <w:rsid w:val="004D03E8"/>
    <w:rsid w:val="004D0C01"/>
    <w:rsid w:val="004D1097"/>
    <w:rsid w:val="004D10DA"/>
    <w:rsid w:val="004D1387"/>
    <w:rsid w:val="004D1635"/>
    <w:rsid w:val="004D1CE3"/>
    <w:rsid w:val="004D2116"/>
    <w:rsid w:val="004D2285"/>
    <w:rsid w:val="004D2488"/>
    <w:rsid w:val="004D285E"/>
    <w:rsid w:val="004D2D87"/>
    <w:rsid w:val="004D2EA7"/>
    <w:rsid w:val="004D33C1"/>
    <w:rsid w:val="004D3965"/>
    <w:rsid w:val="004D3A3E"/>
    <w:rsid w:val="004D3FF2"/>
    <w:rsid w:val="004D420A"/>
    <w:rsid w:val="004D466E"/>
    <w:rsid w:val="004D4CCE"/>
    <w:rsid w:val="004D4F31"/>
    <w:rsid w:val="004D5064"/>
    <w:rsid w:val="004D51C3"/>
    <w:rsid w:val="004D54D4"/>
    <w:rsid w:val="004D55FF"/>
    <w:rsid w:val="004D57A0"/>
    <w:rsid w:val="004D60FA"/>
    <w:rsid w:val="004D615F"/>
    <w:rsid w:val="004D6876"/>
    <w:rsid w:val="004D6972"/>
    <w:rsid w:val="004D6E17"/>
    <w:rsid w:val="004D7044"/>
    <w:rsid w:val="004D790B"/>
    <w:rsid w:val="004D798A"/>
    <w:rsid w:val="004E010C"/>
    <w:rsid w:val="004E0121"/>
    <w:rsid w:val="004E04EB"/>
    <w:rsid w:val="004E06C0"/>
    <w:rsid w:val="004E0765"/>
    <w:rsid w:val="004E0844"/>
    <w:rsid w:val="004E0884"/>
    <w:rsid w:val="004E1289"/>
    <w:rsid w:val="004E16A9"/>
    <w:rsid w:val="004E1910"/>
    <w:rsid w:val="004E1B97"/>
    <w:rsid w:val="004E1C2D"/>
    <w:rsid w:val="004E1D72"/>
    <w:rsid w:val="004E1E01"/>
    <w:rsid w:val="004E284F"/>
    <w:rsid w:val="004E2952"/>
    <w:rsid w:val="004E2DBD"/>
    <w:rsid w:val="004E30D5"/>
    <w:rsid w:val="004E32B8"/>
    <w:rsid w:val="004E3736"/>
    <w:rsid w:val="004E3798"/>
    <w:rsid w:val="004E3D7B"/>
    <w:rsid w:val="004E447D"/>
    <w:rsid w:val="004E521D"/>
    <w:rsid w:val="004E52B6"/>
    <w:rsid w:val="004E6675"/>
    <w:rsid w:val="004E6C23"/>
    <w:rsid w:val="004E6CF7"/>
    <w:rsid w:val="004E7126"/>
    <w:rsid w:val="004E7323"/>
    <w:rsid w:val="004E73F7"/>
    <w:rsid w:val="004E7A67"/>
    <w:rsid w:val="004E7B60"/>
    <w:rsid w:val="004E7EC6"/>
    <w:rsid w:val="004F0255"/>
    <w:rsid w:val="004F029D"/>
    <w:rsid w:val="004F033C"/>
    <w:rsid w:val="004F0403"/>
    <w:rsid w:val="004F09A6"/>
    <w:rsid w:val="004F0C08"/>
    <w:rsid w:val="004F0CCA"/>
    <w:rsid w:val="004F1770"/>
    <w:rsid w:val="004F189A"/>
    <w:rsid w:val="004F20CB"/>
    <w:rsid w:val="004F2279"/>
    <w:rsid w:val="004F2D3C"/>
    <w:rsid w:val="004F2E06"/>
    <w:rsid w:val="004F32A8"/>
    <w:rsid w:val="004F3A69"/>
    <w:rsid w:val="004F3C64"/>
    <w:rsid w:val="004F3D2E"/>
    <w:rsid w:val="004F431C"/>
    <w:rsid w:val="004F4622"/>
    <w:rsid w:val="004F4B65"/>
    <w:rsid w:val="004F4DB6"/>
    <w:rsid w:val="004F4F5D"/>
    <w:rsid w:val="004F5729"/>
    <w:rsid w:val="004F58E8"/>
    <w:rsid w:val="004F5CD4"/>
    <w:rsid w:val="004F5E3B"/>
    <w:rsid w:val="004F61EC"/>
    <w:rsid w:val="004F68A6"/>
    <w:rsid w:val="004F771F"/>
    <w:rsid w:val="004F7D00"/>
    <w:rsid w:val="00500196"/>
    <w:rsid w:val="00500E72"/>
    <w:rsid w:val="00501717"/>
    <w:rsid w:val="00501C91"/>
    <w:rsid w:val="0050289D"/>
    <w:rsid w:val="00502D67"/>
    <w:rsid w:val="00503020"/>
    <w:rsid w:val="0050311A"/>
    <w:rsid w:val="00503487"/>
    <w:rsid w:val="005034B0"/>
    <w:rsid w:val="005036E6"/>
    <w:rsid w:val="005038A3"/>
    <w:rsid w:val="00503A29"/>
    <w:rsid w:val="00503AE5"/>
    <w:rsid w:val="00503B6A"/>
    <w:rsid w:val="00503C59"/>
    <w:rsid w:val="00504273"/>
    <w:rsid w:val="0050499F"/>
    <w:rsid w:val="00505123"/>
    <w:rsid w:val="0050547F"/>
    <w:rsid w:val="00505503"/>
    <w:rsid w:val="0050560D"/>
    <w:rsid w:val="00505708"/>
    <w:rsid w:val="005071B4"/>
    <w:rsid w:val="00507260"/>
    <w:rsid w:val="005077B7"/>
    <w:rsid w:val="00507852"/>
    <w:rsid w:val="005079B0"/>
    <w:rsid w:val="00507FD9"/>
    <w:rsid w:val="0051017F"/>
    <w:rsid w:val="00510F09"/>
    <w:rsid w:val="00511033"/>
    <w:rsid w:val="00511612"/>
    <w:rsid w:val="00512171"/>
    <w:rsid w:val="0051223F"/>
    <w:rsid w:val="00512294"/>
    <w:rsid w:val="005123A4"/>
    <w:rsid w:val="00512474"/>
    <w:rsid w:val="005129AB"/>
    <w:rsid w:val="00512C74"/>
    <w:rsid w:val="00513642"/>
    <w:rsid w:val="00513728"/>
    <w:rsid w:val="00513787"/>
    <w:rsid w:val="00513CF8"/>
    <w:rsid w:val="00513D3F"/>
    <w:rsid w:val="005149C7"/>
    <w:rsid w:val="005150BD"/>
    <w:rsid w:val="00515562"/>
    <w:rsid w:val="00515629"/>
    <w:rsid w:val="005156B8"/>
    <w:rsid w:val="0051597D"/>
    <w:rsid w:val="00515BB0"/>
    <w:rsid w:val="005161EA"/>
    <w:rsid w:val="0051651E"/>
    <w:rsid w:val="005167E5"/>
    <w:rsid w:val="005169CE"/>
    <w:rsid w:val="00517092"/>
    <w:rsid w:val="00517728"/>
    <w:rsid w:val="005179BB"/>
    <w:rsid w:val="00520242"/>
    <w:rsid w:val="00520F87"/>
    <w:rsid w:val="00521B7A"/>
    <w:rsid w:val="005224E2"/>
    <w:rsid w:val="00522711"/>
    <w:rsid w:val="00522E3A"/>
    <w:rsid w:val="00522F53"/>
    <w:rsid w:val="005235EC"/>
    <w:rsid w:val="00523D6B"/>
    <w:rsid w:val="005243FA"/>
    <w:rsid w:val="0052442F"/>
    <w:rsid w:val="00524475"/>
    <w:rsid w:val="00524FCC"/>
    <w:rsid w:val="00525242"/>
    <w:rsid w:val="005255A9"/>
    <w:rsid w:val="00525D46"/>
    <w:rsid w:val="00525D79"/>
    <w:rsid w:val="00525ECB"/>
    <w:rsid w:val="00525FFF"/>
    <w:rsid w:val="00526B04"/>
    <w:rsid w:val="005273F6"/>
    <w:rsid w:val="0052755C"/>
    <w:rsid w:val="00527F5D"/>
    <w:rsid w:val="0053065F"/>
    <w:rsid w:val="00530AC6"/>
    <w:rsid w:val="00530DD0"/>
    <w:rsid w:val="00531185"/>
    <w:rsid w:val="00531220"/>
    <w:rsid w:val="005315A3"/>
    <w:rsid w:val="00531B94"/>
    <w:rsid w:val="00532064"/>
    <w:rsid w:val="005325D3"/>
    <w:rsid w:val="00532890"/>
    <w:rsid w:val="005328F7"/>
    <w:rsid w:val="005330B9"/>
    <w:rsid w:val="00533278"/>
    <w:rsid w:val="00533396"/>
    <w:rsid w:val="005334B5"/>
    <w:rsid w:val="0053363F"/>
    <w:rsid w:val="00533C84"/>
    <w:rsid w:val="00533E0F"/>
    <w:rsid w:val="00534CEB"/>
    <w:rsid w:val="00534E89"/>
    <w:rsid w:val="00535338"/>
    <w:rsid w:val="00535632"/>
    <w:rsid w:val="00535D33"/>
    <w:rsid w:val="00535DE0"/>
    <w:rsid w:val="00535DF5"/>
    <w:rsid w:val="0053605E"/>
    <w:rsid w:val="0053677E"/>
    <w:rsid w:val="005369AA"/>
    <w:rsid w:val="005369C8"/>
    <w:rsid w:val="005371B8"/>
    <w:rsid w:val="00537586"/>
    <w:rsid w:val="00537872"/>
    <w:rsid w:val="00537E17"/>
    <w:rsid w:val="00537E98"/>
    <w:rsid w:val="005400D1"/>
    <w:rsid w:val="00540DDE"/>
    <w:rsid w:val="00541149"/>
    <w:rsid w:val="00541398"/>
    <w:rsid w:val="0054141A"/>
    <w:rsid w:val="00541C69"/>
    <w:rsid w:val="00541CE8"/>
    <w:rsid w:val="00541CF9"/>
    <w:rsid w:val="005422AC"/>
    <w:rsid w:val="00542B71"/>
    <w:rsid w:val="00542C8F"/>
    <w:rsid w:val="00542FD4"/>
    <w:rsid w:val="00543420"/>
    <w:rsid w:val="00543E12"/>
    <w:rsid w:val="00543F75"/>
    <w:rsid w:val="00544175"/>
    <w:rsid w:val="005442B9"/>
    <w:rsid w:val="00544440"/>
    <w:rsid w:val="00544EDF"/>
    <w:rsid w:val="00544FE2"/>
    <w:rsid w:val="0054553A"/>
    <w:rsid w:val="00545979"/>
    <w:rsid w:val="00545A4A"/>
    <w:rsid w:val="00546241"/>
    <w:rsid w:val="00546917"/>
    <w:rsid w:val="005469CC"/>
    <w:rsid w:val="00546DE9"/>
    <w:rsid w:val="005470B9"/>
    <w:rsid w:val="005473EE"/>
    <w:rsid w:val="005476B4"/>
    <w:rsid w:val="005477C1"/>
    <w:rsid w:val="005504D4"/>
    <w:rsid w:val="0055061D"/>
    <w:rsid w:val="00550944"/>
    <w:rsid w:val="0055116E"/>
    <w:rsid w:val="00551403"/>
    <w:rsid w:val="0055162B"/>
    <w:rsid w:val="00551946"/>
    <w:rsid w:val="00551DE0"/>
    <w:rsid w:val="00552132"/>
    <w:rsid w:val="00552772"/>
    <w:rsid w:val="00552A53"/>
    <w:rsid w:val="00552B95"/>
    <w:rsid w:val="00552E3B"/>
    <w:rsid w:val="00552EA4"/>
    <w:rsid w:val="005530C7"/>
    <w:rsid w:val="005532E8"/>
    <w:rsid w:val="00553804"/>
    <w:rsid w:val="00553D82"/>
    <w:rsid w:val="00553D88"/>
    <w:rsid w:val="00554356"/>
    <w:rsid w:val="00554EEE"/>
    <w:rsid w:val="00555282"/>
    <w:rsid w:val="00555565"/>
    <w:rsid w:val="00555746"/>
    <w:rsid w:val="00555946"/>
    <w:rsid w:val="00555973"/>
    <w:rsid w:val="00555A3F"/>
    <w:rsid w:val="00555A91"/>
    <w:rsid w:val="0055601B"/>
    <w:rsid w:val="005565F0"/>
    <w:rsid w:val="0055675A"/>
    <w:rsid w:val="00556D34"/>
    <w:rsid w:val="00556D9F"/>
    <w:rsid w:val="005577BB"/>
    <w:rsid w:val="00557841"/>
    <w:rsid w:val="00557E4C"/>
    <w:rsid w:val="00557EE1"/>
    <w:rsid w:val="00560C1F"/>
    <w:rsid w:val="00560C99"/>
    <w:rsid w:val="00560CEC"/>
    <w:rsid w:val="00560D55"/>
    <w:rsid w:val="005610B3"/>
    <w:rsid w:val="005612E3"/>
    <w:rsid w:val="00561C2E"/>
    <w:rsid w:val="00562401"/>
    <w:rsid w:val="00562616"/>
    <w:rsid w:val="0056316A"/>
    <w:rsid w:val="005631D5"/>
    <w:rsid w:val="00563B4B"/>
    <w:rsid w:val="005648EE"/>
    <w:rsid w:val="00564DFE"/>
    <w:rsid w:val="0056589B"/>
    <w:rsid w:val="00565931"/>
    <w:rsid w:val="0056605D"/>
    <w:rsid w:val="005663E2"/>
    <w:rsid w:val="005664DD"/>
    <w:rsid w:val="00566C52"/>
    <w:rsid w:val="00567212"/>
    <w:rsid w:val="005674B1"/>
    <w:rsid w:val="00567C8C"/>
    <w:rsid w:val="00567D28"/>
    <w:rsid w:val="00567E34"/>
    <w:rsid w:val="00567FB5"/>
    <w:rsid w:val="005700E2"/>
    <w:rsid w:val="00570150"/>
    <w:rsid w:val="0057027C"/>
    <w:rsid w:val="0057038A"/>
    <w:rsid w:val="005706C3"/>
    <w:rsid w:val="00570918"/>
    <w:rsid w:val="00570C46"/>
    <w:rsid w:val="00570EF5"/>
    <w:rsid w:val="00570F91"/>
    <w:rsid w:val="0057122B"/>
    <w:rsid w:val="0057129F"/>
    <w:rsid w:val="005713C1"/>
    <w:rsid w:val="005714EB"/>
    <w:rsid w:val="00571664"/>
    <w:rsid w:val="00571F8A"/>
    <w:rsid w:val="00572159"/>
    <w:rsid w:val="005729C1"/>
    <w:rsid w:val="005739C5"/>
    <w:rsid w:val="0057468D"/>
    <w:rsid w:val="00574879"/>
    <w:rsid w:val="005748DD"/>
    <w:rsid w:val="00574A1A"/>
    <w:rsid w:val="005756E5"/>
    <w:rsid w:val="00575859"/>
    <w:rsid w:val="005759C2"/>
    <w:rsid w:val="00575A1F"/>
    <w:rsid w:val="00575DB4"/>
    <w:rsid w:val="0057655C"/>
    <w:rsid w:val="00576674"/>
    <w:rsid w:val="0057684C"/>
    <w:rsid w:val="005768B9"/>
    <w:rsid w:val="00576C44"/>
    <w:rsid w:val="00576E2C"/>
    <w:rsid w:val="00576FF1"/>
    <w:rsid w:val="00577073"/>
    <w:rsid w:val="0057728E"/>
    <w:rsid w:val="0057757E"/>
    <w:rsid w:val="00577605"/>
    <w:rsid w:val="00577ACD"/>
    <w:rsid w:val="00577C4C"/>
    <w:rsid w:val="00577C86"/>
    <w:rsid w:val="00577E11"/>
    <w:rsid w:val="005805EE"/>
    <w:rsid w:val="00580705"/>
    <w:rsid w:val="00580A1E"/>
    <w:rsid w:val="00580A8D"/>
    <w:rsid w:val="00580E9D"/>
    <w:rsid w:val="00581191"/>
    <w:rsid w:val="005814B1"/>
    <w:rsid w:val="00581858"/>
    <w:rsid w:val="00581BC2"/>
    <w:rsid w:val="00582104"/>
    <w:rsid w:val="00582645"/>
    <w:rsid w:val="00582A68"/>
    <w:rsid w:val="00582BFB"/>
    <w:rsid w:val="00582D74"/>
    <w:rsid w:val="00583DFD"/>
    <w:rsid w:val="0058404A"/>
    <w:rsid w:val="005841E5"/>
    <w:rsid w:val="0058431D"/>
    <w:rsid w:val="00584978"/>
    <w:rsid w:val="00585397"/>
    <w:rsid w:val="0058563B"/>
    <w:rsid w:val="005856A6"/>
    <w:rsid w:val="005857AC"/>
    <w:rsid w:val="0058585E"/>
    <w:rsid w:val="00585C24"/>
    <w:rsid w:val="00585C8C"/>
    <w:rsid w:val="00586B95"/>
    <w:rsid w:val="00587423"/>
    <w:rsid w:val="0058769C"/>
    <w:rsid w:val="0058773D"/>
    <w:rsid w:val="00590657"/>
    <w:rsid w:val="00590A33"/>
    <w:rsid w:val="00590D9D"/>
    <w:rsid w:val="00591282"/>
    <w:rsid w:val="005914CB"/>
    <w:rsid w:val="005917AC"/>
    <w:rsid w:val="005917B3"/>
    <w:rsid w:val="00591BF3"/>
    <w:rsid w:val="00591C2B"/>
    <w:rsid w:val="005921E4"/>
    <w:rsid w:val="005922FD"/>
    <w:rsid w:val="00592329"/>
    <w:rsid w:val="005937AB"/>
    <w:rsid w:val="00594107"/>
    <w:rsid w:val="00594234"/>
    <w:rsid w:val="005949A8"/>
    <w:rsid w:val="005949ED"/>
    <w:rsid w:val="00594E36"/>
    <w:rsid w:val="005952ED"/>
    <w:rsid w:val="0059545C"/>
    <w:rsid w:val="00595E40"/>
    <w:rsid w:val="0059632A"/>
    <w:rsid w:val="005964D8"/>
    <w:rsid w:val="0059652B"/>
    <w:rsid w:val="005968AE"/>
    <w:rsid w:val="00597338"/>
    <w:rsid w:val="00597893"/>
    <w:rsid w:val="005A0433"/>
    <w:rsid w:val="005A0A74"/>
    <w:rsid w:val="005A0ADD"/>
    <w:rsid w:val="005A12DD"/>
    <w:rsid w:val="005A159A"/>
    <w:rsid w:val="005A1854"/>
    <w:rsid w:val="005A1BC1"/>
    <w:rsid w:val="005A1E6D"/>
    <w:rsid w:val="005A22F8"/>
    <w:rsid w:val="005A2BA2"/>
    <w:rsid w:val="005A2E2C"/>
    <w:rsid w:val="005A3631"/>
    <w:rsid w:val="005A36D4"/>
    <w:rsid w:val="005A37F4"/>
    <w:rsid w:val="005A3A06"/>
    <w:rsid w:val="005A4681"/>
    <w:rsid w:val="005A4879"/>
    <w:rsid w:val="005A5353"/>
    <w:rsid w:val="005A570B"/>
    <w:rsid w:val="005A61C9"/>
    <w:rsid w:val="005A72BB"/>
    <w:rsid w:val="005A74A0"/>
    <w:rsid w:val="005A767E"/>
    <w:rsid w:val="005A7FDB"/>
    <w:rsid w:val="005B0076"/>
    <w:rsid w:val="005B01F5"/>
    <w:rsid w:val="005B0303"/>
    <w:rsid w:val="005B0333"/>
    <w:rsid w:val="005B049B"/>
    <w:rsid w:val="005B0BC3"/>
    <w:rsid w:val="005B0D6D"/>
    <w:rsid w:val="005B1098"/>
    <w:rsid w:val="005B1516"/>
    <w:rsid w:val="005B1771"/>
    <w:rsid w:val="005B18D8"/>
    <w:rsid w:val="005B1B88"/>
    <w:rsid w:val="005B2152"/>
    <w:rsid w:val="005B2366"/>
    <w:rsid w:val="005B2C60"/>
    <w:rsid w:val="005B3720"/>
    <w:rsid w:val="005B3799"/>
    <w:rsid w:val="005B3DAA"/>
    <w:rsid w:val="005B3F21"/>
    <w:rsid w:val="005B4164"/>
    <w:rsid w:val="005B5172"/>
    <w:rsid w:val="005B581A"/>
    <w:rsid w:val="005B5970"/>
    <w:rsid w:val="005B5AD0"/>
    <w:rsid w:val="005B5E4A"/>
    <w:rsid w:val="005B5E5F"/>
    <w:rsid w:val="005B64E3"/>
    <w:rsid w:val="005B6929"/>
    <w:rsid w:val="005B6BDD"/>
    <w:rsid w:val="005B6C90"/>
    <w:rsid w:val="005B6FD6"/>
    <w:rsid w:val="005B7553"/>
    <w:rsid w:val="005B7BE3"/>
    <w:rsid w:val="005C002D"/>
    <w:rsid w:val="005C0129"/>
    <w:rsid w:val="005C025F"/>
    <w:rsid w:val="005C033A"/>
    <w:rsid w:val="005C080B"/>
    <w:rsid w:val="005C0A4B"/>
    <w:rsid w:val="005C0A59"/>
    <w:rsid w:val="005C0E3A"/>
    <w:rsid w:val="005C0F1B"/>
    <w:rsid w:val="005C10DE"/>
    <w:rsid w:val="005C113C"/>
    <w:rsid w:val="005C12A2"/>
    <w:rsid w:val="005C191E"/>
    <w:rsid w:val="005C27A1"/>
    <w:rsid w:val="005C2A99"/>
    <w:rsid w:val="005C38F7"/>
    <w:rsid w:val="005C3BA2"/>
    <w:rsid w:val="005C42AB"/>
    <w:rsid w:val="005C433B"/>
    <w:rsid w:val="005C4892"/>
    <w:rsid w:val="005C501E"/>
    <w:rsid w:val="005C52B7"/>
    <w:rsid w:val="005C545E"/>
    <w:rsid w:val="005C55AD"/>
    <w:rsid w:val="005C5688"/>
    <w:rsid w:val="005C5748"/>
    <w:rsid w:val="005C5A00"/>
    <w:rsid w:val="005C5B21"/>
    <w:rsid w:val="005C66F0"/>
    <w:rsid w:val="005C684E"/>
    <w:rsid w:val="005C69CA"/>
    <w:rsid w:val="005C73F9"/>
    <w:rsid w:val="005C742A"/>
    <w:rsid w:val="005C7564"/>
    <w:rsid w:val="005C784F"/>
    <w:rsid w:val="005C7AEF"/>
    <w:rsid w:val="005C7CA3"/>
    <w:rsid w:val="005D0117"/>
    <w:rsid w:val="005D14B0"/>
    <w:rsid w:val="005D198F"/>
    <w:rsid w:val="005D1D7E"/>
    <w:rsid w:val="005D23E8"/>
    <w:rsid w:val="005D24FC"/>
    <w:rsid w:val="005D2729"/>
    <w:rsid w:val="005D29ED"/>
    <w:rsid w:val="005D2C03"/>
    <w:rsid w:val="005D2E00"/>
    <w:rsid w:val="005D2E47"/>
    <w:rsid w:val="005D3160"/>
    <w:rsid w:val="005D3401"/>
    <w:rsid w:val="005D3671"/>
    <w:rsid w:val="005D3703"/>
    <w:rsid w:val="005D3968"/>
    <w:rsid w:val="005D3EDF"/>
    <w:rsid w:val="005D406D"/>
    <w:rsid w:val="005D44F6"/>
    <w:rsid w:val="005D4F10"/>
    <w:rsid w:val="005D541A"/>
    <w:rsid w:val="005D5503"/>
    <w:rsid w:val="005D5DC5"/>
    <w:rsid w:val="005D617A"/>
    <w:rsid w:val="005D629E"/>
    <w:rsid w:val="005D6786"/>
    <w:rsid w:val="005D6883"/>
    <w:rsid w:val="005D6FDF"/>
    <w:rsid w:val="005D7185"/>
    <w:rsid w:val="005D71BA"/>
    <w:rsid w:val="005D74D3"/>
    <w:rsid w:val="005D782A"/>
    <w:rsid w:val="005D7BC0"/>
    <w:rsid w:val="005D7D02"/>
    <w:rsid w:val="005E00BC"/>
    <w:rsid w:val="005E06EE"/>
    <w:rsid w:val="005E09DA"/>
    <w:rsid w:val="005E0A1C"/>
    <w:rsid w:val="005E0F82"/>
    <w:rsid w:val="005E14BB"/>
    <w:rsid w:val="005E166E"/>
    <w:rsid w:val="005E1671"/>
    <w:rsid w:val="005E1F82"/>
    <w:rsid w:val="005E22BE"/>
    <w:rsid w:val="005E29A4"/>
    <w:rsid w:val="005E2FDB"/>
    <w:rsid w:val="005E3093"/>
    <w:rsid w:val="005E34B1"/>
    <w:rsid w:val="005E3A63"/>
    <w:rsid w:val="005E3B15"/>
    <w:rsid w:val="005E489B"/>
    <w:rsid w:val="005E4BB2"/>
    <w:rsid w:val="005E5332"/>
    <w:rsid w:val="005E5670"/>
    <w:rsid w:val="005E59C3"/>
    <w:rsid w:val="005E5A99"/>
    <w:rsid w:val="005E5CF2"/>
    <w:rsid w:val="005E5D71"/>
    <w:rsid w:val="005E5D92"/>
    <w:rsid w:val="005E5F4A"/>
    <w:rsid w:val="005E6013"/>
    <w:rsid w:val="005E6061"/>
    <w:rsid w:val="005E61F8"/>
    <w:rsid w:val="005E662A"/>
    <w:rsid w:val="005E66F0"/>
    <w:rsid w:val="005E698D"/>
    <w:rsid w:val="005E7308"/>
    <w:rsid w:val="005E7CAF"/>
    <w:rsid w:val="005E7E2A"/>
    <w:rsid w:val="005E7EC7"/>
    <w:rsid w:val="005F0478"/>
    <w:rsid w:val="005F0738"/>
    <w:rsid w:val="005F08BA"/>
    <w:rsid w:val="005F0A33"/>
    <w:rsid w:val="005F0A85"/>
    <w:rsid w:val="005F0FCA"/>
    <w:rsid w:val="005F1060"/>
    <w:rsid w:val="005F1294"/>
    <w:rsid w:val="005F12AC"/>
    <w:rsid w:val="005F17FC"/>
    <w:rsid w:val="005F19B4"/>
    <w:rsid w:val="005F1BF9"/>
    <w:rsid w:val="005F2471"/>
    <w:rsid w:val="005F2774"/>
    <w:rsid w:val="005F2784"/>
    <w:rsid w:val="005F2CBD"/>
    <w:rsid w:val="005F32CE"/>
    <w:rsid w:val="005F3407"/>
    <w:rsid w:val="005F35E7"/>
    <w:rsid w:val="005F3685"/>
    <w:rsid w:val="005F3799"/>
    <w:rsid w:val="005F3FE0"/>
    <w:rsid w:val="005F4135"/>
    <w:rsid w:val="005F4572"/>
    <w:rsid w:val="005F47E6"/>
    <w:rsid w:val="005F4914"/>
    <w:rsid w:val="005F4B3E"/>
    <w:rsid w:val="005F4ED8"/>
    <w:rsid w:val="005F4F4D"/>
    <w:rsid w:val="005F561D"/>
    <w:rsid w:val="005F56A2"/>
    <w:rsid w:val="005F5949"/>
    <w:rsid w:val="005F5A48"/>
    <w:rsid w:val="005F5CA1"/>
    <w:rsid w:val="005F6187"/>
    <w:rsid w:val="005F647A"/>
    <w:rsid w:val="005F6DB1"/>
    <w:rsid w:val="005F71E7"/>
    <w:rsid w:val="005F72E4"/>
    <w:rsid w:val="005F738D"/>
    <w:rsid w:val="005F771D"/>
    <w:rsid w:val="005F776B"/>
    <w:rsid w:val="005F782D"/>
    <w:rsid w:val="005F7958"/>
    <w:rsid w:val="005F7EB3"/>
    <w:rsid w:val="005F7F15"/>
    <w:rsid w:val="006001AD"/>
    <w:rsid w:val="00600298"/>
    <w:rsid w:val="00600928"/>
    <w:rsid w:val="00600A1F"/>
    <w:rsid w:val="00600D6E"/>
    <w:rsid w:val="00600F88"/>
    <w:rsid w:val="00601009"/>
    <w:rsid w:val="00602290"/>
    <w:rsid w:val="0060280D"/>
    <w:rsid w:val="00602CD7"/>
    <w:rsid w:val="00603B45"/>
    <w:rsid w:val="00603EB9"/>
    <w:rsid w:val="006040BC"/>
    <w:rsid w:val="0060439D"/>
    <w:rsid w:val="0060474D"/>
    <w:rsid w:val="00604BFB"/>
    <w:rsid w:val="00604DC2"/>
    <w:rsid w:val="00604E45"/>
    <w:rsid w:val="00604F0B"/>
    <w:rsid w:val="006051A0"/>
    <w:rsid w:val="006053C0"/>
    <w:rsid w:val="00605451"/>
    <w:rsid w:val="0060598B"/>
    <w:rsid w:val="00605C21"/>
    <w:rsid w:val="00605F26"/>
    <w:rsid w:val="0060609D"/>
    <w:rsid w:val="006060CA"/>
    <w:rsid w:val="006069AC"/>
    <w:rsid w:val="00606A7C"/>
    <w:rsid w:val="0060707E"/>
    <w:rsid w:val="00607A55"/>
    <w:rsid w:val="00607A60"/>
    <w:rsid w:val="00607BF4"/>
    <w:rsid w:val="00607EC6"/>
    <w:rsid w:val="0061056A"/>
    <w:rsid w:val="006107E6"/>
    <w:rsid w:val="00611549"/>
    <w:rsid w:val="00611793"/>
    <w:rsid w:val="00611811"/>
    <w:rsid w:val="00611B0C"/>
    <w:rsid w:val="00611DD2"/>
    <w:rsid w:val="006126F7"/>
    <w:rsid w:val="00612BAB"/>
    <w:rsid w:val="00612EA7"/>
    <w:rsid w:val="00612F1A"/>
    <w:rsid w:val="0061399D"/>
    <w:rsid w:val="00613DFE"/>
    <w:rsid w:val="00613EF6"/>
    <w:rsid w:val="006143F2"/>
    <w:rsid w:val="00614438"/>
    <w:rsid w:val="00614A8E"/>
    <w:rsid w:val="00614C45"/>
    <w:rsid w:val="00614F72"/>
    <w:rsid w:val="00615503"/>
    <w:rsid w:val="006159CF"/>
    <w:rsid w:val="00615E26"/>
    <w:rsid w:val="00615E74"/>
    <w:rsid w:val="00615EAA"/>
    <w:rsid w:val="0061613D"/>
    <w:rsid w:val="00616266"/>
    <w:rsid w:val="006163AB"/>
    <w:rsid w:val="0061687A"/>
    <w:rsid w:val="00617CA2"/>
    <w:rsid w:val="00617D86"/>
    <w:rsid w:val="00620083"/>
    <w:rsid w:val="0062009A"/>
    <w:rsid w:val="006200C8"/>
    <w:rsid w:val="006201CE"/>
    <w:rsid w:val="006204A9"/>
    <w:rsid w:val="0062069E"/>
    <w:rsid w:val="00620758"/>
    <w:rsid w:val="00620867"/>
    <w:rsid w:val="006209BF"/>
    <w:rsid w:val="00620EB8"/>
    <w:rsid w:val="00621054"/>
    <w:rsid w:val="006210C3"/>
    <w:rsid w:val="00621C83"/>
    <w:rsid w:val="006221E8"/>
    <w:rsid w:val="00622420"/>
    <w:rsid w:val="0062255F"/>
    <w:rsid w:val="0062278A"/>
    <w:rsid w:val="00622798"/>
    <w:rsid w:val="0062283F"/>
    <w:rsid w:val="00622C57"/>
    <w:rsid w:val="0062341F"/>
    <w:rsid w:val="00623818"/>
    <w:rsid w:val="00623B57"/>
    <w:rsid w:val="00623F2A"/>
    <w:rsid w:val="00623F86"/>
    <w:rsid w:val="0062484E"/>
    <w:rsid w:val="00624A07"/>
    <w:rsid w:val="00624B5B"/>
    <w:rsid w:val="00624C41"/>
    <w:rsid w:val="006253B0"/>
    <w:rsid w:val="00625430"/>
    <w:rsid w:val="006259E6"/>
    <w:rsid w:val="00627407"/>
    <w:rsid w:val="00630F73"/>
    <w:rsid w:val="00630FE5"/>
    <w:rsid w:val="006310F2"/>
    <w:rsid w:val="00631153"/>
    <w:rsid w:val="006311D2"/>
    <w:rsid w:val="006313CE"/>
    <w:rsid w:val="00631520"/>
    <w:rsid w:val="006315EB"/>
    <w:rsid w:val="0063165E"/>
    <w:rsid w:val="006318BD"/>
    <w:rsid w:val="00631D40"/>
    <w:rsid w:val="006320C7"/>
    <w:rsid w:val="006325A6"/>
    <w:rsid w:val="00632B54"/>
    <w:rsid w:val="00632C1C"/>
    <w:rsid w:val="00632DAA"/>
    <w:rsid w:val="006334BC"/>
    <w:rsid w:val="00633B4D"/>
    <w:rsid w:val="00633C06"/>
    <w:rsid w:val="00634E9B"/>
    <w:rsid w:val="0063554C"/>
    <w:rsid w:val="0063594E"/>
    <w:rsid w:val="00635F81"/>
    <w:rsid w:val="006361FD"/>
    <w:rsid w:val="00637C0B"/>
    <w:rsid w:val="006400C6"/>
    <w:rsid w:val="006400D4"/>
    <w:rsid w:val="006405EC"/>
    <w:rsid w:val="0064077C"/>
    <w:rsid w:val="0064082E"/>
    <w:rsid w:val="006408BA"/>
    <w:rsid w:val="00641409"/>
    <w:rsid w:val="0064170B"/>
    <w:rsid w:val="00641F1C"/>
    <w:rsid w:val="006420E1"/>
    <w:rsid w:val="00642731"/>
    <w:rsid w:val="00642816"/>
    <w:rsid w:val="00642AED"/>
    <w:rsid w:val="00642E35"/>
    <w:rsid w:val="006436D6"/>
    <w:rsid w:val="00643FE9"/>
    <w:rsid w:val="00643FEB"/>
    <w:rsid w:val="0064401F"/>
    <w:rsid w:val="00644177"/>
    <w:rsid w:val="00644274"/>
    <w:rsid w:val="006444E6"/>
    <w:rsid w:val="00645373"/>
    <w:rsid w:val="006458BD"/>
    <w:rsid w:val="00645BD8"/>
    <w:rsid w:val="00645E2C"/>
    <w:rsid w:val="00645E33"/>
    <w:rsid w:val="00645FC8"/>
    <w:rsid w:val="006462D9"/>
    <w:rsid w:val="0064654A"/>
    <w:rsid w:val="00646562"/>
    <w:rsid w:val="006465CD"/>
    <w:rsid w:val="00646657"/>
    <w:rsid w:val="00646697"/>
    <w:rsid w:val="006467B7"/>
    <w:rsid w:val="00646ADC"/>
    <w:rsid w:val="0064715B"/>
    <w:rsid w:val="006471DA"/>
    <w:rsid w:val="00647375"/>
    <w:rsid w:val="00647E5E"/>
    <w:rsid w:val="00650D8D"/>
    <w:rsid w:val="00651369"/>
    <w:rsid w:val="00651401"/>
    <w:rsid w:val="006514CA"/>
    <w:rsid w:val="0065150F"/>
    <w:rsid w:val="006517E8"/>
    <w:rsid w:val="00651B7F"/>
    <w:rsid w:val="0065241F"/>
    <w:rsid w:val="0065243E"/>
    <w:rsid w:val="006526C0"/>
    <w:rsid w:val="00652A3A"/>
    <w:rsid w:val="00652ACC"/>
    <w:rsid w:val="00652DF0"/>
    <w:rsid w:val="00652E1E"/>
    <w:rsid w:val="00653079"/>
    <w:rsid w:val="0065348A"/>
    <w:rsid w:val="00653722"/>
    <w:rsid w:val="00654B96"/>
    <w:rsid w:val="00654BF7"/>
    <w:rsid w:val="0065513C"/>
    <w:rsid w:val="0065561A"/>
    <w:rsid w:val="006559BE"/>
    <w:rsid w:val="00655F86"/>
    <w:rsid w:val="0065674C"/>
    <w:rsid w:val="00656AB1"/>
    <w:rsid w:val="00656E2C"/>
    <w:rsid w:val="006571AC"/>
    <w:rsid w:val="006572E7"/>
    <w:rsid w:val="00657656"/>
    <w:rsid w:val="006578BB"/>
    <w:rsid w:val="00657AC0"/>
    <w:rsid w:val="00657C76"/>
    <w:rsid w:val="006602DA"/>
    <w:rsid w:val="00660327"/>
    <w:rsid w:val="006607A7"/>
    <w:rsid w:val="00660A98"/>
    <w:rsid w:val="00660DEF"/>
    <w:rsid w:val="006611B0"/>
    <w:rsid w:val="00661628"/>
    <w:rsid w:val="0066183D"/>
    <w:rsid w:val="00661B04"/>
    <w:rsid w:val="00661E04"/>
    <w:rsid w:val="00661E26"/>
    <w:rsid w:val="006620E5"/>
    <w:rsid w:val="0066340F"/>
    <w:rsid w:val="00663546"/>
    <w:rsid w:val="0066366C"/>
    <w:rsid w:val="0066369A"/>
    <w:rsid w:val="00663B27"/>
    <w:rsid w:val="00663FCA"/>
    <w:rsid w:val="006642F6"/>
    <w:rsid w:val="006646C4"/>
    <w:rsid w:val="00664723"/>
    <w:rsid w:val="00664CB2"/>
    <w:rsid w:val="00664DC0"/>
    <w:rsid w:val="00664F97"/>
    <w:rsid w:val="00665188"/>
    <w:rsid w:val="00665291"/>
    <w:rsid w:val="00665FF7"/>
    <w:rsid w:val="006663DE"/>
    <w:rsid w:val="0066684D"/>
    <w:rsid w:val="00666F14"/>
    <w:rsid w:val="00667344"/>
    <w:rsid w:val="00667A6E"/>
    <w:rsid w:val="0067088A"/>
    <w:rsid w:val="00670BBF"/>
    <w:rsid w:val="00670DEC"/>
    <w:rsid w:val="00670E5F"/>
    <w:rsid w:val="00671454"/>
    <w:rsid w:val="006718EC"/>
    <w:rsid w:val="00671FBB"/>
    <w:rsid w:val="006723FD"/>
    <w:rsid w:val="00672B64"/>
    <w:rsid w:val="00672D41"/>
    <w:rsid w:val="00673463"/>
    <w:rsid w:val="0067378A"/>
    <w:rsid w:val="00673DEC"/>
    <w:rsid w:val="00673E66"/>
    <w:rsid w:val="00674478"/>
    <w:rsid w:val="00674BE3"/>
    <w:rsid w:val="00674D7C"/>
    <w:rsid w:val="00674F34"/>
    <w:rsid w:val="00675024"/>
    <w:rsid w:val="00675561"/>
    <w:rsid w:val="006757CC"/>
    <w:rsid w:val="00675961"/>
    <w:rsid w:val="00676127"/>
    <w:rsid w:val="00676478"/>
    <w:rsid w:val="006766FB"/>
    <w:rsid w:val="0067697B"/>
    <w:rsid w:val="00676B25"/>
    <w:rsid w:val="00676D3B"/>
    <w:rsid w:val="00676D4A"/>
    <w:rsid w:val="006771C6"/>
    <w:rsid w:val="006772F3"/>
    <w:rsid w:val="00677544"/>
    <w:rsid w:val="00677658"/>
    <w:rsid w:val="00677B8E"/>
    <w:rsid w:val="00677CA1"/>
    <w:rsid w:val="0068083F"/>
    <w:rsid w:val="00680A05"/>
    <w:rsid w:val="006812C6"/>
    <w:rsid w:val="00682704"/>
    <w:rsid w:val="0068292D"/>
    <w:rsid w:val="00682AA9"/>
    <w:rsid w:val="00682F94"/>
    <w:rsid w:val="006833FD"/>
    <w:rsid w:val="006837E7"/>
    <w:rsid w:val="00683A2B"/>
    <w:rsid w:val="006840C2"/>
    <w:rsid w:val="0068449C"/>
    <w:rsid w:val="006846E1"/>
    <w:rsid w:val="00684932"/>
    <w:rsid w:val="006857DB"/>
    <w:rsid w:val="00685897"/>
    <w:rsid w:val="0068634A"/>
    <w:rsid w:val="0068641C"/>
    <w:rsid w:val="0068667A"/>
    <w:rsid w:val="0068679C"/>
    <w:rsid w:val="006867D9"/>
    <w:rsid w:val="00686B61"/>
    <w:rsid w:val="00686C02"/>
    <w:rsid w:val="006870A7"/>
    <w:rsid w:val="00687EFF"/>
    <w:rsid w:val="006905A5"/>
    <w:rsid w:val="00691062"/>
    <w:rsid w:val="00691D11"/>
    <w:rsid w:val="0069255F"/>
    <w:rsid w:val="00692DDE"/>
    <w:rsid w:val="0069352A"/>
    <w:rsid w:val="006938D4"/>
    <w:rsid w:val="00693A8D"/>
    <w:rsid w:val="006943B4"/>
    <w:rsid w:val="0069455B"/>
    <w:rsid w:val="0069461F"/>
    <w:rsid w:val="006947A1"/>
    <w:rsid w:val="00694882"/>
    <w:rsid w:val="00694913"/>
    <w:rsid w:val="006950C9"/>
    <w:rsid w:val="006950D7"/>
    <w:rsid w:val="00695246"/>
    <w:rsid w:val="006954FA"/>
    <w:rsid w:val="0069563A"/>
    <w:rsid w:val="00695851"/>
    <w:rsid w:val="00696152"/>
    <w:rsid w:val="0069653C"/>
    <w:rsid w:val="00696742"/>
    <w:rsid w:val="00696834"/>
    <w:rsid w:val="00697073"/>
    <w:rsid w:val="00697115"/>
    <w:rsid w:val="0069715D"/>
    <w:rsid w:val="00697631"/>
    <w:rsid w:val="00697947"/>
    <w:rsid w:val="00697DC4"/>
    <w:rsid w:val="00697FE3"/>
    <w:rsid w:val="006A036C"/>
    <w:rsid w:val="006A06E2"/>
    <w:rsid w:val="006A0731"/>
    <w:rsid w:val="006A07C3"/>
    <w:rsid w:val="006A0F14"/>
    <w:rsid w:val="006A0F43"/>
    <w:rsid w:val="006A1373"/>
    <w:rsid w:val="006A1596"/>
    <w:rsid w:val="006A187C"/>
    <w:rsid w:val="006A26F7"/>
    <w:rsid w:val="006A2D17"/>
    <w:rsid w:val="006A2E46"/>
    <w:rsid w:val="006A3077"/>
    <w:rsid w:val="006A33C2"/>
    <w:rsid w:val="006A3453"/>
    <w:rsid w:val="006A36B6"/>
    <w:rsid w:val="006A3901"/>
    <w:rsid w:val="006A39A9"/>
    <w:rsid w:val="006A417C"/>
    <w:rsid w:val="006A4661"/>
    <w:rsid w:val="006A4762"/>
    <w:rsid w:val="006A490E"/>
    <w:rsid w:val="006A4984"/>
    <w:rsid w:val="006A4BEC"/>
    <w:rsid w:val="006A4C76"/>
    <w:rsid w:val="006A4DBA"/>
    <w:rsid w:val="006A547F"/>
    <w:rsid w:val="006A548C"/>
    <w:rsid w:val="006A54D4"/>
    <w:rsid w:val="006A5B5C"/>
    <w:rsid w:val="006A5DF8"/>
    <w:rsid w:val="006A6003"/>
    <w:rsid w:val="006A63E5"/>
    <w:rsid w:val="006A65EA"/>
    <w:rsid w:val="006A6F6F"/>
    <w:rsid w:val="006A7500"/>
    <w:rsid w:val="006A76F6"/>
    <w:rsid w:val="006A770D"/>
    <w:rsid w:val="006A7803"/>
    <w:rsid w:val="006A7C59"/>
    <w:rsid w:val="006B0024"/>
    <w:rsid w:val="006B017B"/>
    <w:rsid w:val="006B0253"/>
    <w:rsid w:val="006B045E"/>
    <w:rsid w:val="006B0539"/>
    <w:rsid w:val="006B0885"/>
    <w:rsid w:val="006B0914"/>
    <w:rsid w:val="006B0FEF"/>
    <w:rsid w:val="006B13D4"/>
    <w:rsid w:val="006B17A3"/>
    <w:rsid w:val="006B183B"/>
    <w:rsid w:val="006B19F6"/>
    <w:rsid w:val="006B1FA8"/>
    <w:rsid w:val="006B2566"/>
    <w:rsid w:val="006B2A53"/>
    <w:rsid w:val="006B2F93"/>
    <w:rsid w:val="006B37DF"/>
    <w:rsid w:val="006B3A18"/>
    <w:rsid w:val="006B3CB1"/>
    <w:rsid w:val="006B4315"/>
    <w:rsid w:val="006B4317"/>
    <w:rsid w:val="006B457F"/>
    <w:rsid w:val="006B471B"/>
    <w:rsid w:val="006B4AA2"/>
    <w:rsid w:val="006B4B0E"/>
    <w:rsid w:val="006B4BFE"/>
    <w:rsid w:val="006B4FB1"/>
    <w:rsid w:val="006B5FBD"/>
    <w:rsid w:val="006B60FD"/>
    <w:rsid w:val="006B66D9"/>
    <w:rsid w:val="006B6F29"/>
    <w:rsid w:val="006B6F55"/>
    <w:rsid w:val="006B7567"/>
    <w:rsid w:val="006B761A"/>
    <w:rsid w:val="006C0A05"/>
    <w:rsid w:val="006C0EA9"/>
    <w:rsid w:val="006C11C4"/>
    <w:rsid w:val="006C1336"/>
    <w:rsid w:val="006C13EB"/>
    <w:rsid w:val="006C13FC"/>
    <w:rsid w:val="006C1771"/>
    <w:rsid w:val="006C18D7"/>
    <w:rsid w:val="006C1CBD"/>
    <w:rsid w:val="006C2359"/>
    <w:rsid w:val="006C2495"/>
    <w:rsid w:val="006C271F"/>
    <w:rsid w:val="006C2AC5"/>
    <w:rsid w:val="006C2C24"/>
    <w:rsid w:val="006C2C6D"/>
    <w:rsid w:val="006C323B"/>
    <w:rsid w:val="006C3292"/>
    <w:rsid w:val="006C376B"/>
    <w:rsid w:val="006C3DBE"/>
    <w:rsid w:val="006C3F14"/>
    <w:rsid w:val="006C40C7"/>
    <w:rsid w:val="006C4156"/>
    <w:rsid w:val="006C41DD"/>
    <w:rsid w:val="006C4236"/>
    <w:rsid w:val="006C461D"/>
    <w:rsid w:val="006C53E5"/>
    <w:rsid w:val="006C540A"/>
    <w:rsid w:val="006C6230"/>
    <w:rsid w:val="006C6484"/>
    <w:rsid w:val="006C6934"/>
    <w:rsid w:val="006C6CE0"/>
    <w:rsid w:val="006C71A8"/>
    <w:rsid w:val="006C7492"/>
    <w:rsid w:val="006C776E"/>
    <w:rsid w:val="006C7783"/>
    <w:rsid w:val="006C77A2"/>
    <w:rsid w:val="006C78A1"/>
    <w:rsid w:val="006C7B01"/>
    <w:rsid w:val="006C7F19"/>
    <w:rsid w:val="006D0307"/>
    <w:rsid w:val="006D039D"/>
    <w:rsid w:val="006D0B6D"/>
    <w:rsid w:val="006D1733"/>
    <w:rsid w:val="006D193C"/>
    <w:rsid w:val="006D1ABE"/>
    <w:rsid w:val="006D1B01"/>
    <w:rsid w:val="006D1B86"/>
    <w:rsid w:val="006D1FA0"/>
    <w:rsid w:val="006D200E"/>
    <w:rsid w:val="006D212E"/>
    <w:rsid w:val="006D240E"/>
    <w:rsid w:val="006D2A29"/>
    <w:rsid w:val="006D2DB2"/>
    <w:rsid w:val="006D2DFF"/>
    <w:rsid w:val="006D2E59"/>
    <w:rsid w:val="006D30C1"/>
    <w:rsid w:val="006D3606"/>
    <w:rsid w:val="006D4153"/>
    <w:rsid w:val="006D4958"/>
    <w:rsid w:val="006D4FDF"/>
    <w:rsid w:val="006D5539"/>
    <w:rsid w:val="006D56EA"/>
    <w:rsid w:val="006D5764"/>
    <w:rsid w:val="006D5F20"/>
    <w:rsid w:val="006D6B09"/>
    <w:rsid w:val="006D6D5F"/>
    <w:rsid w:val="006D70B9"/>
    <w:rsid w:val="006D7114"/>
    <w:rsid w:val="006D71EA"/>
    <w:rsid w:val="006D737E"/>
    <w:rsid w:val="006D76E1"/>
    <w:rsid w:val="006D79C1"/>
    <w:rsid w:val="006D7E81"/>
    <w:rsid w:val="006E078B"/>
    <w:rsid w:val="006E13AD"/>
    <w:rsid w:val="006E166A"/>
    <w:rsid w:val="006E16FE"/>
    <w:rsid w:val="006E219B"/>
    <w:rsid w:val="006E252B"/>
    <w:rsid w:val="006E25F4"/>
    <w:rsid w:val="006E285C"/>
    <w:rsid w:val="006E2A7A"/>
    <w:rsid w:val="006E30B7"/>
    <w:rsid w:val="006E320F"/>
    <w:rsid w:val="006E3B8B"/>
    <w:rsid w:val="006E3EAA"/>
    <w:rsid w:val="006E43E2"/>
    <w:rsid w:val="006E43E3"/>
    <w:rsid w:val="006E44E2"/>
    <w:rsid w:val="006E4A3D"/>
    <w:rsid w:val="006E4E74"/>
    <w:rsid w:val="006E54E9"/>
    <w:rsid w:val="006E5615"/>
    <w:rsid w:val="006E5758"/>
    <w:rsid w:val="006E588C"/>
    <w:rsid w:val="006E6C32"/>
    <w:rsid w:val="006E7091"/>
    <w:rsid w:val="006E70DA"/>
    <w:rsid w:val="006E7557"/>
    <w:rsid w:val="006E766F"/>
    <w:rsid w:val="006E7692"/>
    <w:rsid w:val="006E7842"/>
    <w:rsid w:val="006E79CD"/>
    <w:rsid w:val="006E79D3"/>
    <w:rsid w:val="006E7ED4"/>
    <w:rsid w:val="006F0033"/>
    <w:rsid w:val="006F02B8"/>
    <w:rsid w:val="006F0412"/>
    <w:rsid w:val="006F06A3"/>
    <w:rsid w:val="006F0DCD"/>
    <w:rsid w:val="006F0FA3"/>
    <w:rsid w:val="006F1272"/>
    <w:rsid w:val="006F17BE"/>
    <w:rsid w:val="006F1A60"/>
    <w:rsid w:val="006F1CE0"/>
    <w:rsid w:val="006F1F10"/>
    <w:rsid w:val="006F23E4"/>
    <w:rsid w:val="006F29AA"/>
    <w:rsid w:val="006F2A81"/>
    <w:rsid w:val="006F2A9C"/>
    <w:rsid w:val="006F30DE"/>
    <w:rsid w:val="006F363E"/>
    <w:rsid w:val="006F3EAE"/>
    <w:rsid w:val="006F3F57"/>
    <w:rsid w:val="006F4358"/>
    <w:rsid w:val="006F47F3"/>
    <w:rsid w:val="006F4AC5"/>
    <w:rsid w:val="006F4D81"/>
    <w:rsid w:val="006F4FAC"/>
    <w:rsid w:val="006F5040"/>
    <w:rsid w:val="006F5845"/>
    <w:rsid w:val="006F58EC"/>
    <w:rsid w:val="006F5A4B"/>
    <w:rsid w:val="006F5D84"/>
    <w:rsid w:val="006F5DE1"/>
    <w:rsid w:val="006F64CE"/>
    <w:rsid w:val="006F6585"/>
    <w:rsid w:val="006F6668"/>
    <w:rsid w:val="006F6A12"/>
    <w:rsid w:val="006F742A"/>
    <w:rsid w:val="006F7714"/>
    <w:rsid w:val="006F77F7"/>
    <w:rsid w:val="006F7B96"/>
    <w:rsid w:val="006F7E4E"/>
    <w:rsid w:val="007008A3"/>
    <w:rsid w:val="00700A50"/>
    <w:rsid w:val="00700AF6"/>
    <w:rsid w:val="00701584"/>
    <w:rsid w:val="0070187F"/>
    <w:rsid w:val="007018F8"/>
    <w:rsid w:val="00701A00"/>
    <w:rsid w:val="00702331"/>
    <w:rsid w:val="0070234B"/>
    <w:rsid w:val="00702659"/>
    <w:rsid w:val="00702801"/>
    <w:rsid w:val="00702F0D"/>
    <w:rsid w:val="00702F4F"/>
    <w:rsid w:val="00702F61"/>
    <w:rsid w:val="00703175"/>
    <w:rsid w:val="007031A8"/>
    <w:rsid w:val="00703542"/>
    <w:rsid w:val="00703B09"/>
    <w:rsid w:val="007042D6"/>
    <w:rsid w:val="007045D0"/>
    <w:rsid w:val="00704C90"/>
    <w:rsid w:val="00705331"/>
    <w:rsid w:val="007053AC"/>
    <w:rsid w:val="00705428"/>
    <w:rsid w:val="0070555A"/>
    <w:rsid w:val="00705BB6"/>
    <w:rsid w:val="00705C7A"/>
    <w:rsid w:val="00705D29"/>
    <w:rsid w:val="00705DE0"/>
    <w:rsid w:val="00705FAF"/>
    <w:rsid w:val="007062D9"/>
    <w:rsid w:val="00706D40"/>
    <w:rsid w:val="0070786E"/>
    <w:rsid w:val="007078AB"/>
    <w:rsid w:val="00707AB5"/>
    <w:rsid w:val="007102CF"/>
    <w:rsid w:val="007102E4"/>
    <w:rsid w:val="0071066D"/>
    <w:rsid w:val="007106C4"/>
    <w:rsid w:val="00710953"/>
    <w:rsid w:val="00710B53"/>
    <w:rsid w:val="00710C9C"/>
    <w:rsid w:val="00710FEA"/>
    <w:rsid w:val="00711000"/>
    <w:rsid w:val="0071130B"/>
    <w:rsid w:val="00711540"/>
    <w:rsid w:val="00711667"/>
    <w:rsid w:val="0071207D"/>
    <w:rsid w:val="00712C03"/>
    <w:rsid w:val="00712E48"/>
    <w:rsid w:val="00712E62"/>
    <w:rsid w:val="007130D1"/>
    <w:rsid w:val="007131E6"/>
    <w:rsid w:val="007132BA"/>
    <w:rsid w:val="00713A45"/>
    <w:rsid w:val="00713F02"/>
    <w:rsid w:val="00714756"/>
    <w:rsid w:val="00714797"/>
    <w:rsid w:val="00714890"/>
    <w:rsid w:val="0071489F"/>
    <w:rsid w:val="007150BC"/>
    <w:rsid w:val="0071519D"/>
    <w:rsid w:val="0071536D"/>
    <w:rsid w:val="007156C4"/>
    <w:rsid w:val="0071626F"/>
    <w:rsid w:val="0071653F"/>
    <w:rsid w:val="00716765"/>
    <w:rsid w:val="007171E9"/>
    <w:rsid w:val="00717439"/>
    <w:rsid w:val="0071774D"/>
    <w:rsid w:val="00717A63"/>
    <w:rsid w:val="00717A94"/>
    <w:rsid w:val="00720631"/>
    <w:rsid w:val="007207BE"/>
    <w:rsid w:val="0072095F"/>
    <w:rsid w:val="00720E88"/>
    <w:rsid w:val="00720F26"/>
    <w:rsid w:val="00720F31"/>
    <w:rsid w:val="00721196"/>
    <w:rsid w:val="007213EB"/>
    <w:rsid w:val="0072148C"/>
    <w:rsid w:val="007216E3"/>
    <w:rsid w:val="0072177F"/>
    <w:rsid w:val="00721EAE"/>
    <w:rsid w:val="0072220F"/>
    <w:rsid w:val="00722306"/>
    <w:rsid w:val="0072294B"/>
    <w:rsid w:val="00722DCC"/>
    <w:rsid w:val="00722E76"/>
    <w:rsid w:val="00722F59"/>
    <w:rsid w:val="00723BD6"/>
    <w:rsid w:val="00723DC6"/>
    <w:rsid w:val="007240C6"/>
    <w:rsid w:val="007241DD"/>
    <w:rsid w:val="007242B8"/>
    <w:rsid w:val="007243A2"/>
    <w:rsid w:val="00724C22"/>
    <w:rsid w:val="00724CF7"/>
    <w:rsid w:val="00724E47"/>
    <w:rsid w:val="00724FBD"/>
    <w:rsid w:val="0072587B"/>
    <w:rsid w:val="00725902"/>
    <w:rsid w:val="00725A15"/>
    <w:rsid w:val="00725DA7"/>
    <w:rsid w:val="0072639C"/>
    <w:rsid w:val="007264E9"/>
    <w:rsid w:val="00726659"/>
    <w:rsid w:val="00726C64"/>
    <w:rsid w:val="00727500"/>
    <w:rsid w:val="007276B5"/>
    <w:rsid w:val="007279A5"/>
    <w:rsid w:val="00727E0E"/>
    <w:rsid w:val="00727EAF"/>
    <w:rsid w:val="00730175"/>
    <w:rsid w:val="007301C3"/>
    <w:rsid w:val="007301D0"/>
    <w:rsid w:val="00730244"/>
    <w:rsid w:val="0073068B"/>
    <w:rsid w:val="007306C7"/>
    <w:rsid w:val="00730ADD"/>
    <w:rsid w:val="00730C49"/>
    <w:rsid w:val="007314FC"/>
    <w:rsid w:val="00731C51"/>
    <w:rsid w:val="00731E1F"/>
    <w:rsid w:val="007325BA"/>
    <w:rsid w:val="007329B6"/>
    <w:rsid w:val="00733A93"/>
    <w:rsid w:val="00733B25"/>
    <w:rsid w:val="007343C1"/>
    <w:rsid w:val="00734535"/>
    <w:rsid w:val="00734C2D"/>
    <w:rsid w:val="00734D71"/>
    <w:rsid w:val="00734E02"/>
    <w:rsid w:val="0073518D"/>
    <w:rsid w:val="007354C2"/>
    <w:rsid w:val="007358D4"/>
    <w:rsid w:val="00735C3C"/>
    <w:rsid w:val="00735C81"/>
    <w:rsid w:val="00735D32"/>
    <w:rsid w:val="00735F53"/>
    <w:rsid w:val="00735F8C"/>
    <w:rsid w:val="00736105"/>
    <w:rsid w:val="00736A14"/>
    <w:rsid w:val="00737AF9"/>
    <w:rsid w:val="00737C36"/>
    <w:rsid w:val="00737DFB"/>
    <w:rsid w:val="007408F6"/>
    <w:rsid w:val="0074095D"/>
    <w:rsid w:val="00740965"/>
    <w:rsid w:val="00740A3F"/>
    <w:rsid w:val="00740DB6"/>
    <w:rsid w:val="007414AA"/>
    <w:rsid w:val="00741816"/>
    <w:rsid w:val="00741844"/>
    <w:rsid w:val="00741A5F"/>
    <w:rsid w:val="00741CA9"/>
    <w:rsid w:val="00741DB6"/>
    <w:rsid w:val="00742073"/>
    <w:rsid w:val="00742666"/>
    <w:rsid w:val="007430AE"/>
    <w:rsid w:val="00743350"/>
    <w:rsid w:val="007434F7"/>
    <w:rsid w:val="00743742"/>
    <w:rsid w:val="00743BAB"/>
    <w:rsid w:val="00743C23"/>
    <w:rsid w:val="00743FAB"/>
    <w:rsid w:val="00743FC7"/>
    <w:rsid w:val="00744061"/>
    <w:rsid w:val="007444EF"/>
    <w:rsid w:val="00744751"/>
    <w:rsid w:val="00744AFC"/>
    <w:rsid w:val="0074513D"/>
    <w:rsid w:val="007451D6"/>
    <w:rsid w:val="007455E9"/>
    <w:rsid w:val="007459AA"/>
    <w:rsid w:val="00745EF1"/>
    <w:rsid w:val="0074622D"/>
    <w:rsid w:val="0074687A"/>
    <w:rsid w:val="00746D3E"/>
    <w:rsid w:val="00746D66"/>
    <w:rsid w:val="00746E56"/>
    <w:rsid w:val="007471F6"/>
    <w:rsid w:val="00747CE0"/>
    <w:rsid w:val="007500E3"/>
    <w:rsid w:val="00750861"/>
    <w:rsid w:val="00751540"/>
    <w:rsid w:val="007523B8"/>
    <w:rsid w:val="007525BB"/>
    <w:rsid w:val="0075262B"/>
    <w:rsid w:val="0075345A"/>
    <w:rsid w:val="00753636"/>
    <w:rsid w:val="00754036"/>
    <w:rsid w:val="00754206"/>
    <w:rsid w:val="0075496D"/>
    <w:rsid w:val="00754C1A"/>
    <w:rsid w:val="0075582A"/>
    <w:rsid w:val="00755FDC"/>
    <w:rsid w:val="00756146"/>
    <w:rsid w:val="0075666C"/>
    <w:rsid w:val="00756EC0"/>
    <w:rsid w:val="00757273"/>
    <w:rsid w:val="007573A7"/>
    <w:rsid w:val="0075798F"/>
    <w:rsid w:val="0076028D"/>
    <w:rsid w:val="007606D0"/>
    <w:rsid w:val="00760727"/>
    <w:rsid w:val="00760D44"/>
    <w:rsid w:val="00761368"/>
    <w:rsid w:val="0076143C"/>
    <w:rsid w:val="00761A8F"/>
    <w:rsid w:val="00761AFF"/>
    <w:rsid w:val="00761B08"/>
    <w:rsid w:val="00762566"/>
    <w:rsid w:val="00762591"/>
    <w:rsid w:val="007627B4"/>
    <w:rsid w:val="007634B9"/>
    <w:rsid w:val="007634E8"/>
    <w:rsid w:val="00763795"/>
    <w:rsid w:val="00763987"/>
    <w:rsid w:val="00763A51"/>
    <w:rsid w:val="00763C15"/>
    <w:rsid w:val="00763D9A"/>
    <w:rsid w:val="00764310"/>
    <w:rsid w:val="0076471A"/>
    <w:rsid w:val="00764993"/>
    <w:rsid w:val="007649DB"/>
    <w:rsid w:val="00765368"/>
    <w:rsid w:val="007654F2"/>
    <w:rsid w:val="00765698"/>
    <w:rsid w:val="00765734"/>
    <w:rsid w:val="00765AA3"/>
    <w:rsid w:val="00765B24"/>
    <w:rsid w:val="00766562"/>
    <w:rsid w:val="007665FB"/>
    <w:rsid w:val="00766730"/>
    <w:rsid w:val="00766BC0"/>
    <w:rsid w:val="0076701F"/>
    <w:rsid w:val="007670E1"/>
    <w:rsid w:val="00767535"/>
    <w:rsid w:val="0076778D"/>
    <w:rsid w:val="00767DA0"/>
    <w:rsid w:val="007700DF"/>
    <w:rsid w:val="0077020D"/>
    <w:rsid w:val="0077024B"/>
    <w:rsid w:val="00770344"/>
    <w:rsid w:val="0077047B"/>
    <w:rsid w:val="007709B9"/>
    <w:rsid w:val="00770EC1"/>
    <w:rsid w:val="00771555"/>
    <w:rsid w:val="00771556"/>
    <w:rsid w:val="00771825"/>
    <w:rsid w:val="0077196D"/>
    <w:rsid w:val="00771A1B"/>
    <w:rsid w:val="00771E5F"/>
    <w:rsid w:val="00772278"/>
    <w:rsid w:val="00772710"/>
    <w:rsid w:val="007729B7"/>
    <w:rsid w:val="00772AF8"/>
    <w:rsid w:val="00772D23"/>
    <w:rsid w:val="0077386A"/>
    <w:rsid w:val="00773C9A"/>
    <w:rsid w:val="00773D3F"/>
    <w:rsid w:val="00773D5F"/>
    <w:rsid w:val="00773DBC"/>
    <w:rsid w:val="00774035"/>
    <w:rsid w:val="0077412E"/>
    <w:rsid w:val="00774184"/>
    <w:rsid w:val="007743B6"/>
    <w:rsid w:val="0077487A"/>
    <w:rsid w:val="00774A07"/>
    <w:rsid w:val="00774D42"/>
    <w:rsid w:val="00775196"/>
    <w:rsid w:val="00775452"/>
    <w:rsid w:val="007757E0"/>
    <w:rsid w:val="00775B63"/>
    <w:rsid w:val="00776384"/>
    <w:rsid w:val="0077641A"/>
    <w:rsid w:val="00776597"/>
    <w:rsid w:val="00776A1A"/>
    <w:rsid w:val="00776A7B"/>
    <w:rsid w:val="00776A9A"/>
    <w:rsid w:val="00776EFB"/>
    <w:rsid w:val="007779E3"/>
    <w:rsid w:val="00777BAE"/>
    <w:rsid w:val="00777E18"/>
    <w:rsid w:val="00780F5E"/>
    <w:rsid w:val="00780FFE"/>
    <w:rsid w:val="00781094"/>
    <w:rsid w:val="0078196C"/>
    <w:rsid w:val="00781A34"/>
    <w:rsid w:val="00781D35"/>
    <w:rsid w:val="00781D56"/>
    <w:rsid w:val="007828E6"/>
    <w:rsid w:val="00783071"/>
    <w:rsid w:val="007830C2"/>
    <w:rsid w:val="00783AB6"/>
    <w:rsid w:val="00783DBB"/>
    <w:rsid w:val="00783E56"/>
    <w:rsid w:val="007841E2"/>
    <w:rsid w:val="0078437F"/>
    <w:rsid w:val="00784DF4"/>
    <w:rsid w:val="00785197"/>
    <w:rsid w:val="00785226"/>
    <w:rsid w:val="00785825"/>
    <w:rsid w:val="00785850"/>
    <w:rsid w:val="007858BD"/>
    <w:rsid w:val="007867B3"/>
    <w:rsid w:val="007869C3"/>
    <w:rsid w:val="00786C41"/>
    <w:rsid w:val="00786F8B"/>
    <w:rsid w:val="007870D7"/>
    <w:rsid w:val="00787542"/>
    <w:rsid w:val="007875AA"/>
    <w:rsid w:val="00787676"/>
    <w:rsid w:val="00787A46"/>
    <w:rsid w:val="00787F15"/>
    <w:rsid w:val="007910F4"/>
    <w:rsid w:val="00791558"/>
    <w:rsid w:val="00791C9B"/>
    <w:rsid w:val="00791F3C"/>
    <w:rsid w:val="007922AA"/>
    <w:rsid w:val="00792498"/>
    <w:rsid w:val="007926B1"/>
    <w:rsid w:val="00792A90"/>
    <w:rsid w:val="00792CEB"/>
    <w:rsid w:val="00792D64"/>
    <w:rsid w:val="0079306B"/>
    <w:rsid w:val="007930D8"/>
    <w:rsid w:val="007935A9"/>
    <w:rsid w:val="00793815"/>
    <w:rsid w:val="00793C99"/>
    <w:rsid w:val="00793EE2"/>
    <w:rsid w:val="00794128"/>
    <w:rsid w:val="007946C4"/>
    <w:rsid w:val="0079478A"/>
    <w:rsid w:val="007951D1"/>
    <w:rsid w:val="00795252"/>
    <w:rsid w:val="00795869"/>
    <w:rsid w:val="00795AED"/>
    <w:rsid w:val="007962DC"/>
    <w:rsid w:val="0079639B"/>
    <w:rsid w:val="007966E8"/>
    <w:rsid w:val="007967F4"/>
    <w:rsid w:val="00796F23"/>
    <w:rsid w:val="00797039"/>
    <w:rsid w:val="007972E0"/>
    <w:rsid w:val="00797314"/>
    <w:rsid w:val="007973DE"/>
    <w:rsid w:val="00797C9C"/>
    <w:rsid w:val="007A028B"/>
    <w:rsid w:val="007A0652"/>
    <w:rsid w:val="007A1768"/>
    <w:rsid w:val="007A186F"/>
    <w:rsid w:val="007A1AF5"/>
    <w:rsid w:val="007A1C86"/>
    <w:rsid w:val="007A254D"/>
    <w:rsid w:val="007A275D"/>
    <w:rsid w:val="007A27CB"/>
    <w:rsid w:val="007A2CA1"/>
    <w:rsid w:val="007A2DB4"/>
    <w:rsid w:val="007A2F4A"/>
    <w:rsid w:val="007A3236"/>
    <w:rsid w:val="007A32C9"/>
    <w:rsid w:val="007A36D5"/>
    <w:rsid w:val="007A3CE3"/>
    <w:rsid w:val="007A3EA5"/>
    <w:rsid w:val="007A3FCD"/>
    <w:rsid w:val="007A490A"/>
    <w:rsid w:val="007A5012"/>
    <w:rsid w:val="007A523A"/>
    <w:rsid w:val="007A5765"/>
    <w:rsid w:val="007A588A"/>
    <w:rsid w:val="007A588F"/>
    <w:rsid w:val="007A5D2C"/>
    <w:rsid w:val="007A5DE5"/>
    <w:rsid w:val="007A617C"/>
    <w:rsid w:val="007A61AD"/>
    <w:rsid w:val="007A6652"/>
    <w:rsid w:val="007A6DDE"/>
    <w:rsid w:val="007A7603"/>
    <w:rsid w:val="007A7EF0"/>
    <w:rsid w:val="007B0175"/>
    <w:rsid w:val="007B017D"/>
    <w:rsid w:val="007B0860"/>
    <w:rsid w:val="007B0CA2"/>
    <w:rsid w:val="007B1233"/>
    <w:rsid w:val="007B16E6"/>
    <w:rsid w:val="007B197B"/>
    <w:rsid w:val="007B1AAA"/>
    <w:rsid w:val="007B1D8F"/>
    <w:rsid w:val="007B21AD"/>
    <w:rsid w:val="007B2218"/>
    <w:rsid w:val="007B2224"/>
    <w:rsid w:val="007B2A11"/>
    <w:rsid w:val="007B2B25"/>
    <w:rsid w:val="007B2E1D"/>
    <w:rsid w:val="007B2ECC"/>
    <w:rsid w:val="007B3683"/>
    <w:rsid w:val="007B37C7"/>
    <w:rsid w:val="007B396B"/>
    <w:rsid w:val="007B3A47"/>
    <w:rsid w:val="007B3B7C"/>
    <w:rsid w:val="007B3C92"/>
    <w:rsid w:val="007B3D4B"/>
    <w:rsid w:val="007B3EE8"/>
    <w:rsid w:val="007B3F20"/>
    <w:rsid w:val="007B41A8"/>
    <w:rsid w:val="007B4766"/>
    <w:rsid w:val="007B47DC"/>
    <w:rsid w:val="007B4971"/>
    <w:rsid w:val="007B4BD0"/>
    <w:rsid w:val="007B4D66"/>
    <w:rsid w:val="007B56DA"/>
    <w:rsid w:val="007B59AA"/>
    <w:rsid w:val="007B5AFA"/>
    <w:rsid w:val="007B5DC7"/>
    <w:rsid w:val="007B5FBF"/>
    <w:rsid w:val="007B62C6"/>
    <w:rsid w:val="007B6A1D"/>
    <w:rsid w:val="007B7253"/>
    <w:rsid w:val="007B7775"/>
    <w:rsid w:val="007B79A3"/>
    <w:rsid w:val="007B7A9C"/>
    <w:rsid w:val="007B7E68"/>
    <w:rsid w:val="007B7F62"/>
    <w:rsid w:val="007C000F"/>
    <w:rsid w:val="007C0621"/>
    <w:rsid w:val="007C0C89"/>
    <w:rsid w:val="007C1566"/>
    <w:rsid w:val="007C19BC"/>
    <w:rsid w:val="007C1E74"/>
    <w:rsid w:val="007C1FC9"/>
    <w:rsid w:val="007C20F2"/>
    <w:rsid w:val="007C21CB"/>
    <w:rsid w:val="007C21F1"/>
    <w:rsid w:val="007C2731"/>
    <w:rsid w:val="007C2814"/>
    <w:rsid w:val="007C2891"/>
    <w:rsid w:val="007C29E0"/>
    <w:rsid w:val="007C2DE1"/>
    <w:rsid w:val="007C2E43"/>
    <w:rsid w:val="007C2F48"/>
    <w:rsid w:val="007C3834"/>
    <w:rsid w:val="007C3A8A"/>
    <w:rsid w:val="007C46F3"/>
    <w:rsid w:val="007C4864"/>
    <w:rsid w:val="007C4A53"/>
    <w:rsid w:val="007C4AAF"/>
    <w:rsid w:val="007C521E"/>
    <w:rsid w:val="007C57BE"/>
    <w:rsid w:val="007C5EFA"/>
    <w:rsid w:val="007C5F0D"/>
    <w:rsid w:val="007C62EB"/>
    <w:rsid w:val="007C657B"/>
    <w:rsid w:val="007C6B30"/>
    <w:rsid w:val="007C733D"/>
    <w:rsid w:val="007C7ADF"/>
    <w:rsid w:val="007D0014"/>
    <w:rsid w:val="007D00BC"/>
    <w:rsid w:val="007D0120"/>
    <w:rsid w:val="007D0180"/>
    <w:rsid w:val="007D058B"/>
    <w:rsid w:val="007D0860"/>
    <w:rsid w:val="007D0A53"/>
    <w:rsid w:val="007D12D9"/>
    <w:rsid w:val="007D1349"/>
    <w:rsid w:val="007D14EE"/>
    <w:rsid w:val="007D1DE4"/>
    <w:rsid w:val="007D1E8F"/>
    <w:rsid w:val="007D21F3"/>
    <w:rsid w:val="007D2312"/>
    <w:rsid w:val="007D2DFE"/>
    <w:rsid w:val="007D2EAA"/>
    <w:rsid w:val="007D313E"/>
    <w:rsid w:val="007D32E3"/>
    <w:rsid w:val="007D3371"/>
    <w:rsid w:val="007D3A6F"/>
    <w:rsid w:val="007D52E2"/>
    <w:rsid w:val="007D5B91"/>
    <w:rsid w:val="007D5E2F"/>
    <w:rsid w:val="007D60EA"/>
    <w:rsid w:val="007D62F1"/>
    <w:rsid w:val="007D6B12"/>
    <w:rsid w:val="007D7026"/>
    <w:rsid w:val="007D769D"/>
    <w:rsid w:val="007D7BF2"/>
    <w:rsid w:val="007D7C57"/>
    <w:rsid w:val="007D7E1E"/>
    <w:rsid w:val="007E03F5"/>
    <w:rsid w:val="007E0857"/>
    <w:rsid w:val="007E0C72"/>
    <w:rsid w:val="007E1541"/>
    <w:rsid w:val="007E20ED"/>
    <w:rsid w:val="007E2499"/>
    <w:rsid w:val="007E25C0"/>
    <w:rsid w:val="007E27FC"/>
    <w:rsid w:val="007E2A4C"/>
    <w:rsid w:val="007E2B45"/>
    <w:rsid w:val="007E2C07"/>
    <w:rsid w:val="007E2DE0"/>
    <w:rsid w:val="007E3379"/>
    <w:rsid w:val="007E35F8"/>
    <w:rsid w:val="007E3A00"/>
    <w:rsid w:val="007E3F53"/>
    <w:rsid w:val="007E3FDE"/>
    <w:rsid w:val="007E4553"/>
    <w:rsid w:val="007E4993"/>
    <w:rsid w:val="007E4C3D"/>
    <w:rsid w:val="007E4D32"/>
    <w:rsid w:val="007E5400"/>
    <w:rsid w:val="007E55A0"/>
    <w:rsid w:val="007E5AB3"/>
    <w:rsid w:val="007E5D95"/>
    <w:rsid w:val="007E63CB"/>
    <w:rsid w:val="007E642F"/>
    <w:rsid w:val="007E68DA"/>
    <w:rsid w:val="007E6D22"/>
    <w:rsid w:val="007E6D4D"/>
    <w:rsid w:val="007E6EA7"/>
    <w:rsid w:val="007E6EA8"/>
    <w:rsid w:val="007E735A"/>
    <w:rsid w:val="007E7B8C"/>
    <w:rsid w:val="007E7D75"/>
    <w:rsid w:val="007E7FAE"/>
    <w:rsid w:val="007F0042"/>
    <w:rsid w:val="007F0427"/>
    <w:rsid w:val="007F04C4"/>
    <w:rsid w:val="007F0582"/>
    <w:rsid w:val="007F0A0F"/>
    <w:rsid w:val="007F1A31"/>
    <w:rsid w:val="007F1C37"/>
    <w:rsid w:val="007F2578"/>
    <w:rsid w:val="007F2639"/>
    <w:rsid w:val="007F2655"/>
    <w:rsid w:val="007F272B"/>
    <w:rsid w:val="007F28B8"/>
    <w:rsid w:val="007F2AEE"/>
    <w:rsid w:val="007F2B15"/>
    <w:rsid w:val="007F37C9"/>
    <w:rsid w:val="007F38A3"/>
    <w:rsid w:val="007F3B41"/>
    <w:rsid w:val="007F3D36"/>
    <w:rsid w:val="007F3EBF"/>
    <w:rsid w:val="007F4069"/>
    <w:rsid w:val="007F45FB"/>
    <w:rsid w:val="007F463F"/>
    <w:rsid w:val="007F4A2C"/>
    <w:rsid w:val="007F54DF"/>
    <w:rsid w:val="007F57B1"/>
    <w:rsid w:val="007F5924"/>
    <w:rsid w:val="007F5BB6"/>
    <w:rsid w:val="007F5E15"/>
    <w:rsid w:val="007F5E58"/>
    <w:rsid w:val="007F5EB5"/>
    <w:rsid w:val="007F608C"/>
    <w:rsid w:val="007F66BB"/>
    <w:rsid w:val="007F6CF9"/>
    <w:rsid w:val="007F7D36"/>
    <w:rsid w:val="00800818"/>
    <w:rsid w:val="00801358"/>
    <w:rsid w:val="00801765"/>
    <w:rsid w:val="00801A02"/>
    <w:rsid w:val="00801EA9"/>
    <w:rsid w:val="008020E5"/>
    <w:rsid w:val="0080238B"/>
    <w:rsid w:val="008027A4"/>
    <w:rsid w:val="0080297F"/>
    <w:rsid w:val="00802998"/>
    <w:rsid w:val="00802E3E"/>
    <w:rsid w:val="00804206"/>
    <w:rsid w:val="0080440E"/>
    <w:rsid w:val="008046C0"/>
    <w:rsid w:val="00804798"/>
    <w:rsid w:val="00804AB0"/>
    <w:rsid w:val="00804DA8"/>
    <w:rsid w:val="0080571D"/>
    <w:rsid w:val="00805BBA"/>
    <w:rsid w:val="00805DA0"/>
    <w:rsid w:val="00806445"/>
    <w:rsid w:val="00806755"/>
    <w:rsid w:val="00807458"/>
    <w:rsid w:val="008074EF"/>
    <w:rsid w:val="00807A48"/>
    <w:rsid w:val="00807C0E"/>
    <w:rsid w:val="00807FCC"/>
    <w:rsid w:val="0081044E"/>
    <w:rsid w:val="008107C4"/>
    <w:rsid w:val="00810B16"/>
    <w:rsid w:val="008112E6"/>
    <w:rsid w:val="0081196B"/>
    <w:rsid w:val="00812070"/>
    <w:rsid w:val="008122F2"/>
    <w:rsid w:val="008124A6"/>
    <w:rsid w:val="008124F0"/>
    <w:rsid w:val="0081277F"/>
    <w:rsid w:val="00812800"/>
    <w:rsid w:val="00812CC9"/>
    <w:rsid w:val="00812CD2"/>
    <w:rsid w:val="00812E09"/>
    <w:rsid w:val="0081301B"/>
    <w:rsid w:val="0081334A"/>
    <w:rsid w:val="0081343E"/>
    <w:rsid w:val="00813444"/>
    <w:rsid w:val="0081376A"/>
    <w:rsid w:val="00813AD0"/>
    <w:rsid w:val="00813B54"/>
    <w:rsid w:val="00813D16"/>
    <w:rsid w:val="00813E44"/>
    <w:rsid w:val="0081402E"/>
    <w:rsid w:val="008141D0"/>
    <w:rsid w:val="008144E1"/>
    <w:rsid w:val="008146D0"/>
    <w:rsid w:val="0081514C"/>
    <w:rsid w:val="00815379"/>
    <w:rsid w:val="0081543D"/>
    <w:rsid w:val="00815A24"/>
    <w:rsid w:val="00815D79"/>
    <w:rsid w:val="00815E13"/>
    <w:rsid w:val="00815F16"/>
    <w:rsid w:val="00815FC9"/>
    <w:rsid w:val="00816165"/>
    <w:rsid w:val="00816C05"/>
    <w:rsid w:val="0081711B"/>
    <w:rsid w:val="0081755A"/>
    <w:rsid w:val="00817A06"/>
    <w:rsid w:val="00817C21"/>
    <w:rsid w:val="00817D20"/>
    <w:rsid w:val="00817E88"/>
    <w:rsid w:val="008200AF"/>
    <w:rsid w:val="00820461"/>
    <w:rsid w:val="008204ED"/>
    <w:rsid w:val="00820E25"/>
    <w:rsid w:val="00820EBB"/>
    <w:rsid w:val="00821CA3"/>
    <w:rsid w:val="00821D60"/>
    <w:rsid w:val="00821E8B"/>
    <w:rsid w:val="0082228C"/>
    <w:rsid w:val="008222C3"/>
    <w:rsid w:val="008224C1"/>
    <w:rsid w:val="00822E2F"/>
    <w:rsid w:val="00822E43"/>
    <w:rsid w:val="00823492"/>
    <w:rsid w:val="0082365E"/>
    <w:rsid w:val="008236E7"/>
    <w:rsid w:val="00823A3A"/>
    <w:rsid w:val="00823BC9"/>
    <w:rsid w:val="00823D44"/>
    <w:rsid w:val="00823FCE"/>
    <w:rsid w:val="00824156"/>
    <w:rsid w:val="008242AB"/>
    <w:rsid w:val="00824569"/>
    <w:rsid w:val="008248C1"/>
    <w:rsid w:val="00824C1C"/>
    <w:rsid w:val="00824D78"/>
    <w:rsid w:val="0082539F"/>
    <w:rsid w:val="00825789"/>
    <w:rsid w:val="00825822"/>
    <w:rsid w:val="00825A97"/>
    <w:rsid w:val="00825B88"/>
    <w:rsid w:val="00825D8A"/>
    <w:rsid w:val="0082683D"/>
    <w:rsid w:val="0082694F"/>
    <w:rsid w:val="00826A56"/>
    <w:rsid w:val="008271C7"/>
    <w:rsid w:val="008274B3"/>
    <w:rsid w:val="008276E7"/>
    <w:rsid w:val="00827C6E"/>
    <w:rsid w:val="00827FC7"/>
    <w:rsid w:val="008302AF"/>
    <w:rsid w:val="0083073A"/>
    <w:rsid w:val="00831016"/>
    <w:rsid w:val="008310A4"/>
    <w:rsid w:val="0083113F"/>
    <w:rsid w:val="00831583"/>
    <w:rsid w:val="00831645"/>
    <w:rsid w:val="00831721"/>
    <w:rsid w:val="00832050"/>
    <w:rsid w:val="008321BF"/>
    <w:rsid w:val="008324A0"/>
    <w:rsid w:val="008327D8"/>
    <w:rsid w:val="00832A41"/>
    <w:rsid w:val="00832C25"/>
    <w:rsid w:val="00832EA2"/>
    <w:rsid w:val="008330B2"/>
    <w:rsid w:val="008330F2"/>
    <w:rsid w:val="00833797"/>
    <w:rsid w:val="00833B77"/>
    <w:rsid w:val="00834051"/>
    <w:rsid w:val="00834458"/>
    <w:rsid w:val="00834AA7"/>
    <w:rsid w:val="00834E02"/>
    <w:rsid w:val="0083532C"/>
    <w:rsid w:val="008360CA"/>
    <w:rsid w:val="00836109"/>
    <w:rsid w:val="0083628F"/>
    <w:rsid w:val="00836A6B"/>
    <w:rsid w:val="00836A7A"/>
    <w:rsid w:val="00836B14"/>
    <w:rsid w:val="00836D00"/>
    <w:rsid w:val="00836D51"/>
    <w:rsid w:val="00836E23"/>
    <w:rsid w:val="008370C3"/>
    <w:rsid w:val="00837623"/>
    <w:rsid w:val="00837AC0"/>
    <w:rsid w:val="00837B9D"/>
    <w:rsid w:val="00840108"/>
    <w:rsid w:val="008416B3"/>
    <w:rsid w:val="00841E81"/>
    <w:rsid w:val="008425B7"/>
    <w:rsid w:val="00842711"/>
    <w:rsid w:val="00842805"/>
    <w:rsid w:val="00842B20"/>
    <w:rsid w:val="00843255"/>
    <w:rsid w:val="00843537"/>
    <w:rsid w:val="0084353E"/>
    <w:rsid w:val="0084383B"/>
    <w:rsid w:val="00843BD0"/>
    <w:rsid w:val="00843CE4"/>
    <w:rsid w:val="00843FE6"/>
    <w:rsid w:val="00844043"/>
    <w:rsid w:val="0084412B"/>
    <w:rsid w:val="008448E3"/>
    <w:rsid w:val="00844A79"/>
    <w:rsid w:val="00845051"/>
    <w:rsid w:val="0084527B"/>
    <w:rsid w:val="00845A62"/>
    <w:rsid w:val="00845B09"/>
    <w:rsid w:val="00845ED7"/>
    <w:rsid w:val="00845F09"/>
    <w:rsid w:val="00845FBD"/>
    <w:rsid w:val="008460F7"/>
    <w:rsid w:val="00846659"/>
    <w:rsid w:val="00846B1E"/>
    <w:rsid w:val="00846E69"/>
    <w:rsid w:val="00847096"/>
    <w:rsid w:val="008473D0"/>
    <w:rsid w:val="008475FF"/>
    <w:rsid w:val="008477C4"/>
    <w:rsid w:val="008478DD"/>
    <w:rsid w:val="00850498"/>
    <w:rsid w:val="00850753"/>
    <w:rsid w:val="00851667"/>
    <w:rsid w:val="008516A3"/>
    <w:rsid w:val="008516F8"/>
    <w:rsid w:val="0085175E"/>
    <w:rsid w:val="008517A8"/>
    <w:rsid w:val="0085193A"/>
    <w:rsid w:val="00851BBD"/>
    <w:rsid w:val="008523BB"/>
    <w:rsid w:val="008524FF"/>
    <w:rsid w:val="008526D1"/>
    <w:rsid w:val="008527E0"/>
    <w:rsid w:val="00852DA0"/>
    <w:rsid w:val="00852EE4"/>
    <w:rsid w:val="008532BD"/>
    <w:rsid w:val="008533DD"/>
    <w:rsid w:val="00853694"/>
    <w:rsid w:val="008537EF"/>
    <w:rsid w:val="00853B37"/>
    <w:rsid w:val="008547A5"/>
    <w:rsid w:val="008547F3"/>
    <w:rsid w:val="00854BFF"/>
    <w:rsid w:val="00855033"/>
    <w:rsid w:val="008556E3"/>
    <w:rsid w:val="00855A17"/>
    <w:rsid w:val="00855B23"/>
    <w:rsid w:val="00856E23"/>
    <w:rsid w:val="00856F0E"/>
    <w:rsid w:val="008570BE"/>
    <w:rsid w:val="008572B0"/>
    <w:rsid w:val="00857438"/>
    <w:rsid w:val="008575F3"/>
    <w:rsid w:val="00857730"/>
    <w:rsid w:val="008577E4"/>
    <w:rsid w:val="008579AF"/>
    <w:rsid w:val="008600E3"/>
    <w:rsid w:val="008614A4"/>
    <w:rsid w:val="008615B7"/>
    <w:rsid w:val="008618D2"/>
    <w:rsid w:val="008619C4"/>
    <w:rsid w:val="00861CFB"/>
    <w:rsid w:val="008621D8"/>
    <w:rsid w:val="008622D7"/>
    <w:rsid w:val="00862532"/>
    <w:rsid w:val="00862AD3"/>
    <w:rsid w:val="00862B36"/>
    <w:rsid w:val="00862DA7"/>
    <w:rsid w:val="00863193"/>
    <w:rsid w:val="008631B3"/>
    <w:rsid w:val="0086398B"/>
    <w:rsid w:val="00863D33"/>
    <w:rsid w:val="00863D3F"/>
    <w:rsid w:val="0086400C"/>
    <w:rsid w:val="008648CE"/>
    <w:rsid w:val="00864FA3"/>
    <w:rsid w:val="008650AE"/>
    <w:rsid w:val="0086522C"/>
    <w:rsid w:val="00865610"/>
    <w:rsid w:val="00865675"/>
    <w:rsid w:val="00865B8B"/>
    <w:rsid w:val="00865ECD"/>
    <w:rsid w:val="0086607F"/>
    <w:rsid w:val="00866292"/>
    <w:rsid w:val="0086666E"/>
    <w:rsid w:val="008667A7"/>
    <w:rsid w:val="00867460"/>
    <w:rsid w:val="008677D7"/>
    <w:rsid w:val="00867B8F"/>
    <w:rsid w:val="00867C9F"/>
    <w:rsid w:val="00867F99"/>
    <w:rsid w:val="00870A31"/>
    <w:rsid w:val="00870F96"/>
    <w:rsid w:val="00870FDB"/>
    <w:rsid w:val="0087138F"/>
    <w:rsid w:val="00871BD4"/>
    <w:rsid w:val="00871DFB"/>
    <w:rsid w:val="008723EB"/>
    <w:rsid w:val="00872626"/>
    <w:rsid w:val="008727B0"/>
    <w:rsid w:val="0087287F"/>
    <w:rsid w:val="00872C05"/>
    <w:rsid w:val="008732F3"/>
    <w:rsid w:val="0087349E"/>
    <w:rsid w:val="00873BD9"/>
    <w:rsid w:val="00873F15"/>
    <w:rsid w:val="0087482D"/>
    <w:rsid w:val="00874D66"/>
    <w:rsid w:val="00875371"/>
    <w:rsid w:val="008755A8"/>
    <w:rsid w:val="00875881"/>
    <w:rsid w:val="00876260"/>
    <w:rsid w:val="00876496"/>
    <w:rsid w:val="008769BE"/>
    <w:rsid w:val="00876BC0"/>
    <w:rsid w:val="008774A2"/>
    <w:rsid w:val="008778F2"/>
    <w:rsid w:val="00877BC4"/>
    <w:rsid w:val="00877DD8"/>
    <w:rsid w:val="00880116"/>
    <w:rsid w:val="0088042E"/>
    <w:rsid w:val="008804D2"/>
    <w:rsid w:val="00880800"/>
    <w:rsid w:val="00880902"/>
    <w:rsid w:val="008809C0"/>
    <w:rsid w:val="00880DCD"/>
    <w:rsid w:val="00880FE8"/>
    <w:rsid w:val="008812E1"/>
    <w:rsid w:val="00881B0B"/>
    <w:rsid w:val="00881E8F"/>
    <w:rsid w:val="00881F79"/>
    <w:rsid w:val="00882112"/>
    <w:rsid w:val="00882181"/>
    <w:rsid w:val="008829FE"/>
    <w:rsid w:val="00882A0A"/>
    <w:rsid w:val="0088405B"/>
    <w:rsid w:val="00884294"/>
    <w:rsid w:val="008843CB"/>
    <w:rsid w:val="00885627"/>
    <w:rsid w:val="008858E2"/>
    <w:rsid w:val="008859C0"/>
    <w:rsid w:val="00885B61"/>
    <w:rsid w:val="00885D0F"/>
    <w:rsid w:val="00885D50"/>
    <w:rsid w:val="00885F3A"/>
    <w:rsid w:val="008860AB"/>
    <w:rsid w:val="00886A9C"/>
    <w:rsid w:val="00886FC1"/>
    <w:rsid w:val="00887219"/>
    <w:rsid w:val="008873DA"/>
    <w:rsid w:val="0088755D"/>
    <w:rsid w:val="00887C07"/>
    <w:rsid w:val="00890465"/>
    <w:rsid w:val="0089052B"/>
    <w:rsid w:val="0089055A"/>
    <w:rsid w:val="0089175C"/>
    <w:rsid w:val="0089176C"/>
    <w:rsid w:val="00891830"/>
    <w:rsid w:val="008919D4"/>
    <w:rsid w:val="008919FB"/>
    <w:rsid w:val="00891D55"/>
    <w:rsid w:val="00892510"/>
    <w:rsid w:val="0089254E"/>
    <w:rsid w:val="00892AC0"/>
    <w:rsid w:val="00892D86"/>
    <w:rsid w:val="00893615"/>
    <w:rsid w:val="008936DE"/>
    <w:rsid w:val="008938F1"/>
    <w:rsid w:val="00893B37"/>
    <w:rsid w:val="00893B3C"/>
    <w:rsid w:val="00893ECA"/>
    <w:rsid w:val="008941DE"/>
    <w:rsid w:val="008942FF"/>
    <w:rsid w:val="00894ACA"/>
    <w:rsid w:val="00894D2B"/>
    <w:rsid w:val="00894EA1"/>
    <w:rsid w:val="00895230"/>
    <w:rsid w:val="008952CE"/>
    <w:rsid w:val="00895336"/>
    <w:rsid w:val="008953E2"/>
    <w:rsid w:val="008955C1"/>
    <w:rsid w:val="008960F5"/>
    <w:rsid w:val="008969EF"/>
    <w:rsid w:val="00896CED"/>
    <w:rsid w:val="00896F4D"/>
    <w:rsid w:val="008970D7"/>
    <w:rsid w:val="0089721D"/>
    <w:rsid w:val="008976C7"/>
    <w:rsid w:val="00897890"/>
    <w:rsid w:val="008A0282"/>
    <w:rsid w:val="008A02B4"/>
    <w:rsid w:val="008A062C"/>
    <w:rsid w:val="008A0923"/>
    <w:rsid w:val="008A0971"/>
    <w:rsid w:val="008A0E80"/>
    <w:rsid w:val="008A0FC4"/>
    <w:rsid w:val="008A1298"/>
    <w:rsid w:val="008A1450"/>
    <w:rsid w:val="008A145D"/>
    <w:rsid w:val="008A1463"/>
    <w:rsid w:val="008A1541"/>
    <w:rsid w:val="008A162A"/>
    <w:rsid w:val="008A1691"/>
    <w:rsid w:val="008A1814"/>
    <w:rsid w:val="008A1A66"/>
    <w:rsid w:val="008A1BCD"/>
    <w:rsid w:val="008A2069"/>
    <w:rsid w:val="008A20A2"/>
    <w:rsid w:val="008A20BE"/>
    <w:rsid w:val="008A2104"/>
    <w:rsid w:val="008A22B0"/>
    <w:rsid w:val="008A26C0"/>
    <w:rsid w:val="008A26C4"/>
    <w:rsid w:val="008A2C52"/>
    <w:rsid w:val="008A2C80"/>
    <w:rsid w:val="008A2E69"/>
    <w:rsid w:val="008A311D"/>
    <w:rsid w:val="008A31BC"/>
    <w:rsid w:val="008A33C0"/>
    <w:rsid w:val="008A385A"/>
    <w:rsid w:val="008A3C4D"/>
    <w:rsid w:val="008A3D23"/>
    <w:rsid w:val="008A3D9A"/>
    <w:rsid w:val="008A3FF9"/>
    <w:rsid w:val="008A45B8"/>
    <w:rsid w:val="008A48A0"/>
    <w:rsid w:val="008A5575"/>
    <w:rsid w:val="008A55CF"/>
    <w:rsid w:val="008A5DB7"/>
    <w:rsid w:val="008A6090"/>
    <w:rsid w:val="008A62AD"/>
    <w:rsid w:val="008A6701"/>
    <w:rsid w:val="008A6B48"/>
    <w:rsid w:val="008A7514"/>
    <w:rsid w:val="008A75C2"/>
    <w:rsid w:val="008A75CA"/>
    <w:rsid w:val="008A7E25"/>
    <w:rsid w:val="008B020E"/>
    <w:rsid w:val="008B045F"/>
    <w:rsid w:val="008B109A"/>
    <w:rsid w:val="008B1575"/>
    <w:rsid w:val="008B1711"/>
    <w:rsid w:val="008B1B28"/>
    <w:rsid w:val="008B1B71"/>
    <w:rsid w:val="008B21CB"/>
    <w:rsid w:val="008B279C"/>
    <w:rsid w:val="008B285E"/>
    <w:rsid w:val="008B289B"/>
    <w:rsid w:val="008B2FA1"/>
    <w:rsid w:val="008B3A2C"/>
    <w:rsid w:val="008B42BA"/>
    <w:rsid w:val="008B45A7"/>
    <w:rsid w:val="008B45F8"/>
    <w:rsid w:val="008B5861"/>
    <w:rsid w:val="008B59F2"/>
    <w:rsid w:val="008B5A0D"/>
    <w:rsid w:val="008B5ABD"/>
    <w:rsid w:val="008B5B62"/>
    <w:rsid w:val="008B5FA9"/>
    <w:rsid w:val="008B62E8"/>
    <w:rsid w:val="008B635F"/>
    <w:rsid w:val="008B66AB"/>
    <w:rsid w:val="008B7267"/>
    <w:rsid w:val="008B751B"/>
    <w:rsid w:val="008B76AA"/>
    <w:rsid w:val="008B7786"/>
    <w:rsid w:val="008B786B"/>
    <w:rsid w:val="008B7A4F"/>
    <w:rsid w:val="008B7C8B"/>
    <w:rsid w:val="008C0003"/>
    <w:rsid w:val="008C018E"/>
    <w:rsid w:val="008C023A"/>
    <w:rsid w:val="008C0426"/>
    <w:rsid w:val="008C074B"/>
    <w:rsid w:val="008C1117"/>
    <w:rsid w:val="008C117A"/>
    <w:rsid w:val="008C11AF"/>
    <w:rsid w:val="008C1406"/>
    <w:rsid w:val="008C1476"/>
    <w:rsid w:val="008C16EB"/>
    <w:rsid w:val="008C1851"/>
    <w:rsid w:val="008C1A94"/>
    <w:rsid w:val="008C1B01"/>
    <w:rsid w:val="008C1D5F"/>
    <w:rsid w:val="008C2062"/>
    <w:rsid w:val="008C2A25"/>
    <w:rsid w:val="008C2D36"/>
    <w:rsid w:val="008C30A2"/>
    <w:rsid w:val="008C315C"/>
    <w:rsid w:val="008C34A4"/>
    <w:rsid w:val="008C373C"/>
    <w:rsid w:val="008C38AA"/>
    <w:rsid w:val="008C44A7"/>
    <w:rsid w:val="008C475E"/>
    <w:rsid w:val="008C4B09"/>
    <w:rsid w:val="008C4BD0"/>
    <w:rsid w:val="008C4DEA"/>
    <w:rsid w:val="008C5729"/>
    <w:rsid w:val="008C5EAC"/>
    <w:rsid w:val="008C5EB7"/>
    <w:rsid w:val="008C5F3D"/>
    <w:rsid w:val="008C6285"/>
    <w:rsid w:val="008C6388"/>
    <w:rsid w:val="008C67D8"/>
    <w:rsid w:val="008C6842"/>
    <w:rsid w:val="008C6A7F"/>
    <w:rsid w:val="008C6C72"/>
    <w:rsid w:val="008C6D28"/>
    <w:rsid w:val="008C6EEF"/>
    <w:rsid w:val="008C7E44"/>
    <w:rsid w:val="008C7E5D"/>
    <w:rsid w:val="008D037B"/>
    <w:rsid w:val="008D059C"/>
    <w:rsid w:val="008D0E05"/>
    <w:rsid w:val="008D0EF4"/>
    <w:rsid w:val="008D1041"/>
    <w:rsid w:val="008D1113"/>
    <w:rsid w:val="008D13B5"/>
    <w:rsid w:val="008D16A2"/>
    <w:rsid w:val="008D18FB"/>
    <w:rsid w:val="008D1C79"/>
    <w:rsid w:val="008D1CEC"/>
    <w:rsid w:val="008D1F84"/>
    <w:rsid w:val="008D202B"/>
    <w:rsid w:val="008D202C"/>
    <w:rsid w:val="008D2102"/>
    <w:rsid w:val="008D24F4"/>
    <w:rsid w:val="008D2807"/>
    <w:rsid w:val="008D2ADE"/>
    <w:rsid w:val="008D33A6"/>
    <w:rsid w:val="008D345D"/>
    <w:rsid w:val="008D3A34"/>
    <w:rsid w:val="008D4162"/>
    <w:rsid w:val="008D41D9"/>
    <w:rsid w:val="008D4292"/>
    <w:rsid w:val="008D4435"/>
    <w:rsid w:val="008D4437"/>
    <w:rsid w:val="008D4AAA"/>
    <w:rsid w:val="008D4B4C"/>
    <w:rsid w:val="008D4D8B"/>
    <w:rsid w:val="008D5314"/>
    <w:rsid w:val="008D5F9E"/>
    <w:rsid w:val="008D68AB"/>
    <w:rsid w:val="008D6D6A"/>
    <w:rsid w:val="008D7022"/>
    <w:rsid w:val="008D70E9"/>
    <w:rsid w:val="008D7981"/>
    <w:rsid w:val="008D7AFE"/>
    <w:rsid w:val="008E01D0"/>
    <w:rsid w:val="008E0304"/>
    <w:rsid w:val="008E047E"/>
    <w:rsid w:val="008E0482"/>
    <w:rsid w:val="008E0740"/>
    <w:rsid w:val="008E0782"/>
    <w:rsid w:val="008E0A91"/>
    <w:rsid w:val="008E0F33"/>
    <w:rsid w:val="008E1203"/>
    <w:rsid w:val="008E202D"/>
    <w:rsid w:val="008E22E7"/>
    <w:rsid w:val="008E243C"/>
    <w:rsid w:val="008E264B"/>
    <w:rsid w:val="008E2AFD"/>
    <w:rsid w:val="008E2C7D"/>
    <w:rsid w:val="008E2F39"/>
    <w:rsid w:val="008E2FBF"/>
    <w:rsid w:val="008E302E"/>
    <w:rsid w:val="008E326D"/>
    <w:rsid w:val="008E36B7"/>
    <w:rsid w:val="008E390C"/>
    <w:rsid w:val="008E3951"/>
    <w:rsid w:val="008E3F9F"/>
    <w:rsid w:val="008E41E3"/>
    <w:rsid w:val="008E4391"/>
    <w:rsid w:val="008E448F"/>
    <w:rsid w:val="008E44DC"/>
    <w:rsid w:val="008E4C99"/>
    <w:rsid w:val="008E4ED1"/>
    <w:rsid w:val="008E4EDA"/>
    <w:rsid w:val="008E5258"/>
    <w:rsid w:val="008E53C1"/>
    <w:rsid w:val="008E54DB"/>
    <w:rsid w:val="008E5570"/>
    <w:rsid w:val="008E5625"/>
    <w:rsid w:val="008E7143"/>
    <w:rsid w:val="008E72BB"/>
    <w:rsid w:val="008E75DB"/>
    <w:rsid w:val="008E7938"/>
    <w:rsid w:val="008E7CC7"/>
    <w:rsid w:val="008E7EED"/>
    <w:rsid w:val="008E7F2A"/>
    <w:rsid w:val="008E7F2E"/>
    <w:rsid w:val="008F02B0"/>
    <w:rsid w:val="008F03F8"/>
    <w:rsid w:val="008F04FB"/>
    <w:rsid w:val="008F0E38"/>
    <w:rsid w:val="008F115A"/>
    <w:rsid w:val="008F1603"/>
    <w:rsid w:val="008F171E"/>
    <w:rsid w:val="008F17A5"/>
    <w:rsid w:val="008F17F8"/>
    <w:rsid w:val="008F18AA"/>
    <w:rsid w:val="008F1AD0"/>
    <w:rsid w:val="008F1D43"/>
    <w:rsid w:val="008F1D8C"/>
    <w:rsid w:val="008F1DD1"/>
    <w:rsid w:val="008F1E7A"/>
    <w:rsid w:val="008F2955"/>
    <w:rsid w:val="008F2BF9"/>
    <w:rsid w:val="008F2F45"/>
    <w:rsid w:val="008F369B"/>
    <w:rsid w:val="008F3901"/>
    <w:rsid w:val="008F3F48"/>
    <w:rsid w:val="008F40B2"/>
    <w:rsid w:val="008F42D8"/>
    <w:rsid w:val="008F4782"/>
    <w:rsid w:val="008F49DC"/>
    <w:rsid w:val="008F4CBC"/>
    <w:rsid w:val="008F4E1E"/>
    <w:rsid w:val="008F4F0F"/>
    <w:rsid w:val="008F5188"/>
    <w:rsid w:val="008F5760"/>
    <w:rsid w:val="008F63FB"/>
    <w:rsid w:val="008F6517"/>
    <w:rsid w:val="008F6678"/>
    <w:rsid w:val="008F67C3"/>
    <w:rsid w:val="008F6895"/>
    <w:rsid w:val="008F6AFA"/>
    <w:rsid w:val="008F6EEA"/>
    <w:rsid w:val="008F70B6"/>
    <w:rsid w:val="008F721D"/>
    <w:rsid w:val="008F74F7"/>
    <w:rsid w:val="008F7791"/>
    <w:rsid w:val="008F79DF"/>
    <w:rsid w:val="008F7B05"/>
    <w:rsid w:val="008F7D5C"/>
    <w:rsid w:val="008F7FE1"/>
    <w:rsid w:val="00900152"/>
    <w:rsid w:val="00900254"/>
    <w:rsid w:val="00900846"/>
    <w:rsid w:val="00900ACD"/>
    <w:rsid w:val="00900C33"/>
    <w:rsid w:val="00900FB3"/>
    <w:rsid w:val="009017E5"/>
    <w:rsid w:val="00901F0A"/>
    <w:rsid w:val="00902178"/>
    <w:rsid w:val="00902265"/>
    <w:rsid w:val="009023CF"/>
    <w:rsid w:val="009025B3"/>
    <w:rsid w:val="00902BCB"/>
    <w:rsid w:val="0090307A"/>
    <w:rsid w:val="009035E7"/>
    <w:rsid w:val="009036CF"/>
    <w:rsid w:val="00903954"/>
    <w:rsid w:val="009039F1"/>
    <w:rsid w:val="00903C06"/>
    <w:rsid w:val="00903E53"/>
    <w:rsid w:val="00904303"/>
    <w:rsid w:val="0090486B"/>
    <w:rsid w:val="009048AF"/>
    <w:rsid w:val="009049AF"/>
    <w:rsid w:val="00904D9D"/>
    <w:rsid w:val="00905299"/>
    <w:rsid w:val="00905533"/>
    <w:rsid w:val="00905582"/>
    <w:rsid w:val="00905A85"/>
    <w:rsid w:val="009062EB"/>
    <w:rsid w:val="0090645F"/>
    <w:rsid w:val="009065A3"/>
    <w:rsid w:val="00906ADA"/>
    <w:rsid w:val="0090736E"/>
    <w:rsid w:val="009076F9"/>
    <w:rsid w:val="0090786E"/>
    <w:rsid w:val="00907A7F"/>
    <w:rsid w:val="00907AF6"/>
    <w:rsid w:val="00907DAB"/>
    <w:rsid w:val="00910326"/>
    <w:rsid w:val="00910748"/>
    <w:rsid w:val="009107C0"/>
    <w:rsid w:val="009109F4"/>
    <w:rsid w:val="0091119C"/>
    <w:rsid w:val="00911347"/>
    <w:rsid w:val="0091142F"/>
    <w:rsid w:val="009115F9"/>
    <w:rsid w:val="00911D58"/>
    <w:rsid w:val="009122A0"/>
    <w:rsid w:val="0091255C"/>
    <w:rsid w:val="00912609"/>
    <w:rsid w:val="00912890"/>
    <w:rsid w:val="00912CE8"/>
    <w:rsid w:val="00912DF4"/>
    <w:rsid w:val="00912E84"/>
    <w:rsid w:val="00913266"/>
    <w:rsid w:val="00913710"/>
    <w:rsid w:val="0091385E"/>
    <w:rsid w:val="00913DE6"/>
    <w:rsid w:val="00913F60"/>
    <w:rsid w:val="00914AD5"/>
    <w:rsid w:val="00914E0F"/>
    <w:rsid w:val="0091525D"/>
    <w:rsid w:val="009154A6"/>
    <w:rsid w:val="0091552D"/>
    <w:rsid w:val="009157B1"/>
    <w:rsid w:val="009157C7"/>
    <w:rsid w:val="00915837"/>
    <w:rsid w:val="009159C9"/>
    <w:rsid w:val="00915ADE"/>
    <w:rsid w:val="00915FE3"/>
    <w:rsid w:val="00916269"/>
    <w:rsid w:val="0091629D"/>
    <w:rsid w:val="009163C0"/>
    <w:rsid w:val="00916826"/>
    <w:rsid w:val="00916AD2"/>
    <w:rsid w:val="00916C9C"/>
    <w:rsid w:val="00916CD9"/>
    <w:rsid w:val="00917040"/>
    <w:rsid w:val="0091730A"/>
    <w:rsid w:val="00917604"/>
    <w:rsid w:val="0091791B"/>
    <w:rsid w:val="00917C29"/>
    <w:rsid w:val="00917CB4"/>
    <w:rsid w:val="00917CD9"/>
    <w:rsid w:val="00920DD2"/>
    <w:rsid w:val="00921045"/>
    <w:rsid w:val="00921554"/>
    <w:rsid w:val="009219E7"/>
    <w:rsid w:val="009228C1"/>
    <w:rsid w:val="00922CA9"/>
    <w:rsid w:val="00922E67"/>
    <w:rsid w:val="009231B8"/>
    <w:rsid w:val="00923239"/>
    <w:rsid w:val="00923467"/>
    <w:rsid w:val="009237FE"/>
    <w:rsid w:val="00923A61"/>
    <w:rsid w:val="00923AB6"/>
    <w:rsid w:val="00923D64"/>
    <w:rsid w:val="00923E46"/>
    <w:rsid w:val="00924716"/>
    <w:rsid w:val="00924835"/>
    <w:rsid w:val="0092485A"/>
    <w:rsid w:val="009248CE"/>
    <w:rsid w:val="009248D8"/>
    <w:rsid w:val="00924907"/>
    <w:rsid w:val="00924BD1"/>
    <w:rsid w:val="0092504C"/>
    <w:rsid w:val="00925450"/>
    <w:rsid w:val="009256DA"/>
    <w:rsid w:val="00925794"/>
    <w:rsid w:val="00925C0F"/>
    <w:rsid w:val="00926246"/>
    <w:rsid w:val="00926254"/>
    <w:rsid w:val="00926455"/>
    <w:rsid w:val="009269A7"/>
    <w:rsid w:val="00926DB3"/>
    <w:rsid w:val="00927232"/>
    <w:rsid w:val="009276EC"/>
    <w:rsid w:val="00930246"/>
    <w:rsid w:val="009305A3"/>
    <w:rsid w:val="0093085C"/>
    <w:rsid w:val="009319BB"/>
    <w:rsid w:val="00931A79"/>
    <w:rsid w:val="00931D2C"/>
    <w:rsid w:val="00931EC6"/>
    <w:rsid w:val="00931F9D"/>
    <w:rsid w:val="0093257B"/>
    <w:rsid w:val="00932674"/>
    <w:rsid w:val="009327F1"/>
    <w:rsid w:val="00932FC0"/>
    <w:rsid w:val="00932FCD"/>
    <w:rsid w:val="0093328A"/>
    <w:rsid w:val="00933292"/>
    <w:rsid w:val="00933470"/>
    <w:rsid w:val="009337EF"/>
    <w:rsid w:val="00933F6D"/>
    <w:rsid w:val="0093448A"/>
    <w:rsid w:val="00934578"/>
    <w:rsid w:val="00934C52"/>
    <w:rsid w:val="00934F50"/>
    <w:rsid w:val="00935751"/>
    <w:rsid w:val="00935F0B"/>
    <w:rsid w:val="00936349"/>
    <w:rsid w:val="00936A75"/>
    <w:rsid w:val="00936CFC"/>
    <w:rsid w:val="00936FBB"/>
    <w:rsid w:val="00937165"/>
    <w:rsid w:val="009372B8"/>
    <w:rsid w:val="00937690"/>
    <w:rsid w:val="00937CD5"/>
    <w:rsid w:val="0094028D"/>
    <w:rsid w:val="0094115D"/>
    <w:rsid w:val="009411A1"/>
    <w:rsid w:val="009411CF"/>
    <w:rsid w:val="00941459"/>
    <w:rsid w:val="0094166A"/>
    <w:rsid w:val="00941733"/>
    <w:rsid w:val="00941A82"/>
    <w:rsid w:val="00941BAD"/>
    <w:rsid w:val="00941D74"/>
    <w:rsid w:val="00941DDA"/>
    <w:rsid w:val="00942BA0"/>
    <w:rsid w:val="0094325D"/>
    <w:rsid w:val="00943467"/>
    <w:rsid w:val="009436A0"/>
    <w:rsid w:val="00943E21"/>
    <w:rsid w:val="00944113"/>
    <w:rsid w:val="00944728"/>
    <w:rsid w:val="00944D70"/>
    <w:rsid w:val="00944E54"/>
    <w:rsid w:val="00944E88"/>
    <w:rsid w:val="009450BE"/>
    <w:rsid w:val="009455F3"/>
    <w:rsid w:val="00945BA8"/>
    <w:rsid w:val="00946012"/>
    <w:rsid w:val="009460D3"/>
    <w:rsid w:val="009471F9"/>
    <w:rsid w:val="00947603"/>
    <w:rsid w:val="00947979"/>
    <w:rsid w:val="009479B9"/>
    <w:rsid w:val="009479E2"/>
    <w:rsid w:val="00947BAB"/>
    <w:rsid w:val="00947D53"/>
    <w:rsid w:val="00947F3A"/>
    <w:rsid w:val="00950811"/>
    <w:rsid w:val="00950B7C"/>
    <w:rsid w:val="00950C03"/>
    <w:rsid w:val="00950CA2"/>
    <w:rsid w:val="00950E61"/>
    <w:rsid w:val="00951019"/>
    <w:rsid w:val="00951A49"/>
    <w:rsid w:val="00951AF6"/>
    <w:rsid w:val="00951E6F"/>
    <w:rsid w:val="00951FFF"/>
    <w:rsid w:val="009521EE"/>
    <w:rsid w:val="00952365"/>
    <w:rsid w:val="0095297E"/>
    <w:rsid w:val="0095318B"/>
    <w:rsid w:val="00953208"/>
    <w:rsid w:val="00953480"/>
    <w:rsid w:val="009537FC"/>
    <w:rsid w:val="00953A0E"/>
    <w:rsid w:val="00953B11"/>
    <w:rsid w:val="0095409E"/>
    <w:rsid w:val="00955296"/>
    <w:rsid w:val="00955436"/>
    <w:rsid w:val="00955CE5"/>
    <w:rsid w:val="00955D66"/>
    <w:rsid w:val="00956D4D"/>
    <w:rsid w:val="00956D82"/>
    <w:rsid w:val="00956E17"/>
    <w:rsid w:val="00957346"/>
    <w:rsid w:val="009574EC"/>
    <w:rsid w:val="009577F6"/>
    <w:rsid w:val="009578E7"/>
    <w:rsid w:val="00957B20"/>
    <w:rsid w:val="00957B5C"/>
    <w:rsid w:val="00960628"/>
    <w:rsid w:val="00960726"/>
    <w:rsid w:val="00960813"/>
    <w:rsid w:val="009608A0"/>
    <w:rsid w:val="009608F7"/>
    <w:rsid w:val="00960CBF"/>
    <w:rsid w:val="00960FD1"/>
    <w:rsid w:val="009617EA"/>
    <w:rsid w:val="00961919"/>
    <w:rsid w:val="00961A7B"/>
    <w:rsid w:val="00961E36"/>
    <w:rsid w:val="009625B1"/>
    <w:rsid w:val="00962626"/>
    <w:rsid w:val="00962693"/>
    <w:rsid w:val="00962757"/>
    <w:rsid w:val="00962DC9"/>
    <w:rsid w:val="00962F79"/>
    <w:rsid w:val="00963068"/>
    <w:rsid w:val="00963542"/>
    <w:rsid w:val="009648CF"/>
    <w:rsid w:val="00964A4E"/>
    <w:rsid w:val="00964C87"/>
    <w:rsid w:val="00964D4F"/>
    <w:rsid w:val="009656A4"/>
    <w:rsid w:val="009657D1"/>
    <w:rsid w:val="0096591C"/>
    <w:rsid w:val="00965BC0"/>
    <w:rsid w:val="00965DAF"/>
    <w:rsid w:val="0096644D"/>
    <w:rsid w:val="009665FE"/>
    <w:rsid w:val="00966677"/>
    <w:rsid w:val="009666F2"/>
    <w:rsid w:val="0096675D"/>
    <w:rsid w:val="00966854"/>
    <w:rsid w:val="009669CF"/>
    <w:rsid w:val="00966BB3"/>
    <w:rsid w:val="009672A7"/>
    <w:rsid w:val="009672E2"/>
    <w:rsid w:val="00967369"/>
    <w:rsid w:val="0096761E"/>
    <w:rsid w:val="009678ED"/>
    <w:rsid w:val="009679E2"/>
    <w:rsid w:val="00967AFD"/>
    <w:rsid w:val="00967E91"/>
    <w:rsid w:val="00967E94"/>
    <w:rsid w:val="00967F9A"/>
    <w:rsid w:val="0097026B"/>
    <w:rsid w:val="0097044C"/>
    <w:rsid w:val="0097093D"/>
    <w:rsid w:val="00970AD7"/>
    <w:rsid w:val="00970BD9"/>
    <w:rsid w:val="0097157B"/>
    <w:rsid w:val="00971744"/>
    <w:rsid w:val="00971ACC"/>
    <w:rsid w:val="00971C27"/>
    <w:rsid w:val="00971D15"/>
    <w:rsid w:val="00972875"/>
    <w:rsid w:val="0097290A"/>
    <w:rsid w:val="00972AB4"/>
    <w:rsid w:val="009731C9"/>
    <w:rsid w:val="00973259"/>
    <w:rsid w:val="00973275"/>
    <w:rsid w:val="009733C4"/>
    <w:rsid w:val="009734AE"/>
    <w:rsid w:val="00973665"/>
    <w:rsid w:val="00973B20"/>
    <w:rsid w:val="009741B2"/>
    <w:rsid w:val="00974237"/>
    <w:rsid w:val="0097442C"/>
    <w:rsid w:val="0097457A"/>
    <w:rsid w:val="009750C3"/>
    <w:rsid w:val="0097514A"/>
    <w:rsid w:val="009755CA"/>
    <w:rsid w:val="009758CA"/>
    <w:rsid w:val="00975AAE"/>
    <w:rsid w:val="00975B2B"/>
    <w:rsid w:val="00975CCB"/>
    <w:rsid w:val="00976026"/>
    <w:rsid w:val="00976843"/>
    <w:rsid w:val="00976AE0"/>
    <w:rsid w:val="009776BE"/>
    <w:rsid w:val="00977EEF"/>
    <w:rsid w:val="00981976"/>
    <w:rsid w:val="00981A6A"/>
    <w:rsid w:val="00981C65"/>
    <w:rsid w:val="009825F3"/>
    <w:rsid w:val="0098297F"/>
    <w:rsid w:val="00982D56"/>
    <w:rsid w:val="009831F4"/>
    <w:rsid w:val="009836F6"/>
    <w:rsid w:val="0098392D"/>
    <w:rsid w:val="00983B73"/>
    <w:rsid w:val="00984497"/>
    <w:rsid w:val="00984A08"/>
    <w:rsid w:val="0098559F"/>
    <w:rsid w:val="00985A92"/>
    <w:rsid w:val="00985CD6"/>
    <w:rsid w:val="009861EB"/>
    <w:rsid w:val="00986297"/>
    <w:rsid w:val="0098633B"/>
    <w:rsid w:val="00986708"/>
    <w:rsid w:val="009867EE"/>
    <w:rsid w:val="00986FB2"/>
    <w:rsid w:val="00987211"/>
    <w:rsid w:val="009873E6"/>
    <w:rsid w:val="009876BA"/>
    <w:rsid w:val="009901F5"/>
    <w:rsid w:val="0099039F"/>
    <w:rsid w:val="00990730"/>
    <w:rsid w:val="00990DF3"/>
    <w:rsid w:val="00990EE0"/>
    <w:rsid w:val="0099160D"/>
    <w:rsid w:val="009919CB"/>
    <w:rsid w:val="009920EE"/>
    <w:rsid w:val="009931AC"/>
    <w:rsid w:val="00993533"/>
    <w:rsid w:val="0099354E"/>
    <w:rsid w:val="00993605"/>
    <w:rsid w:val="00993803"/>
    <w:rsid w:val="00993A98"/>
    <w:rsid w:val="00993E42"/>
    <w:rsid w:val="00993F5F"/>
    <w:rsid w:val="00993FA8"/>
    <w:rsid w:val="009940B7"/>
    <w:rsid w:val="009947FE"/>
    <w:rsid w:val="00994E7A"/>
    <w:rsid w:val="00994E9C"/>
    <w:rsid w:val="00994F7A"/>
    <w:rsid w:val="00994FE7"/>
    <w:rsid w:val="00995040"/>
    <w:rsid w:val="0099582E"/>
    <w:rsid w:val="0099584B"/>
    <w:rsid w:val="009960F2"/>
    <w:rsid w:val="009965B9"/>
    <w:rsid w:val="009966FB"/>
    <w:rsid w:val="00996A3B"/>
    <w:rsid w:val="00996C34"/>
    <w:rsid w:val="00997807"/>
    <w:rsid w:val="00997FE5"/>
    <w:rsid w:val="009A0254"/>
    <w:rsid w:val="009A029A"/>
    <w:rsid w:val="009A03BE"/>
    <w:rsid w:val="009A0A02"/>
    <w:rsid w:val="009A0AD2"/>
    <w:rsid w:val="009A0E8A"/>
    <w:rsid w:val="009A0E91"/>
    <w:rsid w:val="009A1005"/>
    <w:rsid w:val="009A1D0A"/>
    <w:rsid w:val="009A1F45"/>
    <w:rsid w:val="009A201D"/>
    <w:rsid w:val="009A2639"/>
    <w:rsid w:val="009A289F"/>
    <w:rsid w:val="009A2963"/>
    <w:rsid w:val="009A2A39"/>
    <w:rsid w:val="009A48BE"/>
    <w:rsid w:val="009A4939"/>
    <w:rsid w:val="009A5214"/>
    <w:rsid w:val="009A540E"/>
    <w:rsid w:val="009A5516"/>
    <w:rsid w:val="009A580E"/>
    <w:rsid w:val="009A60D2"/>
    <w:rsid w:val="009A6140"/>
    <w:rsid w:val="009A61B1"/>
    <w:rsid w:val="009A69F1"/>
    <w:rsid w:val="009A6A53"/>
    <w:rsid w:val="009A75B9"/>
    <w:rsid w:val="009A7600"/>
    <w:rsid w:val="009A77E2"/>
    <w:rsid w:val="009B059E"/>
    <w:rsid w:val="009B0CFA"/>
    <w:rsid w:val="009B137A"/>
    <w:rsid w:val="009B156E"/>
    <w:rsid w:val="009B18C1"/>
    <w:rsid w:val="009B1D88"/>
    <w:rsid w:val="009B1DFC"/>
    <w:rsid w:val="009B2323"/>
    <w:rsid w:val="009B2626"/>
    <w:rsid w:val="009B2F2B"/>
    <w:rsid w:val="009B3CDA"/>
    <w:rsid w:val="009B3F57"/>
    <w:rsid w:val="009B40FD"/>
    <w:rsid w:val="009B4594"/>
    <w:rsid w:val="009B4BF0"/>
    <w:rsid w:val="009B4ED4"/>
    <w:rsid w:val="009B4F0E"/>
    <w:rsid w:val="009B4F77"/>
    <w:rsid w:val="009B5375"/>
    <w:rsid w:val="009B55BF"/>
    <w:rsid w:val="009B5D94"/>
    <w:rsid w:val="009B63AF"/>
    <w:rsid w:val="009B66A9"/>
    <w:rsid w:val="009B6756"/>
    <w:rsid w:val="009B6791"/>
    <w:rsid w:val="009B69F3"/>
    <w:rsid w:val="009B77B2"/>
    <w:rsid w:val="009C0076"/>
    <w:rsid w:val="009C0122"/>
    <w:rsid w:val="009C0198"/>
    <w:rsid w:val="009C0473"/>
    <w:rsid w:val="009C0589"/>
    <w:rsid w:val="009C059A"/>
    <w:rsid w:val="009C1224"/>
    <w:rsid w:val="009C1316"/>
    <w:rsid w:val="009C14BC"/>
    <w:rsid w:val="009C19A4"/>
    <w:rsid w:val="009C19E7"/>
    <w:rsid w:val="009C1DA0"/>
    <w:rsid w:val="009C1F3E"/>
    <w:rsid w:val="009C1F5D"/>
    <w:rsid w:val="009C2278"/>
    <w:rsid w:val="009C24E4"/>
    <w:rsid w:val="009C27E0"/>
    <w:rsid w:val="009C2A49"/>
    <w:rsid w:val="009C2EFC"/>
    <w:rsid w:val="009C34DE"/>
    <w:rsid w:val="009C3C03"/>
    <w:rsid w:val="009C3E8A"/>
    <w:rsid w:val="009C3F0C"/>
    <w:rsid w:val="009C403D"/>
    <w:rsid w:val="009C4304"/>
    <w:rsid w:val="009C463A"/>
    <w:rsid w:val="009C5951"/>
    <w:rsid w:val="009C5D66"/>
    <w:rsid w:val="009C66EA"/>
    <w:rsid w:val="009C6C01"/>
    <w:rsid w:val="009C6DC9"/>
    <w:rsid w:val="009C6EBB"/>
    <w:rsid w:val="009C70ED"/>
    <w:rsid w:val="009C7288"/>
    <w:rsid w:val="009C7392"/>
    <w:rsid w:val="009C76B2"/>
    <w:rsid w:val="009C7921"/>
    <w:rsid w:val="009C7A0A"/>
    <w:rsid w:val="009D058A"/>
    <w:rsid w:val="009D0735"/>
    <w:rsid w:val="009D0D80"/>
    <w:rsid w:val="009D0F5C"/>
    <w:rsid w:val="009D0F9C"/>
    <w:rsid w:val="009D102C"/>
    <w:rsid w:val="009D1046"/>
    <w:rsid w:val="009D1AC6"/>
    <w:rsid w:val="009D1B55"/>
    <w:rsid w:val="009D1B8F"/>
    <w:rsid w:val="009D1BED"/>
    <w:rsid w:val="009D1EAB"/>
    <w:rsid w:val="009D2280"/>
    <w:rsid w:val="009D25E3"/>
    <w:rsid w:val="009D2AB6"/>
    <w:rsid w:val="009D2BEA"/>
    <w:rsid w:val="009D2C8F"/>
    <w:rsid w:val="009D38C1"/>
    <w:rsid w:val="009D38DB"/>
    <w:rsid w:val="009D3B22"/>
    <w:rsid w:val="009D3CC8"/>
    <w:rsid w:val="009D4256"/>
    <w:rsid w:val="009D45E3"/>
    <w:rsid w:val="009D4F0A"/>
    <w:rsid w:val="009D5A5E"/>
    <w:rsid w:val="009D5A89"/>
    <w:rsid w:val="009D5C2E"/>
    <w:rsid w:val="009D5EC2"/>
    <w:rsid w:val="009D60C0"/>
    <w:rsid w:val="009D6183"/>
    <w:rsid w:val="009D6691"/>
    <w:rsid w:val="009D694C"/>
    <w:rsid w:val="009D6AEA"/>
    <w:rsid w:val="009D78AB"/>
    <w:rsid w:val="009D7D2B"/>
    <w:rsid w:val="009E04A1"/>
    <w:rsid w:val="009E11AD"/>
    <w:rsid w:val="009E1354"/>
    <w:rsid w:val="009E16AC"/>
    <w:rsid w:val="009E1779"/>
    <w:rsid w:val="009E1929"/>
    <w:rsid w:val="009E1B9A"/>
    <w:rsid w:val="009E1D2F"/>
    <w:rsid w:val="009E1D40"/>
    <w:rsid w:val="009E1F59"/>
    <w:rsid w:val="009E1FF1"/>
    <w:rsid w:val="009E2163"/>
    <w:rsid w:val="009E2C87"/>
    <w:rsid w:val="009E353D"/>
    <w:rsid w:val="009E3668"/>
    <w:rsid w:val="009E39A6"/>
    <w:rsid w:val="009E3E42"/>
    <w:rsid w:val="009E402A"/>
    <w:rsid w:val="009E4769"/>
    <w:rsid w:val="009E4CE5"/>
    <w:rsid w:val="009E544D"/>
    <w:rsid w:val="009E5790"/>
    <w:rsid w:val="009E5B1E"/>
    <w:rsid w:val="009E5CCD"/>
    <w:rsid w:val="009E5D19"/>
    <w:rsid w:val="009E6233"/>
    <w:rsid w:val="009E63C1"/>
    <w:rsid w:val="009E6832"/>
    <w:rsid w:val="009E69DA"/>
    <w:rsid w:val="009E69E5"/>
    <w:rsid w:val="009E70AA"/>
    <w:rsid w:val="009E713F"/>
    <w:rsid w:val="009E7320"/>
    <w:rsid w:val="009E75CF"/>
    <w:rsid w:val="009E764C"/>
    <w:rsid w:val="009E7857"/>
    <w:rsid w:val="009E7CA1"/>
    <w:rsid w:val="009E7E7D"/>
    <w:rsid w:val="009E7EAA"/>
    <w:rsid w:val="009F01E6"/>
    <w:rsid w:val="009F0247"/>
    <w:rsid w:val="009F0482"/>
    <w:rsid w:val="009F064F"/>
    <w:rsid w:val="009F090F"/>
    <w:rsid w:val="009F097B"/>
    <w:rsid w:val="009F0E73"/>
    <w:rsid w:val="009F1187"/>
    <w:rsid w:val="009F132E"/>
    <w:rsid w:val="009F161D"/>
    <w:rsid w:val="009F18AC"/>
    <w:rsid w:val="009F1D86"/>
    <w:rsid w:val="009F271A"/>
    <w:rsid w:val="009F27D9"/>
    <w:rsid w:val="009F28B5"/>
    <w:rsid w:val="009F295D"/>
    <w:rsid w:val="009F2B31"/>
    <w:rsid w:val="009F30EC"/>
    <w:rsid w:val="009F3247"/>
    <w:rsid w:val="009F33F9"/>
    <w:rsid w:val="009F37DC"/>
    <w:rsid w:val="009F4055"/>
    <w:rsid w:val="009F42FD"/>
    <w:rsid w:val="009F447A"/>
    <w:rsid w:val="009F4D3E"/>
    <w:rsid w:val="009F5227"/>
    <w:rsid w:val="009F56A2"/>
    <w:rsid w:val="009F5787"/>
    <w:rsid w:val="009F5AAD"/>
    <w:rsid w:val="009F5B75"/>
    <w:rsid w:val="009F5CDA"/>
    <w:rsid w:val="009F5DEF"/>
    <w:rsid w:val="009F5ECB"/>
    <w:rsid w:val="009F5EE8"/>
    <w:rsid w:val="009F6364"/>
    <w:rsid w:val="009F6746"/>
    <w:rsid w:val="009F6F3E"/>
    <w:rsid w:val="009F6F6A"/>
    <w:rsid w:val="009F7797"/>
    <w:rsid w:val="009F7B29"/>
    <w:rsid w:val="00A005DB"/>
    <w:rsid w:val="00A00A08"/>
    <w:rsid w:val="00A00DFD"/>
    <w:rsid w:val="00A00E59"/>
    <w:rsid w:val="00A01771"/>
    <w:rsid w:val="00A01FDD"/>
    <w:rsid w:val="00A022B1"/>
    <w:rsid w:val="00A02A64"/>
    <w:rsid w:val="00A02EF8"/>
    <w:rsid w:val="00A02F9C"/>
    <w:rsid w:val="00A02FFF"/>
    <w:rsid w:val="00A0343C"/>
    <w:rsid w:val="00A038C0"/>
    <w:rsid w:val="00A03B4B"/>
    <w:rsid w:val="00A03F13"/>
    <w:rsid w:val="00A04242"/>
    <w:rsid w:val="00A04461"/>
    <w:rsid w:val="00A04472"/>
    <w:rsid w:val="00A044C3"/>
    <w:rsid w:val="00A0469A"/>
    <w:rsid w:val="00A046A4"/>
    <w:rsid w:val="00A04885"/>
    <w:rsid w:val="00A04ABF"/>
    <w:rsid w:val="00A04C3B"/>
    <w:rsid w:val="00A04CC9"/>
    <w:rsid w:val="00A04ECE"/>
    <w:rsid w:val="00A04F21"/>
    <w:rsid w:val="00A056E0"/>
    <w:rsid w:val="00A05865"/>
    <w:rsid w:val="00A058DB"/>
    <w:rsid w:val="00A05DC7"/>
    <w:rsid w:val="00A0637E"/>
    <w:rsid w:val="00A06532"/>
    <w:rsid w:val="00A0678B"/>
    <w:rsid w:val="00A069EF"/>
    <w:rsid w:val="00A06FDA"/>
    <w:rsid w:val="00A07093"/>
    <w:rsid w:val="00A07B34"/>
    <w:rsid w:val="00A10381"/>
    <w:rsid w:val="00A103E9"/>
    <w:rsid w:val="00A109FF"/>
    <w:rsid w:val="00A10B2E"/>
    <w:rsid w:val="00A11188"/>
    <w:rsid w:val="00A11B5E"/>
    <w:rsid w:val="00A123DB"/>
    <w:rsid w:val="00A125BB"/>
    <w:rsid w:val="00A1265B"/>
    <w:rsid w:val="00A12896"/>
    <w:rsid w:val="00A13339"/>
    <w:rsid w:val="00A13C1A"/>
    <w:rsid w:val="00A13F7C"/>
    <w:rsid w:val="00A1406D"/>
    <w:rsid w:val="00A1407B"/>
    <w:rsid w:val="00A14321"/>
    <w:rsid w:val="00A1449D"/>
    <w:rsid w:val="00A14B5B"/>
    <w:rsid w:val="00A14EDD"/>
    <w:rsid w:val="00A15A16"/>
    <w:rsid w:val="00A1604E"/>
    <w:rsid w:val="00A1695F"/>
    <w:rsid w:val="00A16D0F"/>
    <w:rsid w:val="00A16E26"/>
    <w:rsid w:val="00A17108"/>
    <w:rsid w:val="00A17715"/>
    <w:rsid w:val="00A17726"/>
    <w:rsid w:val="00A20848"/>
    <w:rsid w:val="00A20A7E"/>
    <w:rsid w:val="00A20AF2"/>
    <w:rsid w:val="00A20EED"/>
    <w:rsid w:val="00A210A9"/>
    <w:rsid w:val="00A21C09"/>
    <w:rsid w:val="00A21DF1"/>
    <w:rsid w:val="00A22217"/>
    <w:rsid w:val="00A224F1"/>
    <w:rsid w:val="00A2270B"/>
    <w:rsid w:val="00A22A18"/>
    <w:rsid w:val="00A23088"/>
    <w:rsid w:val="00A2317C"/>
    <w:rsid w:val="00A2317F"/>
    <w:rsid w:val="00A231EA"/>
    <w:rsid w:val="00A23596"/>
    <w:rsid w:val="00A23D0B"/>
    <w:rsid w:val="00A24229"/>
    <w:rsid w:val="00A2444B"/>
    <w:rsid w:val="00A247BD"/>
    <w:rsid w:val="00A24E27"/>
    <w:rsid w:val="00A253DE"/>
    <w:rsid w:val="00A25760"/>
    <w:rsid w:val="00A2596F"/>
    <w:rsid w:val="00A26111"/>
    <w:rsid w:val="00A2616F"/>
    <w:rsid w:val="00A263DD"/>
    <w:rsid w:val="00A2642B"/>
    <w:rsid w:val="00A26461"/>
    <w:rsid w:val="00A265E8"/>
    <w:rsid w:val="00A267D4"/>
    <w:rsid w:val="00A26A6B"/>
    <w:rsid w:val="00A26E60"/>
    <w:rsid w:val="00A2715F"/>
    <w:rsid w:val="00A277AD"/>
    <w:rsid w:val="00A279B3"/>
    <w:rsid w:val="00A27AC7"/>
    <w:rsid w:val="00A303B0"/>
    <w:rsid w:val="00A30666"/>
    <w:rsid w:val="00A31221"/>
    <w:rsid w:val="00A317FE"/>
    <w:rsid w:val="00A31BA6"/>
    <w:rsid w:val="00A31BD1"/>
    <w:rsid w:val="00A31C33"/>
    <w:rsid w:val="00A31CDD"/>
    <w:rsid w:val="00A31D55"/>
    <w:rsid w:val="00A31ECF"/>
    <w:rsid w:val="00A323AA"/>
    <w:rsid w:val="00A3252D"/>
    <w:rsid w:val="00A325A7"/>
    <w:rsid w:val="00A342C8"/>
    <w:rsid w:val="00A3431B"/>
    <w:rsid w:val="00A3461A"/>
    <w:rsid w:val="00A34D19"/>
    <w:rsid w:val="00A35275"/>
    <w:rsid w:val="00A35442"/>
    <w:rsid w:val="00A3592D"/>
    <w:rsid w:val="00A35EF9"/>
    <w:rsid w:val="00A369D6"/>
    <w:rsid w:val="00A3728B"/>
    <w:rsid w:val="00A379E5"/>
    <w:rsid w:val="00A37FAB"/>
    <w:rsid w:val="00A4010E"/>
    <w:rsid w:val="00A40747"/>
    <w:rsid w:val="00A408B6"/>
    <w:rsid w:val="00A40915"/>
    <w:rsid w:val="00A4092C"/>
    <w:rsid w:val="00A40E8E"/>
    <w:rsid w:val="00A40F66"/>
    <w:rsid w:val="00A4117F"/>
    <w:rsid w:val="00A414A3"/>
    <w:rsid w:val="00A418BF"/>
    <w:rsid w:val="00A41919"/>
    <w:rsid w:val="00A41EA9"/>
    <w:rsid w:val="00A41F2E"/>
    <w:rsid w:val="00A42068"/>
    <w:rsid w:val="00A422BE"/>
    <w:rsid w:val="00A4252D"/>
    <w:rsid w:val="00A425DC"/>
    <w:rsid w:val="00A42953"/>
    <w:rsid w:val="00A429BD"/>
    <w:rsid w:val="00A43515"/>
    <w:rsid w:val="00A437FA"/>
    <w:rsid w:val="00A43980"/>
    <w:rsid w:val="00A43CDB"/>
    <w:rsid w:val="00A43E7F"/>
    <w:rsid w:val="00A44142"/>
    <w:rsid w:val="00A443AF"/>
    <w:rsid w:val="00A448F5"/>
    <w:rsid w:val="00A44922"/>
    <w:rsid w:val="00A449F2"/>
    <w:rsid w:val="00A44A41"/>
    <w:rsid w:val="00A4552E"/>
    <w:rsid w:val="00A457FF"/>
    <w:rsid w:val="00A45CAD"/>
    <w:rsid w:val="00A4654D"/>
    <w:rsid w:val="00A465FC"/>
    <w:rsid w:val="00A46ABB"/>
    <w:rsid w:val="00A47C34"/>
    <w:rsid w:val="00A5013E"/>
    <w:rsid w:val="00A50B43"/>
    <w:rsid w:val="00A50BAD"/>
    <w:rsid w:val="00A50EE7"/>
    <w:rsid w:val="00A50F2A"/>
    <w:rsid w:val="00A510D7"/>
    <w:rsid w:val="00A5125A"/>
    <w:rsid w:val="00A51763"/>
    <w:rsid w:val="00A51947"/>
    <w:rsid w:val="00A5199A"/>
    <w:rsid w:val="00A51BD6"/>
    <w:rsid w:val="00A51D2C"/>
    <w:rsid w:val="00A51D5B"/>
    <w:rsid w:val="00A51F11"/>
    <w:rsid w:val="00A522F5"/>
    <w:rsid w:val="00A527C3"/>
    <w:rsid w:val="00A52D2B"/>
    <w:rsid w:val="00A52D33"/>
    <w:rsid w:val="00A537D9"/>
    <w:rsid w:val="00A53998"/>
    <w:rsid w:val="00A539A6"/>
    <w:rsid w:val="00A5421B"/>
    <w:rsid w:val="00A5459B"/>
    <w:rsid w:val="00A5471E"/>
    <w:rsid w:val="00A54E7B"/>
    <w:rsid w:val="00A54F0A"/>
    <w:rsid w:val="00A55376"/>
    <w:rsid w:val="00A55744"/>
    <w:rsid w:val="00A5580C"/>
    <w:rsid w:val="00A55D30"/>
    <w:rsid w:val="00A55E5E"/>
    <w:rsid w:val="00A5625E"/>
    <w:rsid w:val="00A5663D"/>
    <w:rsid w:val="00A56AFD"/>
    <w:rsid w:val="00A56CB0"/>
    <w:rsid w:val="00A57383"/>
    <w:rsid w:val="00A573F7"/>
    <w:rsid w:val="00A574F8"/>
    <w:rsid w:val="00A57767"/>
    <w:rsid w:val="00A6007A"/>
    <w:rsid w:val="00A600FE"/>
    <w:rsid w:val="00A60342"/>
    <w:rsid w:val="00A6057E"/>
    <w:rsid w:val="00A60C74"/>
    <w:rsid w:val="00A61146"/>
    <w:rsid w:val="00A611AD"/>
    <w:rsid w:val="00A6121C"/>
    <w:rsid w:val="00A6182F"/>
    <w:rsid w:val="00A61D3B"/>
    <w:rsid w:val="00A61D5A"/>
    <w:rsid w:val="00A61E30"/>
    <w:rsid w:val="00A61FC2"/>
    <w:rsid w:val="00A631C2"/>
    <w:rsid w:val="00A63784"/>
    <w:rsid w:val="00A649B0"/>
    <w:rsid w:val="00A64B61"/>
    <w:rsid w:val="00A64B69"/>
    <w:rsid w:val="00A64D11"/>
    <w:rsid w:val="00A64FAF"/>
    <w:rsid w:val="00A6509F"/>
    <w:rsid w:val="00A658E6"/>
    <w:rsid w:val="00A6646A"/>
    <w:rsid w:val="00A66FCD"/>
    <w:rsid w:val="00A67616"/>
    <w:rsid w:val="00A6787F"/>
    <w:rsid w:val="00A70195"/>
    <w:rsid w:val="00A70814"/>
    <w:rsid w:val="00A70AA7"/>
    <w:rsid w:val="00A70C0D"/>
    <w:rsid w:val="00A71447"/>
    <w:rsid w:val="00A71C9C"/>
    <w:rsid w:val="00A71FD6"/>
    <w:rsid w:val="00A72714"/>
    <w:rsid w:val="00A7276E"/>
    <w:rsid w:val="00A729E3"/>
    <w:rsid w:val="00A72C4D"/>
    <w:rsid w:val="00A735A1"/>
    <w:rsid w:val="00A735E3"/>
    <w:rsid w:val="00A73BE6"/>
    <w:rsid w:val="00A73E35"/>
    <w:rsid w:val="00A74143"/>
    <w:rsid w:val="00A74280"/>
    <w:rsid w:val="00A742E8"/>
    <w:rsid w:val="00A746E3"/>
    <w:rsid w:val="00A74A0E"/>
    <w:rsid w:val="00A7522D"/>
    <w:rsid w:val="00A75806"/>
    <w:rsid w:val="00A75A32"/>
    <w:rsid w:val="00A75AFA"/>
    <w:rsid w:val="00A75FA9"/>
    <w:rsid w:val="00A762CB"/>
    <w:rsid w:val="00A762E7"/>
    <w:rsid w:val="00A768A0"/>
    <w:rsid w:val="00A76B77"/>
    <w:rsid w:val="00A76DAA"/>
    <w:rsid w:val="00A76E57"/>
    <w:rsid w:val="00A7717A"/>
    <w:rsid w:val="00A771FB"/>
    <w:rsid w:val="00A77357"/>
    <w:rsid w:val="00A77481"/>
    <w:rsid w:val="00A777F6"/>
    <w:rsid w:val="00A779FC"/>
    <w:rsid w:val="00A77CCB"/>
    <w:rsid w:val="00A77EC0"/>
    <w:rsid w:val="00A77F43"/>
    <w:rsid w:val="00A8021C"/>
    <w:rsid w:val="00A80256"/>
    <w:rsid w:val="00A80261"/>
    <w:rsid w:val="00A80BCD"/>
    <w:rsid w:val="00A80FE5"/>
    <w:rsid w:val="00A81715"/>
    <w:rsid w:val="00A81818"/>
    <w:rsid w:val="00A81F7F"/>
    <w:rsid w:val="00A8211D"/>
    <w:rsid w:val="00A8272F"/>
    <w:rsid w:val="00A828FC"/>
    <w:rsid w:val="00A82924"/>
    <w:rsid w:val="00A8296B"/>
    <w:rsid w:val="00A82BFB"/>
    <w:rsid w:val="00A82C3C"/>
    <w:rsid w:val="00A82C6C"/>
    <w:rsid w:val="00A8302C"/>
    <w:rsid w:val="00A8363F"/>
    <w:rsid w:val="00A83BB8"/>
    <w:rsid w:val="00A83BF1"/>
    <w:rsid w:val="00A83D0B"/>
    <w:rsid w:val="00A84D71"/>
    <w:rsid w:val="00A84DAD"/>
    <w:rsid w:val="00A854E5"/>
    <w:rsid w:val="00A8587A"/>
    <w:rsid w:val="00A85B47"/>
    <w:rsid w:val="00A85D07"/>
    <w:rsid w:val="00A85D85"/>
    <w:rsid w:val="00A85DAB"/>
    <w:rsid w:val="00A85E88"/>
    <w:rsid w:val="00A8608A"/>
    <w:rsid w:val="00A86410"/>
    <w:rsid w:val="00A86A3D"/>
    <w:rsid w:val="00A86B72"/>
    <w:rsid w:val="00A86E60"/>
    <w:rsid w:val="00A875C7"/>
    <w:rsid w:val="00A8795E"/>
    <w:rsid w:val="00A87AB9"/>
    <w:rsid w:val="00A900C5"/>
    <w:rsid w:val="00A90405"/>
    <w:rsid w:val="00A906D9"/>
    <w:rsid w:val="00A9084D"/>
    <w:rsid w:val="00A90DE9"/>
    <w:rsid w:val="00A910B9"/>
    <w:rsid w:val="00A91355"/>
    <w:rsid w:val="00A91570"/>
    <w:rsid w:val="00A916BE"/>
    <w:rsid w:val="00A91726"/>
    <w:rsid w:val="00A9204F"/>
    <w:rsid w:val="00A9232E"/>
    <w:rsid w:val="00A923D6"/>
    <w:rsid w:val="00A924B9"/>
    <w:rsid w:val="00A927DD"/>
    <w:rsid w:val="00A92B3B"/>
    <w:rsid w:val="00A93370"/>
    <w:rsid w:val="00A935F0"/>
    <w:rsid w:val="00A93868"/>
    <w:rsid w:val="00A938A7"/>
    <w:rsid w:val="00A9390A"/>
    <w:rsid w:val="00A9498C"/>
    <w:rsid w:val="00A94B2B"/>
    <w:rsid w:val="00A94EC5"/>
    <w:rsid w:val="00A95147"/>
    <w:rsid w:val="00A958EE"/>
    <w:rsid w:val="00A9592A"/>
    <w:rsid w:val="00A95A7D"/>
    <w:rsid w:val="00A95B05"/>
    <w:rsid w:val="00A95CB9"/>
    <w:rsid w:val="00A95DFF"/>
    <w:rsid w:val="00A96187"/>
    <w:rsid w:val="00A96485"/>
    <w:rsid w:val="00A96501"/>
    <w:rsid w:val="00A96AC7"/>
    <w:rsid w:val="00A96D73"/>
    <w:rsid w:val="00A97020"/>
    <w:rsid w:val="00A973FE"/>
    <w:rsid w:val="00A976A4"/>
    <w:rsid w:val="00A97837"/>
    <w:rsid w:val="00A97949"/>
    <w:rsid w:val="00A979F9"/>
    <w:rsid w:val="00AA0263"/>
    <w:rsid w:val="00AA0431"/>
    <w:rsid w:val="00AA0494"/>
    <w:rsid w:val="00AA1465"/>
    <w:rsid w:val="00AA1593"/>
    <w:rsid w:val="00AA15CD"/>
    <w:rsid w:val="00AA21F5"/>
    <w:rsid w:val="00AA2479"/>
    <w:rsid w:val="00AA3621"/>
    <w:rsid w:val="00AA3903"/>
    <w:rsid w:val="00AA3D35"/>
    <w:rsid w:val="00AA3FD6"/>
    <w:rsid w:val="00AA4181"/>
    <w:rsid w:val="00AA4195"/>
    <w:rsid w:val="00AA42C1"/>
    <w:rsid w:val="00AA4319"/>
    <w:rsid w:val="00AA43DE"/>
    <w:rsid w:val="00AA4B56"/>
    <w:rsid w:val="00AA4C8B"/>
    <w:rsid w:val="00AA4F07"/>
    <w:rsid w:val="00AA5251"/>
    <w:rsid w:val="00AA59C6"/>
    <w:rsid w:val="00AA5B40"/>
    <w:rsid w:val="00AA6815"/>
    <w:rsid w:val="00AA6A5C"/>
    <w:rsid w:val="00AA6F42"/>
    <w:rsid w:val="00AB010F"/>
    <w:rsid w:val="00AB0368"/>
    <w:rsid w:val="00AB07A4"/>
    <w:rsid w:val="00AB08E6"/>
    <w:rsid w:val="00AB12D5"/>
    <w:rsid w:val="00AB21B3"/>
    <w:rsid w:val="00AB2A12"/>
    <w:rsid w:val="00AB2C60"/>
    <w:rsid w:val="00AB2FD8"/>
    <w:rsid w:val="00AB308C"/>
    <w:rsid w:val="00AB3102"/>
    <w:rsid w:val="00AB316D"/>
    <w:rsid w:val="00AB316F"/>
    <w:rsid w:val="00AB321C"/>
    <w:rsid w:val="00AB3363"/>
    <w:rsid w:val="00AB35B2"/>
    <w:rsid w:val="00AB390D"/>
    <w:rsid w:val="00AB3DA7"/>
    <w:rsid w:val="00AB427B"/>
    <w:rsid w:val="00AB42AA"/>
    <w:rsid w:val="00AB4750"/>
    <w:rsid w:val="00AB49DF"/>
    <w:rsid w:val="00AB5116"/>
    <w:rsid w:val="00AB5E43"/>
    <w:rsid w:val="00AB5E77"/>
    <w:rsid w:val="00AB6474"/>
    <w:rsid w:val="00AB64F1"/>
    <w:rsid w:val="00AB6783"/>
    <w:rsid w:val="00AB6A5D"/>
    <w:rsid w:val="00AB7316"/>
    <w:rsid w:val="00AB74BA"/>
    <w:rsid w:val="00AB75D5"/>
    <w:rsid w:val="00AB788D"/>
    <w:rsid w:val="00AC0334"/>
    <w:rsid w:val="00AC0708"/>
    <w:rsid w:val="00AC0A58"/>
    <w:rsid w:val="00AC13EF"/>
    <w:rsid w:val="00AC1716"/>
    <w:rsid w:val="00AC1AE2"/>
    <w:rsid w:val="00AC1B0C"/>
    <w:rsid w:val="00AC20DD"/>
    <w:rsid w:val="00AC21F3"/>
    <w:rsid w:val="00AC234D"/>
    <w:rsid w:val="00AC2461"/>
    <w:rsid w:val="00AC2833"/>
    <w:rsid w:val="00AC3490"/>
    <w:rsid w:val="00AC375D"/>
    <w:rsid w:val="00AC3890"/>
    <w:rsid w:val="00AC38E8"/>
    <w:rsid w:val="00AC3B6E"/>
    <w:rsid w:val="00AC490D"/>
    <w:rsid w:val="00AC49C5"/>
    <w:rsid w:val="00AC4CCB"/>
    <w:rsid w:val="00AC5418"/>
    <w:rsid w:val="00AC544E"/>
    <w:rsid w:val="00AC5B6A"/>
    <w:rsid w:val="00AC6374"/>
    <w:rsid w:val="00AC68A2"/>
    <w:rsid w:val="00AC79C9"/>
    <w:rsid w:val="00AC7CF8"/>
    <w:rsid w:val="00AC7D13"/>
    <w:rsid w:val="00AD01EB"/>
    <w:rsid w:val="00AD0503"/>
    <w:rsid w:val="00AD092F"/>
    <w:rsid w:val="00AD0968"/>
    <w:rsid w:val="00AD0BC5"/>
    <w:rsid w:val="00AD0EA8"/>
    <w:rsid w:val="00AD0EF6"/>
    <w:rsid w:val="00AD0F40"/>
    <w:rsid w:val="00AD13D4"/>
    <w:rsid w:val="00AD1C32"/>
    <w:rsid w:val="00AD1E94"/>
    <w:rsid w:val="00AD2510"/>
    <w:rsid w:val="00AD2945"/>
    <w:rsid w:val="00AD3511"/>
    <w:rsid w:val="00AD3889"/>
    <w:rsid w:val="00AD38C8"/>
    <w:rsid w:val="00AD3BD6"/>
    <w:rsid w:val="00AD3E41"/>
    <w:rsid w:val="00AD3EFF"/>
    <w:rsid w:val="00AD4F0C"/>
    <w:rsid w:val="00AD5561"/>
    <w:rsid w:val="00AD588A"/>
    <w:rsid w:val="00AD5A71"/>
    <w:rsid w:val="00AD6046"/>
    <w:rsid w:val="00AD60DA"/>
    <w:rsid w:val="00AD636C"/>
    <w:rsid w:val="00AD6AA5"/>
    <w:rsid w:val="00AD6F0A"/>
    <w:rsid w:val="00AD7C40"/>
    <w:rsid w:val="00AD7D01"/>
    <w:rsid w:val="00AD7EA4"/>
    <w:rsid w:val="00AE036B"/>
    <w:rsid w:val="00AE049E"/>
    <w:rsid w:val="00AE0636"/>
    <w:rsid w:val="00AE0B31"/>
    <w:rsid w:val="00AE0B9F"/>
    <w:rsid w:val="00AE0D21"/>
    <w:rsid w:val="00AE125E"/>
    <w:rsid w:val="00AE131E"/>
    <w:rsid w:val="00AE143D"/>
    <w:rsid w:val="00AE1831"/>
    <w:rsid w:val="00AE1CFB"/>
    <w:rsid w:val="00AE200B"/>
    <w:rsid w:val="00AE2CBC"/>
    <w:rsid w:val="00AE3CCF"/>
    <w:rsid w:val="00AE4244"/>
    <w:rsid w:val="00AE4290"/>
    <w:rsid w:val="00AE4492"/>
    <w:rsid w:val="00AE4703"/>
    <w:rsid w:val="00AE4B1F"/>
    <w:rsid w:val="00AE4FE0"/>
    <w:rsid w:val="00AE5067"/>
    <w:rsid w:val="00AE5371"/>
    <w:rsid w:val="00AE5526"/>
    <w:rsid w:val="00AE56A7"/>
    <w:rsid w:val="00AE56EC"/>
    <w:rsid w:val="00AE5E03"/>
    <w:rsid w:val="00AE5EFB"/>
    <w:rsid w:val="00AE5FCA"/>
    <w:rsid w:val="00AE6B91"/>
    <w:rsid w:val="00AE6C16"/>
    <w:rsid w:val="00AE6D40"/>
    <w:rsid w:val="00AE7A55"/>
    <w:rsid w:val="00AE7FB8"/>
    <w:rsid w:val="00AF0329"/>
    <w:rsid w:val="00AF0748"/>
    <w:rsid w:val="00AF08A6"/>
    <w:rsid w:val="00AF0957"/>
    <w:rsid w:val="00AF1370"/>
    <w:rsid w:val="00AF1554"/>
    <w:rsid w:val="00AF1A8C"/>
    <w:rsid w:val="00AF1EF3"/>
    <w:rsid w:val="00AF24FE"/>
    <w:rsid w:val="00AF27D0"/>
    <w:rsid w:val="00AF2A67"/>
    <w:rsid w:val="00AF2BDD"/>
    <w:rsid w:val="00AF2D67"/>
    <w:rsid w:val="00AF3017"/>
    <w:rsid w:val="00AF35A8"/>
    <w:rsid w:val="00AF3987"/>
    <w:rsid w:val="00AF3BB1"/>
    <w:rsid w:val="00AF3CBD"/>
    <w:rsid w:val="00AF3FBE"/>
    <w:rsid w:val="00AF4346"/>
    <w:rsid w:val="00AF4AFC"/>
    <w:rsid w:val="00AF5112"/>
    <w:rsid w:val="00AF5525"/>
    <w:rsid w:val="00AF5CCC"/>
    <w:rsid w:val="00AF5CEF"/>
    <w:rsid w:val="00AF6134"/>
    <w:rsid w:val="00AF6244"/>
    <w:rsid w:val="00AF63BD"/>
    <w:rsid w:val="00AF6429"/>
    <w:rsid w:val="00AF6473"/>
    <w:rsid w:val="00AF683D"/>
    <w:rsid w:val="00AF701A"/>
    <w:rsid w:val="00AF7031"/>
    <w:rsid w:val="00AF70AB"/>
    <w:rsid w:val="00AF760C"/>
    <w:rsid w:val="00AF76C6"/>
    <w:rsid w:val="00AF7AFF"/>
    <w:rsid w:val="00AF7BA9"/>
    <w:rsid w:val="00B0022E"/>
    <w:rsid w:val="00B00392"/>
    <w:rsid w:val="00B00A0E"/>
    <w:rsid w:val="00B0119C"/>
    <w:rsid w:val="00B011DC"/>
    <w:rsid w:val="00B01284"/>
    <w:rsid w:val="00B01C7E"/>
    <w:rsid w:val="00B01ED0"/>
    <w:rsid w:val="00B01F35"/>
    <w:rsid w:val="00B01FD2"/>
    <w:rsid w:val="00B021D2"/>
    <w:rsid w:val="00B02463"/>
    <w:rsid w:val="00B02A12"/>
    <w:rsid w:val="00B02D32"/>
    <w:rsid w:val="00B02E65"/>
    <w:rsid w:val="00B0315E"/>
    <w:rsid w:val="00B03621"/>
    <w:rsid w:val="00B03932"/>
    <w:rsid w:val="00B03E07"/>
    <w:rsid w:val="00B043F8"/>
    <w:rsid w:val="00B045F9"/>
    <w:rsid w:val="00B04C49"/>
    <w:rsid w:val="00B05609"/>
    <w:rsid w:val="00B0563E"/>
    <w:rsid w:val="00B05765"/>
    <w:rsid w:val="00B05CB9"/>
    <w:rsid w:val="00B06A0E"/>
    <w:rsid w:val="00B06A9C"/>
    <w:rsid w:val="00B06FFE"/>
    <w:rsid w:val="00B0707B"/>
    <w:rsid w:val="00B07633"/>
    <w:rsid w:val="00B07637"/>
    <w:rsid w:val="00B0772F"/>
    <w:rsid w:val="00B07B93"/>
    <w:rsid w:val="00B07B97"/>
    <w:rsid w:val="00B07E16"/>
    <w:rsid w:val="00B07E6C"/>
    <w:rsid w:val="00B1032C"/>
    <w:rsid w:val="00B10B62"/>
    <w:rsid w:val="00B10F3A"/>
    <w:rsid w:val="00B116FE"/>
    <w:rsid w:val="00B118C1"/>
    <w:rsid w:val="00B11B31"/>
    <w:rsid w:val="00B11CD1"/>
    <w:rsid w:val="00B11CFE"/>
    <w:rsid w:val="00B11DD9"/>
    <w:rsid w:val="00B11E51"/>
    <w:rsid w:val="00B11FC0"/>
    <w:rsid w:val="00B122AD"/>
    <w:rsid w:val="00B122C9"/>
    <w:rsid w:val="00B12A6F"/>
    <w:rsid w:val="00B12D8F"/>
    <w:rsid w:val="00B1349D"/>
    <w:rsid w:val="00B135B4"/>
    <w:rsid w:val="00B1374E"/>
    <w:rsid w:val="00B13B10"/>
    <w:rsid w:val="00B141B6"/>
    <w:rsid w:val="00B14209"/>
    <w:rsid w:val="00B143FA"/>
    <w:rsid w:val="00B149F6"/>
    <w:rsid w:val="00B14BD6"/>
    <w:rsid w:val="00B150E6"/>
    <w:rsid w:val="00B15496"/>
    <w:rsid w:val="00B1550D"/>
    <w:rsid w:val="00B1559B"/>
    <w:rsid w:val="00B15B3E"/>
    <w:rsid w:val="00B16663"/>
    <w:rsid w:val="00B16870"/>
    <w:rsid w:val="00B16D9A"/>
    <w:rsid w:val="00B1738A"/>
    <w:rsid w:val="00B176D6"/>
    <w:rsid w:val="00B17A5D"/>
    <w:rsid w:val="00B17BF3"/>
    <w:rsid w:val="00B17EAC"/>
    <w:rsid w:val="00B17F03"/>
    <w:rsid w:val="00B20197"/>
    <w:rsid w:val="00B202DB"/>
    <w:rsid w:val="00B20578"/>
    <w:rsid w:val="00B2082C"/>
    <w:rsid w:val="00B20886"/>
    <w:rsid w:val="00B20B9E"/>
    <w:rsid w:val="00B212C0"/>
    <w:rsid w:val="00B21816"/>
    <w:rsid w:val="00B2194A"/>
    <w:rsid w:val="00B21A7C"/>
    <w:rsid w:val="00B21B42"/>
    <w:rsid w:val="00B21D5B"/>
    <w:rsid w:val="00B21DE5"/>
    <w:rsid w:val="00B226B7"/>
    <w:rsid w:val="00B22A6F"/>
    <w:rsid w:val="00B23790"/>
    <w:rsid w:val="00B238B5"/>
    <w:rsid w:val="00B238DB"/>
    <w:rsid w:val="00B24017"/>
    <w:rsid w:val="00B241B1"/>
    <w:rsid w:val="00B24710"/>
    <w:rsid w:val="00B24878"/>
    <w:rsid w:val="00B24A69"/>
    <w:rsid w:val="00B24AB1"/>
    <w:rsid w:val="00B2559A"/>
    <w:rsid w:val="00B25606"/>
    <w:rsid w:val="00B257E8"/>
    <w:rsid w:val="00B258F4"/>
    <w:rsid w:val="00B259C2"/>
    <w:rsid w:val="00B259DB"/>
    <w:rsid w:val="00B25E65"/>
    <w:rsid w:val="00B26957"/>
    <w:rsid w:val="00B269C6"/>
    <w:rsid w:val="00B269FD"/>
    <w:rsid w:val="00B26A42"/>
    <w:rsid w:val="00B2713D"/>
    <w:rsid w:val="00B27255"/>
    <w:rsid w:val="00B2746E"/>
    <w:rsid w:val="00B27A47"/>
    <w:rsid w:val="00B300CE"/>
    <w:rsid w:val="00B302A6"/>
    <w:rsid w:val="00B302BA"/>
    <w:rsid w:val="00B3045B"/>
    <w:rsid w:val="00B304B4"/>
    <w:rsid w:val="00B30ED8"/>
    <w:rsid w:val="00B3113A"/>
    <w:rsid w:val="00B31586"/>
    <w:rsid w:val="00B315DE"/>
    <w:rsid w:val="00B31DA9"/>
    <w:rsid w:val="00B32570"/>
    <w:rsid w:val="00B32C4F"/>
    <w:rsid w:val="00B331F0"/>
    <w:rsid w:val="00B334C6"/>
    <w:rsid w:val="00B33BB3"/>
    <w:rsid w:val="00B33E68"/>
    <w:rsid w:val="00B33F26"/>
    <w:rsid w:val="00B342D4"/>
    <w:rsid w:val="00B34391"/>
    <w:rsid w:val="00B3462A"/>
    <w:rsid w:val="00B34B97"/>
    <w:rsid w:val="00B351B7"/>
    <w:rsid w:val="00B35397"/>
    <w:rsid w:val="00B355D8"/>
    <w:rsid w:val="00B358BE"/>
    <w:rsid w:val="00B359E4"/>
    <w:rsid w:val="00B36174"/>
    <w:rsid w:val="00B36450"/>
    <w:rsid w:val="00B36596"/>
    <w:rsid w:val="00B36B95"/>
    <w:rsid w:val="00B36D8D"/>
    <w:rsid w:val="00B3721F"/>
    <w:rsid w:val="00B3729A"/>
    <w:rsid w:val="00B379F8"/>
    <w:rsid w:val="00B37F74"/>
    <w:rsid w:val="00B400B0"/>
    <w:rsid w:val="00B401F7"/>
    <w:rsid w:val="00B40666"/>
    <w:rsid w:val="00B40981"/>
    <w:rsid w:val="00B40EA3"/>
    <w:rsid w:val="00B40FBC"/>
    <w:rsid w:val="00B40FC0"/>
    <w:rsid w:val="00B40FCA"/>
    <w:rsid w:val="00B4103C"/>
    <w:rsid w:val="00B41080"/>
    <w:rsid w:val="00B41206"/>
    <w:rsid w:val="00B416FD"/>
    <w:rsid w:val="00B41952"/>
    <w:rsid w:val="00B41F2D"/>
    <w:rsid w:val="00B42124"/>
    <w:rsid w:val="00B42604"/>
    <w:rsid w:val="00B42864"/>
    <w:rsid w:val="00B431A6"/>
    <w:rsid w:val="00B43331"/>
    <w:rsid w:val="00B4344D"/>
    <w:rsid w:val="00B436CF"/>
    <w:rsid w:val="00B436E9"/>
    <w:rsid w:val="00B439EE"/>
    <w:rsid w:val="00B43D61"/>
    <w:rsid w:val="00B440C7"/>
    <w:rsid w:val="00B4445A"/>
    <w:rsid w:val="00B448F3"/>
    <w:rsid w:val="00B44BCA"/>
    <w:rsid w:val="00B44E1B"/>
    <w:rsid w:val="00B451EB"/>
    <w:rsid w:val="00B45D27"/>
    <w:rsid w:val="00B45EB0"/>
    <w:rsid w:val="00B46081"/>
    <w:rsid w:val="00B460E4"/>
    <w:rsid w:val="00B4655D"/>
    <w:rsid w:val="00B46AAA"/>
    <w:rsid w:val="00B46B0B"/>
    <w:rsid w:val="00B46BD6"/>
    <w:rsid w:val="00B46D7A"/>
    <w:rsid w:val="00B46EF7"/>
    <w:rsid w:val="00B46F1B"/>
    <w:rsid w:val="00B47197"/>
    <w:rsid w:val="00B472FD"/>
    <w:rsid w:val="00B473E6"/>
    <w:rsid w:val="00B47685"/>
    <w:rsid w:val="00B47747"/>
    <w:rsid w:val="00B47BDA"/>
    <w:rsid w:val="00B47D6B"/>
    <w:rsid w:val="00B50439"/>
    <w:rsid w:val="00B504FF"/>
    <w:rsid w:val="00B50B76"/>
    <w:rsid w:val="00B514EF"/>
    <w:rsid w:val="00B51508"/>
    <w:rsid w:val="00B5172A"/>
    <w:rsid w:val="00B517DC"/>
    <w:rsid w:val="00B518D0"/>
    <w:rsid w:val="00B51B9C"/>
    <w:rsid w:val="00B51D33"/>
    <w:rsid w:val="00B51F8D"/>
    <w:rsid w:val="00B5214E"/>
    <w:rsid w:val="00B52187"/>
    <w:rsid w:val="00B52534"/>
    <w:rsid w:val="00B52632"/>
    <w:rsid w:val="00B52AFF"/>
    <w:rsid w:val="00B52B08"/>
    <w:rsid w:val="00B53366"/>
    <w:rsid w:val="00B53E32"/>
    <w:rsid w:val="00B542ED"/>
    <w:rsid w:val="00B54AFF"/>
    <w:rsid w:val="00B54B0B"/>
    <w:rsid w:val="00B54CBF"/>
    <w:rsid w:val="00B550A2"/>
    <w:rsid w:val="00B555BD"/>
    <w:rsid w:val="00B5579A"/>
    <w:rsid w:val="00B558A0"/>
    <w:rsid w:val="00B558E7"/>
    <w:rsid w:val="00B55CFF"/>
    <w:rsid w:val="00B56015"/>
    <w:rsid w:val="00B56C88"/>
    <w:rsid w:val="00B570EE"/>
    <w:rsid w:val="00B57593"/>
    <w:rsid w:val="00B578B3"/>
    <w:rsid w:val="00B60029"/>
    <w:rsid w:val="00B604B7"/>
    <w:rsid w:val="00B60757"/>
    <w:rsid w:val="00B608FE"/>
    <w:rsid w:val="00B60B13"/>
    <w:rsid w:val="00B60B8D"/>
    <w:rsid w:val="00B60FF1"/>
    <w:rsid w:val="00B61102"/>
    <w:rsid w:val="00B61642"/>
    <w:rsid w:val="00B61897"/>
    <w:rsid w:val="00B61CE1"/>
    <w:rsid w:val="00B61E98"/>
    <w:rsid w:val="00B620AB"/>
    <w:rsid w:val="00B6363E"/>
    <w:rsid w:val="00B639C2"/>
    <w:rsid w:val="00B63C07"/>
    <w:rsid w:val="00B63FB2"/>
    <w:rsid w:val="00B64071"/>
    <w:rsid w:val="00B64E07"/>
    <w:rsid w:val="00B65361"/>
    <w:rsid w:val="00B653DD"/>
    <w:rsid w:val="00B65794"/>
    <w:rsid w:val="00B666B3"/>
    <w:rsid w:val="00B6699F"/>
    <w:rsid w:val="00B676A0"/>
    <w:rsid w:val="00B67A3C"/>
    <w:rsid w:val="00B67F59"/>
    <w:rsid w:val="00B701D7"/>
    <w:rsid w:val="00B70788"/>
    <w:rsid w:val="00B70871"/>
    <w:rsid w:val="00B71017"/>
    <w:rsid w:val="00B7125B"/>
    <w:rsid w:val="00B712D2"/>
    <w:rsid w:val="00B71C18"/>
    <w:rsid w:val="00B721CA"/>
    <w:rsid w:val="00B721F7"/>
    <w:rsid w:val="00B7221F"/>
    <w:rsid w:val="00B72224"/>
    <w:rsid w:val="00B725DE"/>
    <w:rsid w:val="00B72A35"/>
    <w:rsid w:val="00B73198"/>
    <w:rsid w:val="00B731D3"/>
    <w:rsid w:val="00B73322"/>
    <w:rsid w:val="00B733B2"/>
    <w:rsid w:val="00B7377B"/>
    <w:rsid w:val="00B73D88"/>
    <w:rsid w:val="00B73FF5"/>
    <w:rsid w:val="00B744F0"/>
    <w:rsid w:val="00B74A24"/>
    <w:rsid w:val="00B750AE"/>
    <w:rsid w:val="00B751F8"/>
    <w:rsid w:val="00B75605"/>
    <w:rsid w:val="00B768DF"/>
    <w:rsid w:val="00B76B0A"/>
    <w:rsid w:val="00B800EF"/>
    <w:rsid w:val="00B805FB"/>
    <w:rsid w:val="00B806F3"/>
    <w:rsid w:val="00B80C34"/>
    <w:rsid w:val="00B8168A"/>
    <w:rsid w:val="00B818A6"/>
    <w:rsid w:val="00B8194F"/>
    <w:rsid w:val="00B819A2"/>
    <w:rsid w:val="00B81DFE"/>
    <w:rsid w:val="00B81F14"/>
    <w:rsid w:val="00B82789"/>
    <w:rsid w:val="00B8288C"/>
    <w:rsid w:val="00B82A43"/>
    <w:rsid w:val="00B82C60"/>
    <w:rsid w:val="00B82F99"/>
    <w:rsid w:val="00B83169"/>
    <w:rsid w:val="00B831B9"/>
    <w:rsid w:val="00B835CD"/>
    <w:rsid w:val="00B83605"/>
    <w:rsid w:val="00B83E25"/>
    <w:rsid w:val="00B8464F"/>
    <w:rsid w:val="00B84A4F"/>
    <w:rsid w:val="00B84B2E"/>
    <w:rsid w:val="00B84D78"/>
    <w:rsid w:val="00B84EA7"/>
    <w:rsid w:val="00B8517B"/>
    <w:rsid w:val="00B851C8"/>
    <w:rsid w:val="00B85274"/>
    <w:rsid w:val="00B85348"/>
    <w:rsid w:val="00B8584D"/>
    <w:rsid w:val="00B858FB"/>
    <w:rsid w:val="00B85BDF"/>
    <w:rsid w:val="00B8605C"/>
    <w:rsid w:val="00B860A6"/>
    <w:rsid w:val="00B86104"/>
    <w:rsid w:val="00B861F2"/>
    <w:rsid w:val="00B86252"/>
    <w:rsid w:val="00B8679D"/>
    <w:rsid w:val="00B86E44"/>
    <w:rsid w:val="00B86EC8"/>
    <w:rsid w:val="00B86EE0"/>
    <w:rsid w:val="00B87699"/>
    <w:rsid w:val="00B878F3"/>
    <w:rsid w:val="00B87F4B"/>
    <w:rsid w:val="00B906AD"/>
    <w:rsid w:val="00B90C36"/>
    <w:rsid w:val="00B90DE4"/>
    <w:rsid w:val="00B90E2D"/>
    <w:rsid w:val="00B90EA5"/>
    <w:rsid w:val="00B9109A"/>
    <w:rsid w:val="00B911B7"/>
    <w:rsid w:val="00B91209"/>
    <w:rsid w:val="00B915A2"/>
    <w:rsid w:val="00B915CE"/>
    <w:rsid w:val="00B91E2A"/>
    <w:rsid w:val="00B92177"/>
    <w:rsid w:val="00B92910"/>
    <w:rsid w:val="00B92BDD"/>
    <w:rsid w:val="00B9329A"/>
    <w:rsid w:val="00B9347A"/>
    <w:rsid w:val="00B93543"/>
    <w:rsid w:val="00B93929"/>
    <w:rsid w:val="00B9394D"/>
    <w:rsid w:val="00B93ABD"/>
    <w:rsid w:val="00B93D63"/>
    <w:rsid w:val="00B93F22"/>
    <w:rsid w:val="00B94059"/>
    <w:rsid w:val="00B940CA"/>
    <w:rsid w:val="00B94CA6"/>
    <w:rsid w:val="00B95E0B"/>
    <w:rsid w:val="00B95F23"/>
    <w:rsid w:val="00B964F6"/>
    <w:rsid w:val="00B96B59"/>
    <w:rsid w:val="00B96D32"/>
    <w:rsid w:val="00B96D87"/>
    <w:rsid w:val="00B96DB0"/>
    <w:rsid w:val="00B9701B"/>
    <w:rsid w:val="00B97054"/>
    <w:rsid w:val="00B97349"/>
    <w:rsid w:val="00B97585"/>
    <w:rsid w:val="00B977C5"/>
    <w:rsid w:val="00B97C67"/>
    <w:rsid w:val="00B97F8B"/>
    <w:rsid w:val="00B97FBE"/>
    <w:rsid w:val="00BA056E"/>
    <w:rsid w:val="00BA0643"/>
    <w:rsid w:val="00BA09BE"/>
    <w:rsid w:val="00BA0C98"/>
    <w:rsid w:val="00BA0FAA"/>
    <w:rsid w:val="00BA109F"/>
    <w:rsid w:val="00BA1400"/>
    <w:rsid w:val="00BA1750"/>
    <w:rsid w:val="00BA1A15"/>
    <w:rsid w:val="00BA1D72"/>
    <w:rsid w:val="00BA1DF6"/>
    <w:rsid w:val="00BA20C5"/>
    <w:rsid w:val="00BA2435"/>
    <w:rsid w:val="00BA26DD"/>
    <w:rsid w:val="00BA2B5C"/>
    <w:rsid w:val="00BA329B"/>
    <w:rsid w:val="00BA3768"/>
    <w:rsid w:val="00BA3AAA"/>
    <w:rsid w:val="00BA3C09"/>
    <w:rsid w:val="00BA3C29"/>
    <w:rsid w:val="00BA3F14"/>
    <w:rsid w:val="00BA5382"/>
    <w:rsid w:val="00BA606A"/>
    <w:rsid w:val="00BA63FE"/>
    <w:rsid w:val="00BA65BE"/>
    <w:rsid w:val="00BA7488"/>
    <w:rsid w:val="00BA75B4"/>
    <w:rsid w:val="00BA76A6"/>
    <w:rsid w:val="00BB0368"/>
    <w:rsid w:val="00BB03CB"/>
    <w:rsid w:val="00BB04B4"/>
    <w:rsid w:val="00BB0FDD"/>
    <w:rsid w:val="00BB1307"/>
    <w:rsid w:val="00BB16AD"/>
    <w:rsid w:val="00BB190A"/>
    <w:rsid w:val="00BB1D81"/>
    <w:rsid w:val="00BB1F20"/>
    <w:rsid w:val="00BB2B20"/>
    <w:rsid w:val="00BB2C38"/>
    <w:rsid w:val="00BB37CB"/>
    <w:rsid w:val="00BB395B"/>
    <w:rsid w:val="00BB49F5"/>
    <w:rsid w:val="00BB50E8"/>
    <w:rsid w:val="00BB5336"/>
    <w:rsid w:val="00BB59B5"/>
    <w:rsid w:val="00BB5DD6"/>
    <w:rsid w:val="00BB63C3"/>
    <w:rsid w:val="00BB6440"/>
    <w:rsid w:val="00BB672F"/>
    <w:rsid w:val="00BB709D"/>
    <w:rsid w:val="00BB72E2"/>
    <w:rsid w:val="00BB7946"/>
    <w:rsid w:val="00BB79DE"/>
    <w:rsid w:val="00BB7C0D"/>
    <w:rsid w:val="00BB7C77"/>
    <w:rsid w:val="00BB7F86"/>
    <w:rsid w:val="00BC0485"/>
    <w:rsid w:val="00BC04E0"/>
    <w:rsid w:val="00BC06BA"/>
    <w:rsid w:val="00BC070D"/>
    <w:rsid w:val="00BC0712"/>
    <w:rsid w:val="00BC0790"/>
    <w:rsid w:val="00BC0FF0"/>
    <w:rsid w:val="00BC10F6"/>
    <w:rsid w:val="00BC13EB"/>
    <w:rsid w:val="00BC1591"/>
    <w:rsid w:val="00BC1604"/>
    <w:rsid w:val="00BC19C1"/>
    <w:rsid w:val="00BC1E4D"/>
    <w:rsid w:val="00BC2859"/>
    <w:rsid w:val="00BC2CF3"/>
    <w:rsid w:val="00BC2D73"/>
    <w:rsid w:val="00BC3237"/>
    <w:rsid w:val="00BC358A"/>
    <w:rsid w:val="00BC38F8"/>
    <w:rsid w:val="00BC3A6B"/>
    <w:rsid w:val="00BC439A"/>
    <w:rsid w:val="00BC45B1"/>
    <w:rsid w:val="00BC467C"/>
    <w:rsid w:val="00BC5C8C"/>
    <w:rsid w:val="00BC6BA1"/>
    <w:rsid w:val="00BC6BCD"/>
    <w:rsid w:val="00BC6C37"/>
    <w:rsid w:val="00BC6F99"/>
    <w:rsid w:val="00BC7009"/>
    <w:rsid w:val="00BC7236"/>
    <w:rsid w:val="00BC7328"/>
    <w:rsid w:val="00BC7940"/>
    <w:rsid w:val="00BC7A2C"/>
    <w:rsid w:val="00BC7D5C"/>
    <w:rsid w:val="00BC7EB0"/>
    <w:rsid w:val="00BD01F8"/>
    <w:rsid w:val="00BD02A3"/>
    <w:rsid w:val="00BD0399"/>
    <w:rsid w:val="00BD03A8"/>
    <w:rsid w:val="00BD0403"/>
    <w:rsid w:val="00BD0627"/>
    <w:rsid w:val="00BD0708"/>
    <w:rsid w:val="00BD075A"/>
    <w:rsid w:val="00BD087B"/>
    <w:rsid w:val="00BD0EB6"/>
    <w:rsid w:val="00BD11BC"/>
    <w:rsid w:val="00BD17BA"/>
    <w:rsid w:val="00BD2001"/>
    <w:rsid w:val="00BD2AEF"/>
    <w:rsid w:val="00BD2F20"/>
    <w:rsid w:val="00BD35E7"/>
    <w:rsid w:val="00BD3665"/>
    <w:rsid w:val="00BD3840"/>
    <w:rsid w:val="00BD3AE4"/>
    <w:rsid w:val="00BD3D19"/>
    <w:rsid w:val="00BD3D86"/>
    <w:rsid w:val="00BD3E84"/>
    <w:rsid w:val="00BD4212"/>
    <w:rsid w:val="00BD4763"/>
    <w:rsid w:val="00BD49A5"/>
    <w:rsid w:val="00BD4B96"/>
    <w:rsid w:val="00BD51E7"/>
    <w:rsid w:val="00BD52A7"/>
    <w:rsid w:val="00BD5560"/>
    <w:rsid w:val="00BD556C"/>
    <w:rsid w:val="00BD5DD9"/>
    <w:rsid w:val="00BD604F"/>
    <w:rsid w:val="00BD6734"/>
    <w:rsid w:val="00BD71A7"/>
    <w:rsid w:val="00BD7263"/>
    <w:rsid w:val="00BD737C"/>
    <w:rsid w:val="00BD7969"/>
    <w:rsid w:val="00BD7C91"/>
    <w:rsid w:val="00BD7FA4"/>
    <w:rsid w:val="00BD7FC8"/>
    <w:rsid w:val="00BE06B8"/>
    <w:rsid w:val="00BE0700"/>
    <w:rsid w:val="00BE0709"/>
    <w:rsid w:val="00BE103A"/>
    <w:rsid w:val="00BE1968"/>
    <w:rsid w:val="00BE1BAD"/>
    <w:rsid w:val="00BE1D4B"/>
    <w:rsid w:val="00BE2153"/>
    <w:rsid w:val="00BE238D"/>
    <w:rsid w:val="00BE2599"/>
    <w:rsid w:val="00BE27CE"/>
    <w:rsid w:val="00BE27F6"/>
    <w:rsid w:val="00BE2A56"/>
    <w:rsid w:val="00BE2B78"/>
    <w:rsid w:val="00BE3045"/>
    <w:rsid w:val="00BE3EB1"/>
    <w:rsid w:val="00BE41EA"/>
    <w:rsid w:val="00BE4342"/>
    <w:rsid w:val="00BE4582"/>
    <w:rsid w:val="00BE48D2"/>
    <w:rsid w:val="00BE4A27"/>
    <w:rsid w:val="00BE5288"/>
    <w:rsid w:val="00BE53FA"/>
    <w:rsid w:val="00BE594B"/>
    <w:rsid w:val="00BE59C7"/>
    <w:rsid w:val="00BE5D8F"/>
    <w:rsid w:val="00BE6158"/>
    <w:rsid w:val="00BE6A0F"/>
    <w:rsid w:val="00BE6D5D"/>
    <w:rsid w:val="00BE6DD5"/>
    <w:rsid w:val="00BE74C9"/>
    <w:rsid w:val="00BE76F7"/>
    <w:rsid w:val="00BE7A61"/>
    <w:rsid w:val="00BF017A"/>
    <w:rsid w:val="00BF02D9"/>
    <w:rsid w:val="00BF0528"/>
    <w:rsid w:val="00BF0903"/>
    <w:rsid w:val="00BF0A70"/>
    <w:rsid w:val="00BF0B47"/>
    <w:rsid w:val="00BF0EB7"/>
    <w:rsid w:val="00BF13E7"/>
    <w:rsid w:val="00BF14D2"/>
    <w:rsid w:val="00BF16E4"/>
    <w:rsid w:val="00BF189C"/>
    <w:rsid w:val="00BF218C"/>
    <w:rsid w:val="00BF231D"/>
    <w:rsid w:val="00BF23D0"/>
    <w:rsid w:val="00BF2B15"/>
    <w:rsid w:val="00BF2DA9"/>
    <w:rsid w:val="00BF2FDD"/>
    <w:rsid w:val="00BF3314"/>
    <w:rsid w:val="00BF3826"/>
    <w:rsid w:val="00BF38A6"/>
    <w:rsid w:val="00BF3D6B"/>
    <w:rsid w:val="00BF3DAB"/>
    <w:rsid w:val="00BF48AA"/>
    <w:rsid w:val="00BF4C85"/>
    <w:rsid w:val="00BF52EF"/>
    <w:rsid w:val="00BF545C"/>
    <w:rsid w:val="00BF5720"/>
    <w:rsid w:val="00BF5BA8"/>
    <w:rsid w:val="00BF618F"/>
    <w:rsid w:val="00BF75F2"/>
    <w:rsid w:val="00BF7AAE"/>
    <w:rsid w:val="00BF7ABC"/>
    <w:rsid w:val="00BF7C61"/>
    <w:rsid w:val="00C002C2"/>
    <w:rsid w:val="00C00668"/>
    <w:rsid w:val="00C00717"/>
    <w:rsid w:val="00C008F6"/>
    <w:rsid w:val="00C01316"/>
    <w:rsid w:val="00C0160C"/>
    <w:rsid w:val="00C01946"/>
    <w:rsid w:val="00C0204A"/>
    <w:rsid w:val="00C02334"/>
    <w:rsid w:val="00C02843"/>
    <w:rsid w:val="00C0299E"/>
    <w:rsid w:val="00C02BC4"/>
    <w:rsid w:val="00C02F1B"/>
    <w:rsid w:val="00C0332D"/>
    <w:rsid w:val="00C03509"/>
    <w:rsid w:val="00C03D52"/>
    <w:rsid w:val="00C04156"/>
    <w:rsid w:val="00C04221"/>
    <w:rsid w:val="00C044EA"/>
    <w:rsid w:val="00C04611"/>
    <w:rsid w:val="00C04962"/>
    <w:rsid w:val="00C04BF6"/>
    <w:rsid w:val="00C04C05"/>
    <w:rsid w:val="00C04E87"/>
    <w:rsid w:val="00C04FAB"/>
    <w:rsid w:val="00C0540A"/>
    <w:rsid w:val="00C05D6E"/>
    <w:rsid w:val="00C0610D"/>
    <w:rsid w:val="00C066BA"/>
    <w:rsid w:val="00C067E3"/>
    <w:rsid w:val="00C07311"/>
    <w:rsid w:val="00C075F3"/>
    <w:rsid w:val="00C07776"/>
    <w:rsid w:val="00C10404"/>
    <w:rsid w:val="00C10E6E"/>
    <w:rsid w:val="00C114BB"/>
    <w:rsid w:val="00C117F5"/>
    <w:rsid w:val="00C11C11"/>
    <w:rsid w:val="00C1200E"/>
    <w:rsid w:val="00C1204F"/>
    <w:rsid w:val="00C12252"/>
    <w:rsid w:val="00C12402"/>
    <w:rsid w:val="00C12590"/>
    <w:rsid w:val="00C12B5E"/>
    <w:rsid w:val="00C12F28"/>
    <w:rsid w:val="00C13238"/>
    <w:rsid w:val="00C13631"/>
    <w:rsid w:val="00C1497D"/>
    <w:rsid w:val="00C14ACF"/>
    <w:rsid w:val="00C14D27"/>
    <w:rsid w:val="00C14F73"/>
    <w:rsid w:val="00C150AE"/>
    <w:rsid w:val="00C156D0"/>
    <w:rsid w:val="00C15BE8"/>
    <w:rsid w:val="00C15EB1"/>
    <w:rsid w:val="00C16218"/>
    <w:rsid w:val="00C16305"/>
    <w:rsid w:val="00C16697"/>
    <w:rsid w:val="00C167BE"/>
    <w:rsid w:val="00C17018"/>
    <w:rsid w:val="00C17768"/>
    <w:rsid w:val="00C178E8"/>
    <w:rsid w:val="00C17AB1"/>
    <w:rsid w:val="00C17C0C"/>
    <w:rsid w:val="00C2013C"/>
    <w:rsid w:val="00C20404"/>
    <w:rsid w:val="00C20AFC"/>
    <w:rsid w:val="00C20D3D"/>
    <w:rsid w:val="00C219F0"/>
    <w:rsid w:val="00C21CF6"/>
    <w:rsid w:val="00C21FD3"/>
    <w:rsid w:val="00C221C6"/>
    <w:rsid w:val="00C221F6"/>
    <w:rsid w:val="00C222B7"/>
    <w:rsid w:val="00C223CD"/>
    <w:rsid w:val="00C224D4"/>
    <w:rsid w:val="00C22D6E"/>
    <w:rsid w:val="00C231D1"/>
    <w:rsid w:val="00C23224"/>
    <w:rsid w:val="00C23582"/>
    <w:rsid w:val="00C23871"/>
    <w:rsid w:val="00C23B8A"/>
    <w:rsid w:val="00C24185"/>
    <w:rsid w:val="00C24504"/>
    <w:rsid w:val="00C246D0"/>
    <w:rsid w:val="00C25048"/>
    <w:rsid w:val="00C25113"/>
    <w:rsid w:val="00C25534"/>
    <w:rsid w:val="00C25BC5"/>
    <w:rsid w:val="00C26443"/>
    <w:rsid w:val="00C26B20"/>
    <w:rsid w:val="00C26DF1"/>
    <w:rsid w:val="00C26F87"/>
    <w:rsid w:val="00C27050"/>
    <w:rsid w:val="00C271AB"/>
    <w:rsid w:val="00C273F9"/>
    <w:rsid w:val="00C27470"/>
    <w:rsid w:val="00C274D5"/>
    <w:rsid w:val="00C27737"/>
    <w:rsid w:val="00C3079B"/>
    <w:rsid w:val="00C30A9C"/>
    <w:rsid w:val="00C30F19"/>
    <w:rsid w:val="00C311B9"/>
    <w:rsid w:val="00C31228"/>
    <w:rsid w:val="00C31D4E"/>
    <w:rsid w:val="00C31F83"/>
    <w:rsid w:val="00C32105"/>
    <w:rsid w:val="00C32171"/>
    <w:rsid w:val="00C321E8"/>
    <w:rsid w:val="00C32407"/>
    <w:rsid w:val="00C326BB"/>
    <w:rsid w:val="00C327EF"/>
    <w:rsid w:val="00C32BF1"/>
    <w:rsid w:val="00C32C85"/>
    <w:rsid w:val="00C32D95"/>
    <w:rsid w:val="00C32F82"/>
    <w:rsid w:val="00C3321A"/>
    <w:rsid w:val="00C333D0"/>
    <w:rsid w:val="00C33DB3"/>
    <w:rsid w:val="00C33FD6"/>
    <w:rsid w:val="00C3412A"/>
    <w:rsid w:val="00C342A1"/>
    <w:rsid w:val="00C34C68"/>
    <w:rsid w:val="00C3517E"/>
    <w:rsid w:val="00C3551A"/>
    <w:rsid w:val="00C3572C"/>
    <w:rsid w:val="00C358EC"/>
    <w:rsid w:val="00C35D1D"/>
    <w:rsid w:val="00C36342"/>
    <w:rsid w:val="00C3672A"/>
    <w:rsid w:val="00C36748"/>
    <w:rsid w:val="00C36C1F"/>
    <w:rsid w:val="00C37B2B"/>
    <w:rsid w:val="00C37F09"/>
    <w:rsid w:val="00C40887"/>
    <w:rsid w:val="00C4097E"/>
    <w:rsid w:val="00C40A49"/>
    <w:rsid w:val="00C40AFC"/>
    <w:rsid w:val="00C40D83"/>
    <w:rsid w:val="00C40DD7"/>
    <w:rsid w:val="00C412F1"/>
    <w:rsid w:val="00C4136A"/>
    <w:rsid w:val="00C4156B"/>
    <w:rsid w:val="00C4194D"/>
    <w:rsid w:val="00C41A80"/>
    <w:rsid w:val="00C41B3F"/>
    <w:rsid w:val="00C41B84"/>
    <w:rsid w:val="00C420F5"/>
    <w:rsid w:val="00C422BA"/>
    <w:rsid w:val="00C42479"/>
    <w:rsid w:val="00C42924"/>
    <w:rsid w:val="00C42AF5"/>
    <w:rsid w:val="00C42FAF"/>
    <w:rsid w:val="00C43184"/>
    <w:rsid w:val="00C43284"/>
    <w:rsid w:val="00C43441"/>
    <w:rsid w:val="00C436CF"/>
    <w:rsid w:val="00C43A20"/>
    <w:rsid w:val="00C43AAD"/>
    <w:rsid w:val="00C43CB2"/>
    <w:rsid w:val="00C44074"/>
    <w:rsid w:val="00C4435E"/>
    <w:rsid w:val="00C45023"/>
    <w:rsid w:val="00C45219"/>
    <w:rsid w:val="00C4570F"/>
    <w:rsid w:val="00C4582D"/>
    <w:rsid w:val="00C45B6F"/>
    <w:rsid w:val="00C45F2F"/>
    <w:rsid w:val="00C466EB"/>
    <w:rsid w:val="00C46967"/>
    <w:rsid w:val="00C469E3"/>
    <w:rsid w:val="00C46AA9"/>
    <w:rsid w:val="00C46B9D"/>
    <w:rsid w:val="00C4713F"/>
    <w:rsid w:val="00C47406"/>
    <w:rsid w:val="00C477F9"/>
    <w:rsid w:val="00C47CD8"/>
    <w:rsid w:val="00C47CE3"/>
    <w:rsid w:val="00C5026B"/>
    <w:rsid w:val="00C50B07"/>
    <w:rsid w:val="00C50E34"/>
    <w:rsid w:val="00C51032"/>
    <w:rsid w:val="00C51215"/>
    <w:rsid w:val="00C51ACB"/>
    <w:rsid w:val="00C52221"/>
    <w:rsid w:val="00C522D7"/>
    <w:rsid w:val="00C52700"/>
    <w:rsid w:val="00C52C4E"/>
    <w:rsid w:val="00C52DEA"/>
    <w:rsid w:val="00C53056"/>
    <w:rsid w:val="00C535E4"/>
    <w:rsid w:val="00C53AEE"/>
    <w:rsid w:val="00C53BC0"/>
    <w:rsid w:val="00C54062"/>
    <w:rsid w:val="00C544D5"/>
    <w:rsid w:val="00C54520"/>
    <w:rsid w:val="00C54EA9"/>
    <w:rsid w:val="00C551DA"/>
    <w:rsid w:val="00C554A4"/>
    <w:rsid w:val="00C555B9"/>
    <w:rsid w:val="00C559DF"/>
    <w:rsid w:val="00C55F65"/>
    <w:rsid w:val="00C56174"/>
    <w:rsid w:val="00C562EA"/>
    <w:rsid w:val="00C56436"/>
    <w:rsid w:val="00C568B4"/>
    <w:rsid w:val="00C569A0"/>
    <w:rsid w:val="00C56A58"/>
    <w:rsid w:val="00C56B7B"/>
    <w:rsid w:val="00C56BF7"/>
    <w:rsid w:val="00C57151"/>
    <w:rsid w:val="00C57385"/>
    <w:rsid w:val="00C5749C"/>
    <w:rsid w:val="00C5753D"/>
    <w:rsid w:val="00C57919"/>
    <w:rsid w:val="00C5794C"/>
    <w:rsid w:val="00C5796E"/>
    <w:rsid w:val="00C57AEC"/>
    <w:rsid w:val="00C6005C"/>
    <w:rsid w:val="00C601D1"/>
    <w:rsid w:val="00C60265"/>
    <w:rsid w:val="00C6196A"/>
    <w:rsid w:val="00C61CDC"/>
    <w:rsid w:val="00C61D36"/>
    <w:rsid w:val="00C6241B"/>
    <w:rsid w:val="00C632BB"/>
    <w:rsid w:val="00C63351"/>
    <w:rsid w:val="00C634D9"/>
    <w:rsid w:val="00C639E0"/>
    <w:rsid w:val="00C63AE0"/>
    <w:rsid w:val="00C64509"/>
    <w:rsid w:val="00C64786"/>
    <w:rsid w:val="00C647AE"/>
    <w:rsid w:val="00C64894"/>
    <w:rsid w:val="00C648A5"/>
    <w:rsid w:val="00C649AB"/>
    <w:rsid w:val="00C64CEF"/>
    <w:rsid w:val="00C64F33"/>
    <w:rsid w:val="00C65225"/>
    <w:rsid w:val="00C65482"/>
    <w:rsid w:val="00C660EE"/>
    <w:rsid w:val="00C662DA"/>
    <w:rsid w:val="00C66493"/>
    <w:rsid w:val="00C6651B"/>
    <w:rsid w:val="00C66677"/>
    <w:rsid w:val="00C66FD5"/>
    <w:rsid w:val="00C67007"/>
    <w:rsid w:val="00C67383"/>
    <w:rsid w:val="00C673C3"/>
    <w:rsid w:val="00C67451"/>
    <w:rsid w:val="00C67A41"/>
    <w:rsid w:val="00C67C08"/>
    <w:rsid w:val="00C7007E"/>
    <w:rsid w:val="00C7038D"/>
    <w:rsid w:val="00C703B9"/>
    <w:rsid w:val="00C708DE"/>
    <w:rsid w:val="00C70A6C"/>
    <w:rsid w:val="00C7129A"/>
    <w:rsid w:val="00C720C1"/>
    <w:rsid w:val="00C726AA"/>
    <w:rsid w:val="00C72B12"/>
    <w:rsid w:val="00C72DDC"/>
    <w:rsid w:val="00C7344E"/>
    <w:rsid w:val="00C74825"/>
    <w:rsid w:val="00C74F84"/>
    <w:rsid w:val="00C7577F"/>
    <w:rsid w:val="00C757F6"/>
    <w:rsid w:val="00C759D5"/>
    <w:rsid w:val="00C76220"/>
    <w:rsid w:val="00C766E3"/>
    <w:rsid w:val="00C76CC8"/>
    <w:rsid w:val="00C76CE2"/>
    <w:rsid w:val="00C76DBB"/>
    <w:rsid w:val="00C770E1"/>
    <w:rsid w:val="00C7756E"/>
    <w:rsid w:val="00C7781F"/>
    <w:rsid w:val="00C778D7"/>
    <w:rsid w:val="00C77C78"/>
    <w:rsid w:val="00C80103"/>
    <w:rsid w:val="00C80660"/>
    <w:rsid w:val="00C81112"/>
    <w:rsid w:val="00C81BB5"/>
    <w:rsid w:val="00C824DA"/>
    <w:rsid w:val="00C82606"/>
    <w:rsid w:val="00C827DF"/>
    <w:rsid w:val="00C82888"/>
    <w:rsid w:val="00C82D4A"/>
    <w:rsid w:val="00C8336F"/>
    <w:rsid w:val="00C83469"/>
    <w:rsid w:val="00C83516"/>
    <w:rsid w:val="00C8368E"/>
    <w:rsid w:val="00C837EA"/>
    <w:rsid w:val="00C83E20"/>
    <w:rsid w:val="00C83F27"/>
    <w:rsid w:val="00C842D6"/>
    <w:rsid w:val="00C84853"/>
    <w:rsid w:val="00C84FD1"/>
    <w:rsid w:val="00C8562D"/>
    <w:rsid w:val="00C85E27"/>
    <w:rsid w:val="00C864FA"/>
    <w:rsid w:val="00C865C5"/>
    <w:rsid w:val="00C868D0"/>
    <w:rsid w:val="00C86A11"/>
    <w:rsid w:val="00C86C38"/>
    <w:rsid w:val="00C871CE"/>
    <w:rsid w:val="00C87229"/>
    <w:rsid w:val="00C87548"/>
    <w:rsid w:val="00C87DC7"/>
    <w:rsid w:val="00C87F1F"/>
    <w:rsid w:val="00C905DD"/>
    <w:rsid w:val="00C906C0"/>
    <w:rsid w:val="00C90886"/>
    <w:rsid w:val="00C909FC"/>
    <w:rsid w:val="00C90C4D"/>
    <w:rsid w:val="00C90F22"/>
    <w:rsid w:val="00C910BC"/>
    <w:rsid w:val="00C912B1"/>
    <w:rsid w:val="00C915F0"/>
    <w:rsid w:val="00C91DA1"/>
    <w:rsid w:val="00C926F6"/>
    <w:rsid w:val="00C92797"/>
    <w:rsid w:val="00C92A0E"/>
    <w:rsid w:val="00C92B08"/>
    <w:rsid w:val="00C92D2B"/>
    <w:rsid w:val="00C92EAB"/>
    <w:rsid w:val="00C92FCF"/>
    <w:rsid w:val="00C92FEC"/>
    <w:rsid w:val="00C94226"/>
    <w:rsid w:val="00C94611"/>
    <w:rsid w:val="00C94E1D"/>
    <w:rsid w:val="00C95322"/>
    <w:rsid w:val="00C95816"/>
    <w:rsid w:val="00C9644B"/>
    <w:rsid w:val="00C96E84"/>
    <w:rsid w:val="00C97139"/>
    <w:rsid w:val="00C97188"/>
    <w:rsid w:val="00C97189"/>
    <w:rsid w:val="00C978B7"/>
    <w:rsid w:val="00C9799F"/>
    <w:rsid w:val="00C97E05"/>
    <w:rsid w:val="00CA04A0"/>
    <w:rsid w:val="00CA06D4"/>
    <w:rsid w:val="00CA0904"/>
    <w:rsid w:val="00CA0AC8"/>
    <w:rsid w:val="00CA0BBD"/>
    <w:rsid w:val="00CA1230"/>
    <w:rsid w:val="00CA1BF9"/>
    <w:rsid w:val="00CA1C2B"/>
    <w:rsid w:val="00CA1CA9"/>
    <w:rsid w:val="00CA1F7E"/>
    <w:rsid w:val="00CA2511"/>
    <w:rsid w:val="00CA2575"/>
    <w:rsid w:val="00CA2646"/>
    <w:rsid w:val="00CA29D8"/>
    <w:rsid w:val="00CA2A4C"/>
    <w:rsid w:val="00CA3585"/>
    <w:rsid w:val="00CA38FB"/>
    <w:rsid w:val="00CA3BF4"/>
    <w:rsid w:val="00CA3DA4"/>
    <w:rsid w:val="00CA3DE3"/>
    <w:rsid w:val="00CA3DF9"/>
    <w:rsid w:val="00CA4074"/>
    <w:rsid w:val="00CA45E9"/>
    <w:rsid w:val="00CA4983"/>
    <w:rsid w:val="00CA5004"/>
    <w:rsid w:val="00CA509A"/>
    <w:rsid w:val="00CA5170"/>
    <w:rsid w:val="00CA53D5"/>
    <w:rsid w:val="00CA5516"/>
    <w:rsid w:val="00CA5582"/>
    <w:rsid w:val="00CA5B56"/>
    <w:rsid w:val="00CA5FCA"/>
    <w:rsid w:val="00CA6021"/>
    <w:rsid w:val="00CA64DB"/>
    <w:rsid w:val="00CA7695"/>
    <w:rsid w:val="00CA7818"/>
    <w:rsid w:val="00CA7C46"/>
    <w:rsid w:val="00CB06D0"/>
    <w:rsid w:val="00CB0809"/>
    <w:rsid w:val="00CB0AE3"/>
    <w:rsid w:val="00CB0C4B"/>
    <w:rsid w:val="00CB0C81"/>
    <w:rsid w:val="00CB1265"/>
    <w:rsid w:val="00CB1521"/>
    <w:rsid w:val="00CB1B86"/>
    <w:rsid w:val="00CB2980"/>
    <w:rsid w:val="00CB2B76"/>
    <w:rsid w:val="00CB2E2D"/>
    <w:rsid w:val="00CB3664"/>
    <w:rsid w:val="00CB387E"/>
    <w:rsid w:val="00CB38FC"/>
    <w:rsid w:val="00CB3A78"/>
    <w:rsid w:val="00CB3B52"/>
    <w:rsid w:val="00CB3F72"/>
    <w:rsid w:val="00CB4071"/>
    <w:rsid w:val="00CB4256"/>
    <w:rsid w:val="00CB43FC"/>
    <w:rsid w:val="00CB4948"/>
    <w:rsid w:val="00CB4A2F"/>
    <w:rsid w:val="00CB4BE9"/>
    <w:rsid w:val="00CB517D"/>
    <w:rsid w:val="00CB56DD"/>
    <w:rsid w:val="00CB5B54"/>
    <w:rsid w:val="00CB691B"/>
    <w:rsid w:val="00CB6B31"/>
    <w:rsid w:val="00CB6C94"/>
    <w:rsid w:val="00CB6FFC"/>
    <w:rsid w:val="00CB704F"/>
    <w:rsid w:val="00CB70E5"/>
    <w:rsid w:val="00CB78B6"/>
    <w:rsid w:val="00CB7913"/>
    <w:rsid w:val="00CB7996"/>
    <w:rsid w:val="00CB7A89"/>
    <w:rsid w:val="00CC0073"/>
    <w:rsid w:val="00CC0A93"/>
    <w:rsid w:val="00CC0AEB"/>
    <w:rsid w:val="00CC0C3B"/>
    <w:rsid w:val="00CC0DE7"/>
    <w:rsid w:val="00CC11B7"/>
    <w:rsid w:val="00CC1CA3"/>
    <w:rsid w:val="00CC1D74"/>
    <w:rsid w:val="00CC20C4"/>
    <w:rsid w:val="00CC2336"/>
    <w:rsid w:val="00CC2A5F"/>
    <w:rsid w:val="00CC2F12"/>
    <w:rsid w:val="00CC3036"/>
    <w:rsid w:val="00CC318B"/>
    <w:rsid w:val="00CC37C8"/>
    <w:rsid w:val="00CC39A0"/>
    <w:rsid w:val="00CC39F9"/>
    <w:rsid w:val="00CC4349"/>
    <w:rsid w:val="00CC4685"/>
    <w:rsid w:val="00CC46DA"/>
    <w:rsid w:val="00CC472E"/>
    <w:rsid w:val="00CC488F"/>
    <w:rsid w:val="00CC5126"/>
    <w:rsid w:val="00CC54A5"/>
    <w:rsid w:val="00CC570F"/>
    <w:rsid w:val="00CC572A"/>
    <w:rsid w:val="00CC58AF"/>
    <w:rsid w:val="00CC5BF9"/>
    <w:rsid w:val="00CC5F4B"/>
    <w:rsid w:val="00CC5F54"/>
    <w:rsid w:val="00CC62BF"/>
    <w:rsid w:val="00CC6549"/>
    <w:rsid w:val="00CC6AF0"/>
    <w:rsid w:val="00CC6D4E"/>
    <w:rsid w:val="00CC6FEE"/>
    <w:rsid w:val="00CC7230"/>
    <w:rsid w:val="00CC76DF"/>
    <w:rsid w:val="00CC7730"/>
    <w:rsid w:val="00CC7AAA"/>
    <w:rsid w:val="00CD014F"/>
    <w:rsid w:val="00CD02F5"/>
    <w:rsid w:val="00CD0C1B"/>
    <w:rsid w:val="00CD0C93"/>
    <w:rsid w:val="00CD0D97"/>
    <w:rsid w:val="00CD17C0"/>
    <w:rsid w:val="00CD17C8"/>
    <w:rsid w:val="00CD197C"/>
    <w:rsid w:val="00CD1AB5"/>
    <w:rsid w:val="00CD1AC0"/>
    <w:rsid w:val="00CD1FB1"/>
    <w:rsid w:val="00CD253C"/>
    <w:rsid w:val="00CD2643"/>
    <w:rsid w:val="00CD2693"/>
    <w:rsid w:val="00CD3169"/>
    <w:rsid w:val="00CD452C"/>
    <w:rsid w:val="00CD4622"/>
    <w:rsid w:val="00CD4B08"/>
    <w:rsid w:val="00CD5270"/>
    <w:rsid w:val="00CD549D"/>
    <w:rsid w:val="00CD55CB"/>
    <w:rsid w:val="00CD61A7"/>
    <w:rsid w:val="00CD62DC"/>
    <w:rsid w:val="00CD636F"/>
    <w:rsid w:val="00CD64A2"/>
    <w:rsid w:val="00CD6A5A"/>
    <w:rsid w:val="00CD6E7B"/>
    <w:rsid w:val="00CD720F"/>
    <w:rsid w:val="00CD742C"/>
    <w:rsid w:val="00CD758C"/>
    <w:rsid w:val="00CD7644"/>
    <w:rsid w:val="00CD7B62"/>
    <w:rsid w:val="00CD7C81"/>
    <w:rsid w:val="00CD7C8B"/>
    <w:rsid w:val="00CD7CE3"/>
    <w:rsid w:val="00CE01BA"/>
    <w:rsid w:val="00CE0362"/>
    <w:rsid w:val="00CE0D3E"/>
    <w:rsid w:val="00CE0DA3"/>
    <w:rsid w:val="00CE0E03"/>
    <w:rsid w:val="00CE0F34"/>
    <w:rsid w:val="00CE1B28"/>
    <w:rsid w:val="00CE2CF5"/>
    <w:rsid w:val="00CE2D05"/>
    <w:rsid w:val="00CE2F59"/>
    <w:rsid w:val="00CE3245"/>
    <w:rsid w:val="00CE32D4"/>
    <w:rsid w:val="00CE3353"/>
    <w:rsid w:val="00CE3423"/>
    <w:rsid w:val="00CE34CD"/>
    <w:rsid w:val="00CE36CA"/>
    <w:rsid w:val="00CE394A"/>
    <w:rsid w:val="00CE3FC2"/>
    <w:rsid w:val="00CE4089"/>
    <w:rsid w:val="00CE43F2"/>
    <w:rsid w:val="00CE4C78"/>
    <w:rsid w:val="00CE4EEF"/>
    <w:rsid w:val="00CE513B"/>
    <w:rsid w:val="00CE52D5"/>
    <w:rsid w:val="00CE5562"/>
    <w:rsid w:val="00CE55EF"/>
    <w:rsid w:val="00CE5841"/>
    <w:rsid w:val="00CE5D55"/>
    <w:rsid w:val="00CE601E"/>
    <w:rsid w:val="00CE6106"/>
    <w:rsid w:val="00CE612A"/>
    <w:rsid w:val="00CE61AB"/>
    <w:rsid w:val="00CE6302"/>
    <w:rsid w:val="00CE72EC"/>
    <w:rsid w:val="00CE73DD"/>
    <w:rsid w:val="00CE7888"/>
    <w:rsid w:val="00CE7A02"/>
    <w:rsid w:val="00CF030A"/>
    <w:rsid w:val="00CF0FE5"/>
    <w:rsid w:val="00CF13ED"/>
    <w:rsid w:val="00CF15B2"/>
    <w:rsid w:val="00CF172B"/>
    <w:rsid w:val="00CF1A02"/>
    <w:rsid w:val="00CF1E3F"/>
    <w:rsid w:val="00CF245D"/>
    <w:rsid w:val="00CF2BBD"/>
    <w:rsid w:val="00CF2C60"/>
    <w:rsid w:val="00CF2D9A"/>
    <w:rsid w:val="00CF30FE"/>
    <w:rsid w:val="00CF31BB"/>
    <w:rsid w:val="00CF364A"/>
    <w:rsid w:val="00CF3E75"/>
    <w:rsid w:val="00CF3EEE"/>
    <w:rsid w:val="00CF3FEA"/>
    <w:rsid w:val="00CF4497"/>
    <w:rsid w:val="00CF4F5E"/>
    <w:rsid w:val="00CF6109"/>
    <w:rsid w:val="00CF6AF9"/>
    <w:rsid w:val="00CF6C40"/>
    <w:rsid w:val="00CF6C42"/>
    <w:rsid w:val="00CF6CCE"/>
    <w:rsid w:val="00CF70DE"/>
    <w:rsid w:val="00CF7C70"/>
    <w:rsid w:val="00CF7F90"/>
    <w:rsid w:val="00D00896"/>
    <w:rsid w:val="00D00FAD"/>
    <w:rsid w:val="00D015D1"/>
    <w:rsid w:val="00D01B21"/>
    <w:rsid w:val="00D01E59"/>
    <w:rsid w:val="00D0204C"/>
    <w:rsid w:val="00D02072"/>
    <w:rsid w:val="00D0222A"/>
    <w:rsid w:val="00D0252B"/>
    <w:rsid w:val="00D02540"/>
    <w:rsid w:val="00D026AA"/>
    <w:rsid w:val="00D02FA0"/>
    <w:rsid w:val="00D03281"/>
    <w:rsid w:val="00D03872"/>
    <w:rsid w:val="00D03A7E"/>
    <w:rsid w:val="00D03C9E"/>
    <w:rsid w:val="00D04130"/>
    <w:rsid w:val="00D04195"/>
    <w:rsid w:val="00D048D1"/>
    <w:rsid w:val="00D05B5C"/>
    <w:rsid w:val="00D05EBC"/>
    <w:rsid w:val="00D06597"/>
    <w:rsid w:val="00D066C3"/>
    <w:rsid w:val="00D06F6E"/>
    <w:rsid w:val="00D070E9"/>
    <w:rsid w:val="00D07253"/>
    <w:rsid w:val="00D0752C"/>
    <w:rsid w:val="00D101D7"/>
    <w:rsid w:val="00D10248"/>
    <w:rsid w:val="00D102CE"/>
    <w:rsid w:val="00D105F1"/>
    <w:rsid w:val="00D10602"/>
    <w:rsid w:val="00D10CC4"/>
    <w:rsid w:val="00D10F89"/>
    <w:rsid w:val="00D111AE"/>
    <w:rsid w:val="00D111F8"/>
    <w:rsid w:val="00D113CA"/>
    <w:rsid w:val="00D1156F"/>
    <w:rsid w:val="00D11926"/>
    <w:rsid w:val="00D119C7"/>
    <w:rsid w:val="00D11B65"/>
    <w:rsid w:val="00D11BCD"/>
    <w:rsid w:val="00D11DDB"/>
    <w:rsid w:val="00D11E15"/>
    <w:rsid w:val="00D11E59"/>
    <w:rsid w:val="00D12150"/>
    <w:rsid w:val="00D123C5"/>
    <w:rsid w:val="00D12706"/>
    <w:rsid w:val="00D12935"/>
    <w:rsid w:val="00D1344F"/>
    <w:rsid w:val="00D13786"/>
    <w:rsid w:val="00D13950"/>
    <w:rsid w:val="00D139DF"/>
    <w:rsid w:val="00D13F8B"/>
    <w:rsid w:val="00D1487B"/>
    <w:rsid w:val="00D148AE"/>
    <w:rsid w:val="00D14D65"/>
    <w:rsid w:val="00D1547A"/>
    <w:rsid w:val="00D15646"/>
    <w:rsid w:val="00D156DB"/>
    <w:rsid w:val="00D158A5"/>
    <w:rsid w:val="00D158F4"/>
    <w:rsid w:val="00D15ABD"/>
    <w:rsid w:val="00D15CCB"/>
    <w:rsid w:val="00D15FD2"/>
    <w:rsid w:val="00D16040"/>
    <w:rsid w:val="00D1610E"/>
    <w:rsid w:val="00D162CE"/>
    <w:rsid w:val="00D16AA1"/>
    <w:rsid w:val="00D16FAA"/>
    <w:rsid w:val="00D1701C"/>
    <w:rsid w:val="00D176AA"/>
    <w:rsid w:val="00D17AB5"/>
    <w:rsid w:val="00D17B04"/>
    <w:rsid w:val="00D17BD1"/>
    <w:rsid w:val="00D17D23"/>
    <w:rsid w:val="00D17DF1"/>
    <w:rsid w:val="00D17E78"/>
    <w:rsid w:val="00D17ED6"/>
    <w:rsid w:val="00D17FD3"/>
    <w:rsid w:val="00D20151"/>
    <w:rsid w:val="00D202D5"/>
    <w:rsid w:val="00D2038A"/>
    <w:rsid w:val="00D205DD"/>
    <w:rsid w:val="00D20641"/>
    <w:rsid w:val="00D20698"/>
    <w:rsid w:val="00D20D2C"/>
    <w:rsid w:val="00D210C7"/>
    <w:rsid w:val="00D21505"/>
    <w:rsid w:val="00D21967"/>
    <w:rsid w:val="00D219C8"/>
    <w:rsid w:val="00D22308"/>
    <w:rsid w:val="00D2256C"/>
    <w:rsid w:val="00D22588"/>
    <w:rsid w:val="00D229E3"/>
    <w:rsid w:val="00D23243"/>
    <w:rsid w:val="00D23882"/>
    <w:rsid w:val="00D23947"/>
    <w:rsid w:val="00D23AFB"/>
    <w:rsid w:val="00D23C45"/>
    <w:rsid w:val="00D2401A"/>
    <w:rsid w:val="00D2415C"/>
    <w:rsid w:val="00D24446"/>
    <w:rsid w:val="00D24BD9"/>
    <w:rsid w:val="00D25857"/>
    <w:rsid w:val="00D25D84"/>
    <w:rsid w:val="00D26542"/>
    <w:rsid w:val="00D26549"/>
    <w:rsid w:val="00D26A04"/>
    <w:rsid w:val="00D27437"/>
    <w:rsid w:val="00D27618"/>
    <w:rsid w:val="00D277B0"/>
    <w:rsid w:val="00D277B8"/>
    <w:rsid w:val="00D2784D"/>
    <w:rsid w:val="00D27A18"/>
    <w:rsid w:val="00D27C4A"/>
    <w:rsid w:val="00D300ED"/>
    <w:rsid w:val="00D30226"/>
    <w:rsid w:val="00D304AA"/>
    <w:rsid w:val="00D3069F"/>
    <w:rsid w:val="00D30EC6"/>
    <w:rsid w:val="00D31202"/>
    <w:rsid w:val="00D314B8"/>
    <w:rsid w:val="00D314C0"/>
    <w:rsid w:val="00D31911"/>
    <w:rsid w:val="00D31BD9"/>
    <w:rsid w:val="00D31EB8"/>
    <w:rsid w:val="00D322BF"/>
    <w:rsid w:val="00D3252F"/>
    <w:rsid w:val="00D3285E"/>
    <w:rsid w:val="00D32CA9"/>
    <w:rsid w:val="00D33354"/>
    <w:rsid w:val="00D333B5"/>
    <w:rsid w:val="00D335BE"/>
    <w:rsid w:val="00D33A2D"/>
    <w:rsid w:val="00D33A38"/>
    <w:rsid w:val="00D33FB7"/>
    <w:rsid w:val="00D340B2"/>
    <w:rsid w:val="00D341A1"/>
    <w:rsid w:val="00D342DA"/>
    <w:rsid w:val="00D34341"/>
    <w:rsid w:val="00D34399"/>
    <w:rsid w:val="00D343BC"/>
    <w:rsid w:val="00D3450D"/>
    <w:rsid w:val="00D345F1"/>
    <w:rsid w:val="00D34F6E"/>
    <w:rsid w:val="00D34F87"/>
    <w:rsid w:val="00D35600"/>
    <w:rsid w:val="00D357CF"/>
    <w:rsid w:val="00D35B9F"/>
    <w:rsid w:val="00D35EFB"/>
    <w:rsid w:val="00D35F97"/>
    <w:rsid w:val="00D36274"/>
    <w:rsid w:val="00D369EA"/>
    <w:rsid w:val="00D36BE8"/>
    <w:rsid w:val="00D36D97"/>
    <w:rsid w:val="00D36F0F"/>
    <w:rsid w:val="00D36F1B"/>
    <w:rsid w:val="00D36FA7"/>
    <w:rsid w:val="00D370F9"/>
    <w:rsid w:val="00D376E3"/>
    <w:rsid w:val="00D377BD"/>
    <w:rsid w:val="00D37BAD"/>
    <w:rsid w:val="00D37F54"/>
    <w:rsid w:val="00D37F82"/>
    <w:rsid w:val="00D40045"/>
    <w:rsid w:val="00D401A5"/>
    <w:rsid w:val="00D401C1"/>
    <w:rsid w:val="00D4069D"/>
    <w:rsid w:val="00D407DD"/>
    <w:rsid w:val="00D407F0"/>
    <w:rsid w:val="00D409EA"/>
    <w:rsid w:val="00D40CDA"/>
    <w:rsid w:val="00D40D53"/>
    <w:rsid w:val="00D417D8"/>
    <w:rsid w:val="00D41BA0"/>
    <w:rsid w:val="00D4230C"/>
    <w:rsid w:val="00D4250E"/>
    <w:rsid w:val="00D42C5F"/>
    <w:rsid w:val="00D435E7"/>
    <w:rsid w:val="00D4382A"/>
    <w:rsid w:val="00D43DDC"/>
    <w:rsid w:val="00D44109"/>
    <w:rsid w:val="00D4413E"/>
    <w:rsid w:val="00D4436D"/>
    <w:rsid w:val="00D4489F"/>
    <w:rsid w:val="00D45167"/>
    <w:rsid w:val="00D45725"/>
    <w:rsid w:val="00D4573D"/>
    <w:rsid w:val="00D45901"/>
    <w:rsid w:val="00D45911"/>
    <w:rsid w:val="00D45A05"/>
    <w:rsid w:val="00D45FFF"/>
    <w:rsid w:val="00D460B3"/>
    <w:rsid w:val="00D467DF"/>
    <w:rsid w:val="00D47731"/>
    <w:rsid w:val="00D478E2"/>
    <w:rsid w:val="00D47FB6"/>
    <w:rsid w:val="00D50420"/>
    <w:rsid w:val="00D504BD"/>
    <w:rsid w:val="00D5071D"/>
    <w:rsid w:val="00D5100A"/>
    <w:rsid w:val="00D51468"/>
    <w:rsid w:val="00D52213"/>
    <w:rsid w:val="00D526AB"/>
    <w:rsid w:val="00D527A0"/>
    <w:rsid w:val="00D536ED"/>
    <w:rsid w:val="00D537BD"/>
    <w:rsid w:val="00D53B01"/>
    <w:rsid w:val="00D53CA6"/>
    <w:rsid w:val="00D53E1D"/>
    <w:rsid w:val="00D53EF2"/>
    <w:rsid w:val="00D53FB3"/>
    <w:rsid w:val="00D543A9"/>
    <w:rsid w:val="00D544BB"/>
    <w:rsid w:val="00D54878"/>
    <w:rsid w:val="00D54BF6"/>
    <w:rsid w:val="00D5508F"/>
    <w:rsid w:val="00D55344"/>
    <w:rsid w:val="00D56431"/>
    <w:rsid w:val="00D5653E"/>
    <w:rsid w:val="00D56633"/>
    <w:rsid w:val="00D5680C"/>
    <w:rsid w:val="00D56B7A"/>
    <w:rsid w:val="00D5715C"/>
    <w:rsid w:val="00D57283"/>
    <w:rsid w:val="00D5790D"/>
    <w:rsid w:val="00D57AEB"/>
    <w:rsid w:val="00D57AFC"/>
    <w:rsid w:val="00D57CE1"/>
    <w:rsid w:val="00D57E68"/>
    <w:rsid w:val="00D6018D"/>
    <w:rsid w:val="00D60524"/>
    <w:rsid w:val="00D60675"/>
    <w:rsid w:val="00D60A5F"/>
    <w:rsid w:val="00D60BD2"/>
    <w:rsid w:val="00D60F9D"/>
    <w:rsid w:val="00D61041"/>
    <w:rsid w:val="00D611C4"/>
    <w:rsid w:val="00D61376"/>
    <w:rsid w:val="00D6211B"/>
    <w:rsid w:val="00D623B1"/>
    <w:rsid w:val="00D62CCC"/>
    <w:rsid w:val="00D6349C"/>
    <w:rsid w:val="00D63563"/>
    <w:rsid w:val="00D63B45"/>
    <w:rsid w:val="00D63E60"/>
    <w:rsid w:val="00D63F8C"/>
    <w:rsid w:val="00D64001"/>
    <w:rsid w:val="00D6403B"/>
    <w:rsid w:val="00D64A85"/>
    <w:rsid w:val="00D64AA3"/>
    <w:rsid w:val="00D6519F"/>
    <w:rsid w:val="00D652E2"/>
    <w:rsid w:val="00D6557E"/>
    <w:rsid w:val="00D655D2"/>
    <w:rsid w:val="00D6644E"/>
    <w:rsid w:val="00D664BD"/>
    <w:rsid w:val="00D66AA7"/>
    <w:rsid w:val="00D66F80"/>
    <w:rsid w:val="00D67122"/>
    <w:rsid w:val="00D67B55"/>
    <w:rsid w:val="00D67BFD"/>
    <w:rsid w:val="00D7002F"/>
    <w:rsid w:val="00D700D3"/>
    <w:rsid w:val="00D703A4"/>
    <w:rsid w:val="00D7049E"/>
    <w:rsid w:val="00D7052C"/>
    <w:rsid w:val="00D70666"/>
    <w:rsid w:val="00D707C7"/>
    <w:rsid w:val="00D70847"/>
    <w:rsid w:val="00D70941"/>
    <w:rsid w:val="00D70BC5"/>
    <w:rsid w:val="00D70FB9"/>
    <w:rsid w:val="00D71242"/>
    <w:rsid w:val="00D714EA"/>
    <w:rsid w:val="00D715FB"/>
    <w:rsid w:val="00D7175C"/>
    <w:rsid w:val="00D71F96"/>
    <w:rsid w:val="00D72156"/>
    <w:rsid w:val="00D721D5"/>
    <w:rsid w:val="00D72202"/>
    <w:rsid w:val="00D72374"/>
    <w:rsid w:val="00D7283D"/>
    <w:rsid w:val="00D728AB"/>
    <w:rsid w:val="00D72DC1"/>
    <w:rsid w:val="00D72E8F"/>
    <w:rsid w:val="00D73236"/>
    <w:rsid w:val="00D734C4"/>
    <w:rsid w:val="00D7368E"/>
    <w:rsid w:val="00D738D9"/>
    <w:rsid w:val="00D73BA9"/>
    <w:rsid w:val="00D73E42"/>
    <w:rsid w:val="00D7479E"/>
    <w:rsid w:val="00D749CD"/>
    <w:rsid w:val="00D74B22"/>
    <w:rsid w:val="00D74F0A"/>
    <w:rsid w:val="00D7560C"/>
    <w:rsid w:val="00D75958"/>
    <w:rsid w:val="00D75D09"/>
    <w:rsid w:val="00D75F0A"/>
    <w:rsid w:val="00D7613F"/>
    <w:rsid w:val="00D76191"/>
    <w:rsid w:val="00D7674D"/>
    <w:rsid w:val="00D77296"/>
    <w:rsid w:val="00D779CF"/>
    <w:rsid w:val="00D77D8A"/>
    <w:rsid w:val="00D809E7"/>
    <w:rsid w:val="00D80DC8"/>
    <w:rsid w:val="00D813FF"/>
    <w:rsid w:val="00D814C9"/>
    <w:rsid w:val="00D81DF9"/>
    <w:rsid w:val="00D82B16"/>
    <w:rsid w:val="00D82C1A"/>
    <w:rsid w:val="00D82ED9"/>
    <w:rsid w:val="00D834E8"/>
    <w:rsid w:val="00D83836"/>
    <w:rsid w:val="00D83DE7"/>
    <w:rsid w:val="00D84308"/>
    <w:rsid w:val="00D847F2"/>
    <w:rsid w:val="00D84EA6"/>
    <w:rsid w:val="00D85007"/>
    <w:rsid w:val="00D850AC"/>
    <w:rsid w:val="00D858E4"/>
    <w:rsid w:val="00D85966"/>
    <w:rsid w:val="00D85A71"/>
    <w:rsid w:val="00D85A91"/>
    <w:rsid w:val="00D85BCF"/>
    <w:rsid w:val="00D85EC3"/>
    <w:rsid w:val="00D861C4"/>
    <w:rsid w:val="00D86347"/>
    <w:rsid w:val="00D86A89"/>
    <w:rsid w:val="00D86BD3"/>
    <w:rsid w:val="00D872C5"/>
    <w:rsid w:val="00D877E0"/>
    <w:rsid w:val="00D879D0"/>
    <w:rsid w:val="00D90008"/>
    <w:rsid w:val="00D90299"/>
    <w:rsid w:val="00D90319"/>
    <w:rsid w:val="00D9050D"/>
    <w:rsid w:val="00D90521"/>
    <w:rsid w:val="00D9060C"/>
    <w:rsid w:val="00D907A1"/>
    <w:rsid w:val="00D907FE"/>
    <w:rsid w:val="00D90C53"/>
    <w:rsid w:val="00D90C90"/>
    <w:rsid w:val="00D90E82"/>
    <w:rsid w:val="00D90EB7"/>
    <w:rsid w:val="00D9112E"/>
    <w:rsid w:val="00D91330"/>
    <w:rsid w:val="00D915A9"/>
    <w:rsid w:val="00D918F0"/>
    <w:rsid w:val="00D91BB1"/>
    <w:rsid w:val="00D92D17"/>
    <w:rsid w:val="00D93246"/>
    <w:rsid w:val="00D9332C"/>
    <w:rsid w:val="00D93532"/>
    <w:rsid w:val="00D93CF9"/>
    <w:rsid w:val="00D93DF2"/>
    <w:rsid w:val="00D945C0"/>
    <w:rsid w:val="00D94A1F"/>
    <w:rsid w:val="00D94F5F"/>
    <w:rsid w:val="00D951EE"/>
    <w:rsid w:val="00D953CE"/>
    <w:rsid w:val="00D95455"/>
    <w:rsid w:val="00D95512"/>
    <w:rsid w:val="00D957DE"/>
    <w:rsid w:val="00D95841"/>
    <w:rsid w:val="00D95C04"/>
    <w:rsid w:val="00D95F0C"/>
    <w:rsid w:val="00D95F56"/>
    <w:rsid w:val="00D96272"/>
    <w:rsid w:val="00D96590"/>
    <w:rsid w:val="00D965DD"/>
    <w:rsid w:val="00D96731"/>
    <w:rsid w:val="00D96BA6"/>
    <w:rsid w:val="00D96E77"/>
    <w:rsid w:val="00D96F8A"/>
    <w:rsid w:val="00DA00FD"/>
    <w:rsid w:val="00DA04D4"/>
    <w:rsid w:val="00DA09B8"/>
    <w:rsid w:val="00DA137D"/>
    <w:rsid w:val="00DA139E"/>
    <w:rsid w:val="00DA144D"/>
    <w:rsid w:val="00DA18B1"/>
    <w:rsid w:val="00DA1C9E"/>
    <w:rsid w:val="00DA1D2F"/>
    <w:rsid w:val="00DA1D8B"/>
    <w:rsid w:val="00DA1DEC"/>
    <w:rsid w:val="00DA2356"/>
    <w:rsid w:val="00DA252D"/>
    <w:rsid w:val="00DA2607"/>
    <w:rsid w:val="00DA2F08"/>
    <w:rsid w:val="00DA329B"/>
    <w:rsid w:val="00DA32F6"/>
    <w:rsid w:val="00DA38C7"/>
    <w:rsid w:val="00DA3FB2"/>
    <w:rsid w:val="00DA454C"/>
    <w:rsid w:val="00DA47BA"/>
    <w:rsid w:val="00DA4F4C"/>
    <w:rsid w:val="00DA547E"/>
    <w:rsid w:val="00DA5511"/>
    <w:rsid w:val="00DA5664"/>
    <w:rsid w:val="00DA578D"/>
    <w:rsid w:val="00DA584D"/>
    <w:rsid w:val="00DA5959"/>
    <w:rsid w:val="00DA5CCF"/>
    <w:rsid w:val="00DA5E4B"/>
    <w:rsid w:val="00DA5F27"/>
    <w:rsid w:val="00DA5F45"/>
    <w:rsid w:val="00DA64AF"/>
    <w:rsid w:val="00DA67B9"/>
    <w:rsid w:val="00DA68AC"/>
    <w:rsid w:val="00DA68E8"/>
    <w:rsid w:val="00DA6B58"/>
    <w:rsid w:val="00DA6CF2"/>
    <w:rsid w:val="00DA6D6B"/>
    <w:rsid w:val="00DA6EA8"/>
    <w:rsid w:val="00DA6F59"/>
    <w:rsid w:val="00DA77E0"/>
    <w:rsid w:val="00DA79E1"/>
    <w:rsid w:val="00DA7E35"/>
    <w:rsid w:val="00DB015D"/>
    <w:rsid w:val="00DB07A2"/>
    <w:rsid w:val="00DB080F"/>
    <w:rsid w:val="00DB0852"/>
    <w:rsid w:val="00DB0B73"/>
    <w:rsid w:val="00DB0DAD"/>
    <w:rsid w:val="00DB1392"/>
    <w:rsid w:val="00DB1442"/>
    <w:rsid w:val="00DB18D6"/>
    <w:rsid w:val="00DB19B2"/>
    <w:rsid w:val="00DB1C26"/>
    <w:rsid w:val="00DB1CC9"/>
    <w:rsid w:val="00DB1E20"/>
    <w:rsid w:val="00DB1F17"/>
    <w:rsid w:val="00DB21E7"/>
    <w:rsid w:val="00DB26D9"/>
    <w:rsid w:val="00DB2CF2"/>
    <w:rsid w:val="00DB2DCD"/>
    <w:rsid w:val="00DB33F7"/>
    <w:rsid w:val="00DB36A3"/>
    <w:rsid w:val="00DB39D0"/>
    <w:rsid w:val="00DB412A"/>
    <w:rsid w:val="00DB41A0"/>
    <w:rsid w:val="00DB43E0"/>
    <w:rsid w:val="00DB4700"/>
    <w:rsid w:val="00DB4A0A"/>
    <w:rsid w:val="00DB4E99"/>
    <w:rsid w:val="00DB5008"/>
    <w:rsid w:val="00DB59BF"/>
    <w:rsid w:val="00DB5F49"/>
    <w:rsid w:val="00DB6036"/>
    <w:rsid w:val="00DB6075"/>
    <w:rsid w:val="00DB68C3"/>
    <w:rsid w:val="00DB6EF7"/>
    <w:rsid w:val="00DB6FB2"/>
    <w:rsid w:val="00DB78A4"/>
    <w:rsid w:val="00DB7A70"/>
    <w:rsid w:val="00DB7BD3"/>
    <w:rsid w:val="00DB7D88"/>
    <w:rsid w:val="00DC035F"/>
    <w:rsid w:val="00DC03FE"/>
    <w:rsid w:val="00DC06EC"/>
    <w:rsid w:val="00DC128B"/>
    <w:rsid w:val="00DC19E0"/>
    <w:rsid w:val="00DC1D9C"/>
    <w:rsid w:val="00DC2500"/>
    <w:rsid w:val="00DC2CB0"/>
    <w:rsid w:val="00DC2D9E"/>
    <w:rsid w:val="00DC3347"/>
    <w:rsid w:val="00DC4337"/>
    <w:rsid w:val="00DC4498"/>
    <w:rsid w:val="00DC46D5"/>
    <w:rsid w:val="00DC4889"/>
    <w:rsid w:val="00DC4D0B"/>
    <w:rsid w:val="00DC4E26"/>
    <w:rsid w:val="00DC5FE4"/>
    <w:rsid w:val="00DC6476"/>
    <w:rsid w:val="00DC66B4"/>
    <w:rsid w:val="00DC69E0"/>
    <w:rsid w:val="00DC6AA7"/>
    <w:rsid w:val="00DC6FFB"/>
    <w:rsid w:val="00DC72B3"/>
    <w:rsid w:val="00DC76BF"/>
    <w:rsid w:val="00DC773F"/>
    <w:rsid w:val="00DC7895"/>
    <w:rsid w:val="00DC7BAD"/>
    <w:rsid w:val="00DD00CD"/>
    <w:rsid w:val="00DD01F6"/>
    <w:rsid w:val="00DD0294"/>
    <w:rsid w:val="00DD0732"/>
    <w:rsid w:val="00DD07FC"/>
    <w:rsid w:val="00DD0D90"/>
    <w:rsid w:val="00DD174C"/>
    <w:rsid w:val="00DD1903"/>
    <w:rsid w:val="00DD1A36"/>
    <w:rsid w:val="00DD1A86"/>
    <w:rsid w:val="00DD1CEB"/>
    <w:rsid w:val="00DD2133"/>
    <w:rsid w:val="00DD2D1B"/>
    <w:rsid w:val="00DD2F14"/>
    <w:rsid w:val="00DD30C7"/>
    <w:rsid w:val="00DD3183"/>
    <w:rsid w:val="00DD32C9"/>
    <w:rsid w:val="00DD33FD"/>
    <w:rsid w:val="00DD3A2D"/>
    <w:rsid w:val="00DD3B16"/>
    <w:rsid w:val="00DD3CEE"/>
    <w:rsid w:val="00DD3F93"/>
    <w:rsid w:val="00DD4063"/>
    <w:rsid w:val="00DD44DE"/>
    <w:rsid w:val="00DD46AD"/>
    <w:rsid w:val="00DD47A4"/>
    <w:rsid w:val="00DD494E"/>
    <w:rsid w:val="00DD4AB6"/>
    <w:rsid w:val="00DD4E6A"/>
    <w:rsid w:val="00DD5EBE"/>
    <w:rsid w:val="00DD5F8A"/>
    <w:rsid w:val="00DD6B18"/>
    <w:rsid w:val="00DD6F87"/>
    <w:rsid w:val="00DD74D8"/>
    <w:rsid w:val="00DD76B7"/>
    <w:rsid w:val="00DD77C5"/>
    <w:rsid w:val="00DD7877"/>
    <w:rsid w:val="00DD78AD"/>
    <w:rsid w:val="00DD7D0D"/>
    <w:rsid w:val="00DE0EA9"/>
    <w:rsid w:val="00DE1116"/>
    <w:rsid w:val="00DE1810"/>
    <w:rsid w:val="00DE1D2F"/>
    <w:rsid w:val="00DE224F"/>
    <w:rsid w:val="00DE23B7"/>
    <w:rsid w:val="00DE2708"/>
    <w:rsid w:val="00DE3109"/>
    <w:rsid w:val="00DE31D8"/>
    <w:rsid w:val="00DE32A4"/>
    <w:rsid w:val="00DE335A"/>
    <w:rsid w:val="00DE34C6"/>
    <w:rsid w:val="00DE34DA"/>
    <w:rsid w:val="00DE355F"/>
    <w:rsid w:val="00DE3C52"/>
    <w:rsid w:val="00DE3CDE"/>
    <w:rsid w:val="00DE4866"/>
    <w:rsid w:val="00DE48F3"/>
    <w:rsid w:val="00DE4DF2"/>
    <w:rsid w:val="00DE53B1"/>
    <w:rsid w:val="00DE54EA"/>
    <w:rsid w:val="00DE5659"/>
    <w:rsid w:val="00DE5795"/>
    <w:rsid w:val="00DE5DEA"/>
    <w:rsid w:val="00DE629C"/>
    <w:rsid w:val="00DE6960"/>
    <w:rsid w:val="00DE7163"/>
    <w:rsid w:val="00DE75DA"/>
    <w:rsid w:val="00DE7CB1"/>
    <w:rsid w:val="00DE7E2C"/>
    <w:rsid w:val="00DF0478"/>
    <w:rsid w:val="00DF09A7"/>
    <w:rsid w:val="00DF0A70"/>
    <w:rsid w:val="00DF0A81"/>
    <w:rsid w:val="00DF0E0A"/>
    <w:rsid w:val="00DF0FBA"/>
    <w:rsid w:val="00DF1170"/>
    <w:rsid w:val="00DF1358"/>
    <w:rsid w:val="00DF1530"/>
    <w:rsid w:val="00DF153F"/>
    <w:rsid w:val="00DF19A6"/>
    <w:rsid w:val="00DF1AA3"/>
    <w:rsid w:val="00DF2044"/>
    <w:rsid w:val="00DF2665"/>
    <w:rsid w:val="00DF2A8B"/>
    <w:rsid w:val="00DF2C0E"/>
    <w:rsid w:val="00DF2C53"/>
    <w:rsid w:val="00DF2CF5"/>
    <w:rsid w:val="00DF334E"/>
    <w:rsid w:val="00DF34CB"/>
    <w:rsid w:val="00DF3AE3"/>
    <w:rsid w:val="00DF3B98"/>
    <w:rsid w:val="00DF3C7C"/>
    <w:rsid w:val="00DF3DEE"/>
    <w:rsid w:val="00DF43B5"/>
    <w:rsid w:val="00DF43BE"/>
    <w:rsid w:val="00DF44DA"/>
    <w:rsid w:val="00DF52F3"/>
    <w:rsid w:val="00DF59B2"/>
    <w:rsid w:val="00DF5BEF"/>
    <w:rsid w:val="00DF5C5E"/>
    <w:rsid w:val="00DF650A"/>
    <w:rsid w:val="00DF68F9"/>
    <w:rsid w:val="00DF6CB8"/>
    <w:rsid w:val="00DF6D4A"/>
    <w:rsid w:val="00DF7AED"/>
    <w:rsid w:val="00DF7B94"/>
    <w:rsid w:val="00DF7C75"/>
    <w:rsid w:val="00DF7E65"/>
    <w:rsid w:val="00E000AB"/>
    <w:rsid w:val="00E001FD"/>
    <w:rsid w:val="00E00669"/>
    <w:rsid w:val="00E00808"/>
    <w:rsid w:val="00E00BD2"/>
    <w:rsid w:val="00E010E2"/>
    <w:rsid w:val="00E016E4"/>
    <w:rsid w:val="00E01A2F"/>
    <w:rsid w:val="00E01B44"/>
    <w:rsid w:val="00E01B57"/>
    <w:rsid w:val="00E01D66"/>
    <w:rsid w:val="00E01DE1"/>
    <w:rsid w:val="00E022BC"/>
    <w:rsid w:val="00E026B1"/>
    <w:rsid w:val="00E026FB"/>
    <w:rsid w:val="00E02AD6"/>
    <w:rsid w:val="00E02CD6"/>
    <w:rsid w:val="00E03068"/>
    <w:rsid w:val="00E031A8"/>
    <w:rsid w:val="00E03AD9"/>
    <w:rsid w:val="00E03AF7"/>
    <w:rsid w:val="00E04262"/>
    <w:rsid w:val="00E0426B"/>
    <w:rsid w:val="00E042D5"/>
    <w:rsid w:val="00E04B36"/>
    <w:rsid w:val="00E05527"/>
    <w:rsid w:val="00E0558E"/>
    <w:rsid w:val="00E057C4"/>
    <w:rsid w:val="00E05B00"/>
    <w:rsid w:val="00E05FB5"/>
    <w:rsid w:val="00E0601B"/>
    <w:rsid w:val="00E0636F"/>
    <w:rsid w:val="00E06627"/>
    <w:rsid w:val="00E06C65"/>
    <w:rsid w:val="00E06C6D"/>
    <w:rsid w:val="00E06EFE"/>
    <w:rsid w:val="00E0729A"/>
    <w:rsid w:val="00E07315"/>
    <w:rsid w:val="00E0744A"/>
    <w:rsid w:val="00E074CA"/>
    <w:rsid w:val="00E07883"/>
    <w:rsid w:val="00E07908"/>
    <w:rsid w:val="00E07D18"/>
    <w:rsid w:val="00E1051B"/>
    <w:rsid w:val="00E105F1"/>
    <w:rsid w:val="00E10E3C"/>
    <w:rsid w:val="00E11069"/>
    <w:rsid w:val="00E111F2"/>
    <w:rsid w:val="00E11EDD"/>
    <w:rsid w:val="00E11F4F"/>
    <w:rsid w:val="00E12695"/>
    <w:rsid w:val="00E126FD"/>
    <w:rsid w:val="00E1278D"/>
    <w:rsid w:val="00E12A06"/>
    <w:rsid w:val="00E12C72"/>
    <w:rsid w:val="00E12D58"/>
    <w:rsid w:val="00E12E68"/>
    <w:rsid w:val="00E131B3"/>
    <w:rsid w:val="00E133DF"/>
    <w:rsid w:val="00E135E7"/>
    <w:rsid w:val="00E13DD6"/>
    <w:rsid w:val="00E13DF2"/>
    <w:rsid w:val="00E1415D"/>
    <w:rsid w:val="00E14189"/>
    <w:rsid w:val="00E14190"/>
    <w:rsid w:val="00E149F6"/>
    <w:rsid w:val="00E153D1"/>
    <w:rsid w:val="00E1587F"/>
    <w:rsid w:val="00E16075"/>
    <w:rsid w:val="00E160DD"/>
    <w:rsid w:val="00E162F3"/>
    <w:rsid w:val="00E16305"/>
    <w:rsid w:val="00E16528"/>
    <w:rsid w:val="00E16759"/>
    <w:rsid w:val="00E168FF"/>
    <w:rsid w:val="00E16E67"/>
    <w:rsid w:val="00E17075"/>
    <w:rsid w:val="00E174DC"/>
    <w:rsid w:val="00E1793B"/>
    <w:rsid w:val="00E17B0C"/>
    <w:rsid w:val="00E17BF6"/>
    <w:rsid w:val="00E17CBB"/>
    <w:rsid w:val="00E20450"/>
    <w:rsid w:val="00E20747"/>
    <w:rsid w:val="00E214A1"/>
    <w:rsid w:val="00E21587"/>
    <w:rsid w:val="00E21AEA"/>
    <w:rsid w:val="00E21F28"/>
    <w:rsid w:val="00E21F58"/>
    <w:rsid w:val="00E225E3"/>
    <w:rsid w:val="00E22720"/>
    <w:rsid w:val="00E2274B"/>
    <w:rsid w:val="00E227FD"/>
    <w:rsid w:val="00E22868"/>
    <w:rsid w:val="00E22B3B"/>
    <w:rsid w:val="00E22BF2"/>
    <w:rsid w:val="00E22D2B"/>
    <w:rsid w:val="00E22DD1"/>
    <w:rsid w:val="00E2397F"/>
    <w:rsid w:val="00E24A18"/>
    <w:rsid w:val="00E24FCA"/>
    <w:rsid w:val="00E25180"/>
    <w:rsid w:val="00E25209"/>
    <w:rsid w:val="00E2585D"/>
    <w:rsid w:val="00E26558"/>
    <w:rsid w:val="00E26585"/>
    <w:rsid w:val="00E266CE"/>
    <w:rsid w:val="00E27479"/>
    <w:rsid w:val="00E27AA6"/>
    <w:rsid w:val="00E27B92"/>
    <w:rsid w:val="00E27CBD"/>
    <w:rsid w:val="00E27D57"/>
    <w:rsid w:val="00E27EA4"/>
    <w:rsid w:val="00E3004E"/>
    <w:rsid w:val="00E302BC"/>
    <w:rsid w:val="00E311CF"/>
    <w:rsid w:val="00E31423"/>
    <w:rsid w:val="00E315B7"/>
    <w:rsid w:val="00E31A33"/>
    <w:rsid w:val="00E31E0F"/>
    <w:rsid w:val="00E31F22"/>
    <w:rsid w:val="00E32134"/>
    <w:rsid w:val="00E32291"/>
    <w:rsid w:val="00E324EF"/>
    <w:rsid w:val="00E3267A"/>
    <w:rsid w:val="00E32984"/>
    <w:rsid w:val="00E32A0C"/>
    <w:rsid w:val="00E330AD"/>
    <w:rsid w:val="00E33509"/>
    <w:rsid w:val="00E336B7"/>
    <w:rsid w:val="00E33773"/>
    <w:rsid w:val="00E3380A"/>
    <w:rsid w:val="00E33A40"/>
    <w:rsid w:val="00E3452B"/>
    <w:rsid w:val="00E34792"/>
    <w:rsid w:val="00E34CA7"/>
    <w:rsid w:val="00E354F8"/>
    <w:rsid w:val="00E35782"/>
    <w:rsid w:val="00E35A0A"/>
    <w:rsid w:val="00E366BD"/>
    <w:rsid w:val="00E36A3C"/>
    <w:rsid w:val="00E36EE7"/>
    <w:rsid w:val="00E36F57"/>
    <w:rsid w:val="00E37532"/>
    <w:rsid w:val="00E37863"/>
    <w:rsid w:val="00E40715"/>
    <w:rsid w:val="00E40A02"/>
    <w:rsid w:val="00E4151F"/>
    <w:rsid w:val="00E41C97"/>
    <w:rsid w:val="00E42057"/>
    <w:rsid w:val="00E42418"/>
    <w:rsid w:val="00E42468"/>
    <w:rsid w:val="00E42487"/>
    <w:rsid w:val="00E4286F"/>
    <w:rsid w:val="00E42917"/>
    <w:rsid w:val="00E4313D"/>
    <w:rsid w:val="00E43197"/>
    <w:rsid w:val="00E4337D"/>
    <w:rsid w:val="00E4377F"/>
    <w:rsid w:val="00E43C17"/>
    <w:rsid w:val="00E43F23"/>
    <w:rsid w:val="00E441F0"/>
    <w:rsid w:val="00E44281"/>
    <w:rsid w:val="00E4436E"/>
    <w:rsid w:val="00E44550"/>
    <w:rsid w:val="00E44842"/>
    <w:rsid w:val="00E44876"/>
    <w:rsid w:val="00E44AFF"/>
    <w:rsid w:val="00E44B07"/>
    <w:rsid w:val="00E44C41"/>
    <w:rsid w:val="00E44CCE"/>
    <w:rsid w:val="00E451E5"/>
    <w:rsid w:val="00E452E4"/>
    <w:rsid w:val="00E454D8"/>
    <w:rsid w:val="00E46673"/>
    <w:rsid w:val="00E468BD"/>
    <w:rsid w:val="00E4705F"/>
    <w:rsid w:val="00E47130"/>
    <w:rsid w:val="00E475BC"/>
    <w:rsid w:val="00E47658"/>
    <w:rsid w:val="00E47C38"/>
    <w:rsid w:val="00E5018D"/>
    <w:rsid w:val="00E50333"/>
    <w:rsid w:val="00E5043E"/>
    <w:rsid w:val="00E5047B"/>
    <w:rsid w:val="00E50A71"/>
    <w:rsid w:val="00E50CA8"/>
    <w:rsid w:val="00E50EA6"/>
    <w:rsid w:val="00E5124F"/>
    <w:rsid w:val="00E5127A"/>
    <w:rsid w:val="00E51CE5"/>
    <w:rsid w:val="00E51D86"/>
    <w:rsid w:val="00E5222E"/>
    <w:rsid w:val="00E524F7"/>
    <w:rsid w:val="00E5315C"/>
    <w:rsid w:val="00E53293"/>
    <w:rsid w:val="00E532C0"/>
    <w:rsid w:val="00E53435"/>
    <w:rsid w:val="00E53565"/>
    <w:rsid w:val="00E537F8"/>
    <w:rsid w:val="00E53889"/>
    <w:rsid w:val="00E539B6"/>
    <w:rsid w:val="00E53A96"/>
    <w:rsid w:val="00E54190"/>
    <w:rsid w:val="00E54553"/>
    <w:rsid w:val="00E54860"/>
    <w:rsid w:val="00E54CDB"/>
    <w:rsid w:val="00E54F3B"/>
    <w:rsid w:val="00E5565E"/>
    <w:rsid w:val="00E556B8"/>
    <w:rsid w:val="00E55A5F"/>
    <w:rsid w:val="00E55AED"/>
    <w:rsid w:val="00E55B02"/>
    <w:rsid w:val="00E55DBC"/>
    <w:rsid w:val="00E569E6"/>
    <w:rsid w:val="00E56B52"/>
    <w:rsid w:val="00E56BD7"/>
    <w:rsid w:val="00E56E28"/>
    <w:rsid w:val="00E57354"/>
    <w:rsid w:val="00E57545"/>
    <w:rsid w:val="00E575BD"/>
    <w:rsid w:val="00E576BE"/>
    <w:rsid w:val="00E5788D"/>
    <w:rsid w:val="00E6031F"/>
    <w:rsid w:val="00E603D5"/>
    <w:rsid w:val="00E604A9"/>
    <w:rsid w:val="00E60515"/>
    <w:rsid w:val="00E6051E"/>
    <w:rsid w:val="00E60A3D"/>
    <w:rsid w:val="00E60B28"/>
    <w:rsid w:val="00E60C4B"/>
    <w:rsid w:val="00E61701"/>
    <w:rsid w:val="00E61DB8"/>
    <w:rsid w:val="00E62337"/>
    <w:rsid w:val="00E62457"/>
    <w:rsid w:val="00E62671"/>
    <w:rsid w:val="00E632EA"/>
    <w:rsid w:val="00E6346D"/>
    <w:rsid w:val="00E637F5"/>
    <w:rsid w:val="00E63BDD"/>
    <w:rsid w:val="00E64237"/>
    <w:rsid w:val="00E6433B"/>
    <w:rsid w:val="00E6457E"/>
    <w:rsid w:val="00E64748"/>
    <w:rsid w:val="00E647F5"/>
    <w:rsid w:val="00E64982"/>
    <w:rsid w:val="00E64C29"/>
    <w:rsid w:val="00E64FF7"/>
    <w:rsid w:val="00E654F5"/>
    <w:rsid w:val="00E6589E"/>
    <w:rsid w:val="00E65908"/>
    <w:rsid w:val="00E65A72"/>
    <w:rsid w:val="00E65D63"/>
    <w:rsid w:val="00E66008"/>
    <w:rsid w:val="00E661D1"/>
    <w:rsid w:val="00E66304"/>
    <w:rsid w:val="00E667E6"/>
    <w:rsid w:val="00E672E8"/>
    <w:rsid w:val="00E676A0"/>
    <w:rsid w:val="00E676F6"/>
    <w:rsid w:val="00E67C23"/>
    <w:rsid w:val="00E67DD0"/>
    <w:rsid w:val="00E67EFB"/>
    <w:rsid w:val="00E7046B"/>
    <w:rsid w:val="00E70953"/>
    <w:rsid w:val="00E70961"/>
    <w:rsid w:val="00E70D60"/>
    <w:rsid w:val="00E70E6C"/>
    <w:rsid w:val="00E70F5D"/>
    <w:rsid w:val="00E710A7"/>
    <w:rsid w:val="00E716DD"/>
    <w:rsid w:val="00E71BD2"/>
    <w:rsid w:val="00E71BEC"/>
    <w:rsid w:val="00E71D2A"/>
    <w:rsid w:val="00E726E4"/>
    <w:rsid w:val="00E72856"/>
    <w:rsid w:val="00E729F9"/>
    <w:rsid w:val="00E72C59"/>
    <w:rsid w:val="00E72E36"/>
    <w:rsid w:val="00E72EBD"/>
    <w:rsid w:val="00E732B1"/>
    <w:rsid w:val="00E7334D"/>
    <w:rsid w:val="00E73564"/>
    <w:rsid w:val="00E7361D"/>
    <w:rsid w:val="00E73B43"/>
    <w:rsid w:val="00E740F8"/>
    <w:rsid w:val="00E74316"/>
    <w:rsid w:val="00E74523"/>
    <w:rsid w:val="00E7497D"/>
    <w:rsid w:val="00E74EC1"/>
    <w:rsid w:val="00E75073"/>
    <w:rsid w:val="00E751C7"/>
    <w:rsid w:val="00E75416"/>
    <w:rsid w:val="00E75471"/>
    <w:rsid w:val="00E7595E"/>
    <w:rsid w:val="00E75BFD"/>
    <w:rsid w:val="00E7648B"/>
    <w:rsid w:val="00E769F1"/>
    <w:rsid w:val="00E76A9D"/>
    <w:rsid w:val="00E76BC6"/>
    <w:rsid w:val="00E76E67"/>
    <w:rsid w:val="00E77372"/>
    <w:rsid w:val="00E777A7"/>
    <w:rsid w:val="00E77807"/>
    <w:rsid w:val="00E77829"/>
    <w:rsid w:val="00E77D41"/>
    <w:rsid w:val="00E77DE0"/>
    <w:rsid w:val="00E8015C"/>
    <w:rsid w:val="00E80549"/>
    <w:rsid w:val="00E805CD"/>
    <w:rsid w:val="00E80CEB"/>
    <w:rsid w:val="00E80F9B"/>
    <w:rsid w:val="00E8114B"/>
    <w:rsid w:val="00E811EB"/>
    <w:rsid w:val="00E816EA"/>
    <w:rsid w:val="00E81800"/>
    <w:rsid w:val="00E81A4C"/>
    <w:rsid w:val="00E81C54"/>
    <w:rsid w:val="00E81C94"/>
    <w:rsid w:val="00E82390"/>
    <w:rsid w:val="00E8255D"/>
    <w:rsid w:val="00E82832"/>
    <w:rsid w:val="00E82AA4"/>
    <w:rsid w:val="00E82B03"/>
    <w:rsid w:val="00E82BB8"/>
    <w:rsid w:val="00E82C32"/>
    <w:rsid w:val="00E831E5"/>
    <w:rsid w:val="00E83529"/>
    <w:rsid w:val="00E83F9C"/>
    <w:rsid w:val="00E841CD"/>
    <w:rsid w:val="00E8454D"/>
    <w:rsid w:val="00E8477D"/>
    <w:rsid w:val="00E84DDC"/>
    <w:rsid w:val="00E84E00"/>
    <w:rsid w:val="00E8507C"/>
    <w:rsid w:val="00E85882"/>
    <w:rsid w:val="00E85A90"/>
    <w:rsid w:val="00E85C03"/>
    <w:rsid w:val="00E85D80"/>
    <w:rsid w:val="00E85E48"/>
    <w:rsid w:val="00E86320"/>
    <w:rsid w:val="00E86443"/>
    <w:rsid w:val="00E86776"/>
    <w:rsid w:val="00E86BE5"/>
    <w:rsid w:val="00E87475"/>
    <w:rsid w:val="00E903D9"/>
    <w:rsid w:val="00E90463"/>
    <w:rsid w:val="00E9061A"/>
    <w:rsid w:val="00E90C26"/>
    <w:rsid w:val="00E90D58"/>
    <w:rsid w:val="00E90D7B"/>
    <w:rsid w:val="00E90E44"/>
    <w:rsid w:val="00E91A0F"/>
    <w:rsid w:val="00E920C2"/>
    <w:rsid w:val="00E925D4"/>
    <w:rsid w:val="00E92DB3"/>
    <w:rsid w:val="00E930E3"/>
    <w:rsid w:val="00E936A8"/>
    <w:rsid w:val="00E93B59"/>
    <w:rsid w:val="00E93B67"/>
    <w:rsid w:val="00E93E78"/>
    <w:rsid w:val="00E9428F"/>
    <w:rsid w:val="00E9436B"/>
    <w:rsid w:val="00E94512"/>
    <w:rsid w:val="00E94730"/>
    <w:rsid w:val="00E94EAA"/>
    <w:rsid w:val="00E95701"/>
    <w:rsid w:val="00E95C18"/>
    <w:rsid w:val="00E95FD5"/>
    <w:rsid w:val="00E9669E"/>
    <w:rsid w:val="00E96778"/>
    <w:rsid w:val="00E9696C"/>
    <w:rsid w:val="00E96A91"/>
    <w:rsid w:val="00E96A94"/>
    <w:rsid w:val="00E96D1A"/>
    <w:rsid w:val="00E96D6D"/>
    <w:rsid w:val="00E96FE2"/>
    <w:rsid w:val="00E97143"/>
    <w:rsid w:val="00E971D6"/>
    <w:rsid w:val="00E9761F"/>
    <w:rsid w:val="00E979EA"/>
    <w:rsid w:val="00E97A52"/>
    <w:rsid w:val="00E97BAE"/>
    <w:rsid w:val="00EA0475"/>
    <w:rsid w:val="00EA0C99"/>
    <w:rsid w:val="00EA0D9E"/>
    <w:rsid w:val="00EA18E7"/>
    <w:rsid w:val="00EA1DFE"/>
    <w:rsid w:val="00EA1FA5"/>
    <w:rsid w:val="00EA2BFA"/>
    <w:rsid w:val="00EA2F85"/>
    <w:rsid w:val="00EA3045"/>
    <w:rsid w:val="00EA30A1"/>
    <w:rsid w:val="00EA3408"/>
    <w:rsid w:val="00EA34D8"/>
    <w:rsid w:val="00EA369F"/>
    <w:rsid w:val="00EA3A31"/>
    <w:rsid w:val="00EA3A4B"/>
    <w:rsid w:val="00EA3EF8"/>
    <w:rsid w:val="00EA3F2D"/>
    <w:rsid w:val="00EA42B0"/>
    <w:rsid w:val="00EA4523"/>
    <w:rsid w:val="00EA5461"/>
    <w:rsid w:val="00EA565F"/>
    <w:rsid w:val="00EA59A8"/>
    <w:rsid w:val="00EA5A92"/>
    <w:rsid w:val="00EA602A"/>
    <w:rsid w:val="00EA6346"/>
    <w:rsid w:val="00EA6564"/>
    <w:rsid w:val="00EA685F"/>
    <w:rsid w:val="00EA6B5C"/>
    <w:rsid w:val="00EA7011"/>
    <w:rsid w:val="00EA75E6"/>
    <w:rsid w:val="00EA77A4"/>
    <w:rsid w:val="00EA77C4"/>
    <w:rsid w:val="00EA7A31"/>
    <w:rsid w:val="00EA7F26"/>
    <w:rsid w:val="00EB0B68"/>
    <w:rsid w:val="00EB0E2D"/>
    <w:rsid w:val="00EB0F15"/>
    <w:rsid w:val="00EB1697"/>
    <w:rsid w:val="00EB1991"/>
    <w:rsid w:val="00EB1A7B"/>
    <w:rsid w:val="00EB1BA0"/>
    <w:rsid w:val="00EB1CC2"/>
    <w:rsid w:val="00EB1EF2"/>
    <w:rsid w:val="00EB2355"/>
    <w:rsid w:val="00EB26C6"/>
    <w:rsid w:val="00EB2FB5"/>
    <w:rsid w:val="00EB2FFE"/>
    <w:rsid w:val="00EB32CC"/>
    <w:rsid w:val="00EB3983"/>
    <w:rsid w:val="00EB3A77"/>
    <w:rsid w:val="00EB4380"/>
    <w:rsid w:val="00EB491D"/>
    <w:rsid w:val="00EB4ACA"/>
    <w:rsid w:val="00EB4B5B"/>
    <w:rsid w:val="00EB5DC5"/>
    <w:rsid w:val="00EB6475"/>
    <w:rsid w:val="00EB66CF"/>
    <w:rsid w:val="00EB7051"/>
    <w:rsid w:val="00EB750A"/>
    <w:rsid w:val="00EB7AAC"/>
    <w:rsid w:val="00EC06EB"/>
    <w:rsid w:val="00EC078E"/>
    <w:rsid w:val="00EC0B47"/>
    <w:rsid w:val="00EC11DA"/>
    <w:rsid w:val="00EC12F7"/>
    <w:rsid w:val="00EC1308"/>
    <w:rsid w:val="00EC1458"/>
    <w:rsid w:val="00EC15FF"/>
    <w:rsid w:val="00EC163B"/>
    <w:rsid w:val="00EC1FAC"/>
    <w:rsid w:val="00EC236C"/>
    <w:rsid w:val="00EC23D9"/>
    <w:rsid w:val="00EC27BF"/>
    <w:rsid w:val="00EC3033"/>
    <w:rsid w:val="00EC3705"/>
    <w:rsid w:val="00EC39B7"/>
    <w:rsid w:val="00EC407A"/>
    <w:rsid w:val="00EC4506"/>
    <w:rsid w:val="00EC47BE"/>
    <w:rsid w:val="00EC4D2B"/>
    <w:rsid w:val="00EC51C0"/>
    <w:rsid w:val="00EC5C99"/>
    <w:rsid w:val="00EC5FD1"/>
    <w:rsid w:val="00EC689D"/>
    <w:rsid w:val="00EC71A9"/>
    <w:rsid w:val="00EC7541"/>
    <w:rsid w:val="00EC7CA5"/>
    <w:rsid w:val="00ED0061"/>
    <w:rsid w:val="00ED0150"/>
    <w:rsid w:val="00ED0585"/>
    <w:rsid w:val="00ED05FD"/>
    <w:rsid w:val="00ED07DC"/>
    <w:rsid w:val="00ED0C24"/>
    <w:rsid w:val="00ED108C"/>
    <w:rsid w:val="00ED17D7"/>
    <w:rsid w:val="00ED186C"/>
    <w:rsid w:val="00ED18A9"/>
    <w:rsid w:val="00ED1929"/>
    <w:rsid w:val="00ED1BF1"/>
    <w:rsid w:val="00ED2061"/>
    <w:rsid w:val="00ED21C6"/>
    <w:rsid w:val="00ED22FD"/>
    <w:rsid w:val="00ED2583"/>
    <w:rsid w:val="00ED2758"/>
    <w:rsid w:val="00ED2BD2"/>
    <w:rsid w:val="00ED3861"/>
    <w:rsid w:val="00ED38A5"/>
    <w:rsid w:val="00ED436C"/>
    <w:rsid w:val="00ED45BE"/>
    <w:rsid w:val="00ED5005"/>
    <w:rsid w:val="00ED504D"/>
    <w:rsid w:val="00ED5356"/>
    <w:rsid w:val="00ED5743"/>
    <w:rsid w:val="00ED576B"/>
    <w:rsid w:val="00ED5B4B"/>
    <w:rsid w:val="00ED637C"/>
    <w:rsid w:val="00ED6AEE"/>
    <w:rsid w:val="00ED6EBE"/>
    <w:rsid w:val="00ED700F"/>
    <w:rsid w:val="00ED70E2"/>
    <w:rsid w:val="00ED7212"/>
    <w:rsid w:val="00ED732D"/>
    <w:rsid w:val="00ED7482"/>
    <w:rsid w:val="00ED7519"/>
    <w:rsid w:val="00ED7C25"/>
    <w:rsid w:val="00ED7E3D"/>
    <w:rsid w:val="00ED7F00"/>
    <w:rsid w:val="00ED7F36"/>
    <w:rsid w:val="00EE0194"/>
    <w:rsid w:val="00EE0247"/>
    <w:rsid w:val="00EE0C26"/>
    <w:rsid w:val="00EE1768"/>
    <w:rsid w:val="00EE1AB4"/>
    <w:rsid w:val="00EE234C"/>
    <w:rsid w:val="00EE2440"/>
    <w:rsid w:val="00EE24BD"/>
    <w:rsid w:val="00EE24DA"/>
    <w:rsid w:val="00EE3A63"/>
    <w:rsid w:val="00EE40A0"/>
    <w:rsid w:val="00EE450D"/>
    <w:rsid w:val="00EE45DD"/>
    <w:rsid w:val="00EE4788"/>
    <w:rsid w:val="00EE49D2"/>
    <w:rsid w:val="00EE4A77"/>
    <w:rsid w:val="00EE4CFC"/>
    <w:rsid w:val="00EE55FA"/>
    <w:rsid w:val="00EE5871"/>
    <w:rsid w:val="00EE58BF"/>
    <w:rsid w:val="00EE5D9B"/>
    <w:rsid w:val="00EE5F55"/>
    <w:rsid w:val="00EE5F93"/>
    <w:rsid w:val="00EE619E"/>
    <w:rsid w:val="00EE6577"/>
    <w:rsid w:val="00EE6E83"/>
    <w:rsid w:val="00EE742D"/>
    <w:rsid w:val="00EE7577"/>
    <w:rsid w:val="00EE7955"/>
    <w:rsid w:val="00EE7E09"/>
    <w:rsid w:val="00EE7E6D"/>
    <w:rsid w:val="00EF0282"/>
    <w:rsid w:val="00EF0FD5"/>
    <w:rsid w:val="00EF1DCE"/>
    <w:rsid w:val="00EF231F"/>
    <w:rsid w:val="00EF28CB"/>
    <w:rsid w:val="00EF2966"/>
    <w:rsid w:val="00EF2B18"/>
    <w:rsid w:val="00EF2BF0"/>
    <w:rsid w:val="00EF2D44"/>
    <w:rsid w:val="00EF33DA"/>
    <w:rsid w:val="00EF3D2D"/>
    <w:rsid w:val="00EF3DC3"/>
    <w:rsid w:val="00EF41CC"/>
    <w:rsid w:val="00EF4212"/>
    <w:rsid w:val="00EF45D4"/>
    <w:rsid w:val="00EF4759"/>
    <w:rsid w:val="00EF481E"/>
    <w:rsid w:val="00EF48AA"/>
    <w:rsid w:val="00EF4FF0"/>
    <w:rsid w:val="00EF5190"/>
    <w:rsid w:val="00EF5269"/>
    <w:rsid w:val="00EF562F"/>
    <w:rsid w:val="00EF568A"/>
    <w:rsid w:val="00EF5898"/>
    <w:rsid w:val="00EF5B2D"/>
    <w:rsid w:val="00EF5BC1"/>
    <w:rsid w:val="00EF631E"/>
    <w:rsid w:val="00EF6A97"/>
    <w:rsid w:val="00EF7160"/>
    <w:rsid w:val="00EF717C"/>
    <w:rsid w:val="00EF7310"/>
    <w:rsid w:val="00EF7454"/>
    <w:rsid w:val="00EF7526"/>
    <w:rsid w:val="00F0016E"/>
    <w:rsid w:val="00F004D4"/>
    <w:rsid w:val="00F00825"/>
    <w:rsid w:val="00F00856"/>
    <w:rsid w:val="00F009FD"/>
    <w:rsid w:val="00F00A38"/>
    <w:rsid w:val="00F00A5F"/>
    <w:rsid w:val="00F00C6B"/>
    <w:rsid w:val="00F0103A"/>
    <w:rsid w:val="00F0152D"/>
    <w:rsid w:val="00F017E6"/>
    <w:rsid w:val="00F0194A"/>
    <w:rsid w:val="00F01D4D"/>
    <w:rsid w:val="00F01E4A"/>
    <w:rsid w:val="00F02427"/>
    <w:rsid w:val="00F02453"/>
    <w:rsid w:val="00F024D6"/>
    <w:rsid w:val="00F024FD"/>
    <w:rsid w:val="00F025E2"/>
    <w:rsid w:val="00F02D26"/>
    <w:rsid w:val="00F02EDC"/>
    <w:rsid w:val="00F03307"/>
    <w:rsid w:val="00F037AA"/>
    <w:rsid w:val="00F03A10"/>
    <w:rsid w:val="00F040E8"/>
    <w:rsid w:val="00F04303"/>
    <w:rsid w:val="00F043E1"/>
    <w:rsid w:val="00F045E4"/>
    <w:rsid w:val="00F04737"/>
    <w:rsid w:val="00F04AC9"/>
    <w:rsid w:val="00F04DE6"/>
    <w:rsid w:val="00F050F6"/>
    <w:rsid w:val="00F052D2"/>
    <w:rsid w:val="00F052F9"/>
    <w:rsid w:val="00F05755"/>
    <w:rsid w:val="00F05D7E"/>
    <w:rsid w:val="00F062E7"/>
    <w:rsid w:val="00F06324"/>
    <w:rsid w:val="00F07384"/>
    <w:rsid w:val="00F075A1"/>
    <w:rsid w:val="00F07A26"/>
    <w:rsid w:val="00F10265"/>
    <w:rsid w:val="00F102B5"/>
    <w:rsid w:val="00F10BBE"/>
    <w:rsid w:val="00F10D36"/>
    <w:rsid w:val="00F11186"/>
    <w:rsid w:val="00F118DB"/>
    <w:rsid w:val="00F11923"/>
    <w:rsid w:val="00F11B77"/>
    <w:rsid w:val="00F11C95"/>
    <w:rsid w:val="00F11CFD"/>
    <w:rsid w:val="00F11F06"/>
    <w:rsid w:val="00F12405"/>
    <w:rsid w:val="00F1279C"/>
    <w:rsid w:val="00F129E3"/>
    <w:rsid w:val="00F12AA7"/>
    <w:rsid w:val="00F12BE6"/>
    <w:rsid w:val="00F12FAB"/>
    <w:rsid w:val="00F1316E"/>
    <w:rsid w:val="00F1383A"/>
    <w:rsid w:val="00F13991"/>
    <w:rsid w:val="00F13CF1"/>
    <w:rsid w:val="00F13DDC"/>
    <w:rsid w:val="00F1407A"/>
    <w:rsid w:val="00F143C5"/>
    <w:rsid w:val="00F147E5"/>
    <w:rsid w:val="00F14968"/>
    <w:rsid w:val="00F14ABD"/>
    <w:rsid w:val="00F14DB1"/>
    <w:rsid w:val="00F152CE"/>
    <w:rsid w:val="00F154A1"/>
    <w:rsid w:val="00F164A9"/>
    <w:rsid w:val="00F16794"/>
    <w:rsid w:val="00F16A17"/>
    <w:rsid w:val="00F16EDC"/>
    <w:rsid w:val="00F16FBD"/>
    <w:rsid w:val="00F1764A"/>
    <w:rsid w:val="00F17AA8"/>
    <w:rsid w:val="00F17D8A"/>
    <w:rsid w:val="00F17D9F"/>
    <w:rsid w:val="00F2062C"/>
    <w:rsid w:val="00F2078E"/>
    <w:rsid w:val="00F2105E"/>
    <w:rsid w:val="00F2134B"/>
    <w:rsid w:val="00F21722"/>
    <w:rsid w:val="00F217A2"/>
    <w:rsid w:val="00F21828"/>
    <w:rsid w:val="00F21BCE"/>
    <w:rsid w:val="00F22447"/>
    <w:rsid w:val="00F22EDF"/>
    <w:rsid w:val="00F23605"/>
    <w:rsid w:val="00F23804"/>
    <w:rsid w:val="00F2380B"/>
    <w:rsid w:val="00F23982"/>
    <w:rsid w:val="00F2435F"/>
    <w:rsid w:val="00F24586"/>
    <w:rsid w:val="00F24664"/>
    <w:rsid w:val="00F2489C"/>
    <w:rsid w:val="00F2532A"/>
    <w:rsid w:val="00F25376"/>
    <w:rsid w:val="00F259E6"/>
    <w:rsid w:val="00F261E5"/>
    <w:rsid w:val="00F26AED"/>
    <w:rsid w:val="00F26F3A"/>
    <w:rsid w:val="00F274BA"/>
    <w:rsid w:val="00F276C8"/>
    <w:rsid w:val="00F27D42"/>
    <w:rsid w:val="00F27E7D"/>
    <w:rsid w:val="00F27F72"/>
    <w:rsid w:val="00F308F6"/>
    <w:rsid w:val="00F309A3"/>
    <w:rsid w:val="00F30A23"/>
    <w:rsid w:val="00F30E8E"/>
    <w:rsid w:val="00F316E2"/>
    <w:rsid w:val="00F3178D"/>
    <w:rsid w:val="00F319DE"/>
    <w:rsid w:val="00F32071"/>
    <w:rsid w:val="00F324ED"/>
    <w:rsid w:val="00F326AC"/>
    <w:rsid w:val="00F3273C"/>
    <w:rsid w:val="00F33496"/>
    <w:rsid w:val="00F33635"/>
    <w:rsid w:val="00F33D1E"/>
    <w:rsid w:val="00F344C8"/>
    <w:rsid w:val="00F34711"/>
    <w:rsid w:val="00F34BFA"/>
    <w:rsid w:val="00F34CF5"/>
    <w:rsid w:val="00F34EB4"/>
    <w:rsid w:val="00F35246"/>
    <w:rsid w:val="00F3528F"/>
    <w:rsid w:val="00F3545C"/>
    <w:rsid w:val="00F35815"/>
    <w:rsid w:val="00F360C1"/>
    <w:rsid w:val="00F3649E"/>
    <w:rsid w:val="00F36787"/>
    <w:rsid w:val="00F36B81"/>
    <w:rsid w:val="00F36C7A"/>
    <w:rsid w:val="00F36D2F"/>
    <w:rsid w:val="00F370E0"/>
    <w:rsid w:val="00F3752F"/>
    <w:rsid w:val="00F37883"/>
    <w:rsid w:val="00F37CA7"/>
    <w:rsid w:val="00F401C9"/>
    <w:rsid w:val="00F40535"/>
    <w:rsid w:val="00F405A7"/>
    <w:rsid w:val="00F405F2"/>
    <w:rsid w:val="00F40762"/>
    <w:rsid w:val="00F40B7A"/>
    <w:rsid w:val="00F4109B"/>
    <w:rsid w:val="00F4112E"/>
    <w:rsid w:val="00F41986"/>
    <w:rsid w:val="00F420D9"/>
    <w:rsid w:val="00F42B2C"/>
    <w:rsid w:val="00F4321C"/>
    <w:rsid w:val="00F4349A"/>
    <w:rsid w:val="00F436FF"/>
    <w:rsid w:val="00F43750"/>
    <w:rsid w:val="00F44247"/>
    <w:rsid w:val="00F446E2"/>
    <w:rsid w:val="00F44B5D"/>
    <w:rsid w:val="00F4548D"/>
    <w:rsid w:val="00F45718"/>
    <w:rsid w:val="00F45946"/>
    <w:rsid w:val="00F459D2"/>
    <w:rsid w:val="00F45A9D"/>
    <w:rsid w:val="00F45BF9"/>
    <w:rsid w:val="00F45DE0"/>
    <w:rsid w:val="00F460DB"/>
    <w:rsid w:val="00F4651E"/>
    <w:rsid w:val="00F468CC"/>
    <w:rsid w:val="00F4698D"/>
    <w:rsid w:val="00F47923"/>
    <w:rsid w:val="00F47DDC"/>
    <w:rsid w:val="00F47E0B"/>
    <w:rsid w:val="00F47E4A"/>
    <w:rsid w:val="00F505A0"/>
    <w:rsid w:val="00F50E63"/>
    <w:rsid w:val="00F51916"/>
    <w:rsid w:val="00F51AD6"/>
    <w:rsid w:val="00F51DE8"/>
    <w:rsid w:val="00F52301"/>
    <w:rsid w:val="00F52FBF"/>
    <w:rsid w:val="00F5300C"/>
    <w:rsid w:val="00F5369F"/>
    <w:rsid w:val="00F5406B"/>
    <w:rsid w:val="00F540C0"/>
    <w:rsid w:val="00F54172"/>
    <w:rsid w:val="00F54325"/>
    <w:rsid w:val="00F54755"/>
    <w:rsid w:val="00F54819"/>
    <w:rsid w:val="00F54AE2"/>
    <w:rsid w:val="00F54D55"/>
    <w:rsid w:val="00F552D0"/>
    <w:rsid w:val="00F553D1"/>
    <w:rsid w:val="00F557BB"/>
    <w:rsid w:val="00F55800"/>
    <w:rsid w:val="00F5592F"/>
    <w:rsid w:val="00F55AB1"/>
    <w:rsid w:val="00F55FFB"/>
    <w:rsid w:val="00F5601D"/>
    <w:rsid w:val="00F560BC"/>
    <w:rsid w:val="00F5630C"/>
    <w:rsid w:val="00F563C4"/>
    <w:rsid w:val="00F56509"/>
    <w:rsid w:val="00F566C9"/>
    <w:rsid w:val="00F56A56"/>
    <w:rsid w:val="00F56AF2"/>
    <w:rsid w:val="00F56FB4"/>
    <w:rsid w:val="00F57408"/>
    <w:rsid w:val="00F57990"/>
    <w:rsid w:val="00F601AF"/>
    <w:rsid w:val="00F60662"/>
    <w:rsid w:val="00F60769"/>
    <w:rsid w:val="00F60AFF"/>
    <w:rsid w:val="00F610A1"/>
    <w:rsid w:val="00F615A2"/>
    <w:rsid w:val="00F616C7"/>
    <w:rsid w:val="00F61848"/>
    <w:rsid w:val="00F61918"/>
    <w:rsid w:val="00F619CC"/>
    <w:rsid w:val="00F620AE"/>
    <w:rsid w:val="00F62148"/>
    <w:rsid w:val="00F622FF"/>
    <w:rsid w:val="00F629D0"/>
    <w:rsid w:val="00F62FB9"/>
    <w:rsid w:val="00F63391"/>
    <w:rsid w:val="00F63556"/>
    <w:rsid w:val="00F636F0"/>
    <w:rsid w:val="00F63779"/>
    <w:rsid w:val="00F63AE9"/>
    <w:rsid w:val="00F63DA5"/>
    <w:rsid w:val="00F64296"/>
    <w:rsid w:val="00F64358"/>
    <w:rsid w:val="00F644A7"/>
    <w:rsid w:val="00F657F2"/>
    <w:rsid w:val="00F65852"/>
    <w:rsid w:val="00F65B7F"/>
    <w:rsid w:val="00F6621A"/>
    <w:rsid w:val="00F665E0"/>
    <w:rsid w:val="00F6668E"/>
    <w:rsid w:val="00F66AB5"/>
    <w:rsid w:val="00F66DEA"/>
    <w:rsid w:val="00F670E3"/>
    <w:rsid w:val="00F6759D"/>
    <w:rsid w:val="00F7020F"/>
    <w:rsid w:val="00F704EB"/>
    <w:rsid w:val="00F70596"/>
    <w:rsid w:val="00F70A68"/>
    <w:rsid w:val="00F70C99"/>
    <w:rsid w:val="00F70DA9"/>
    <w:rsid w:val="00F717D6"/>
    <w:rsid w:val="00F71901"/>
    <w:rsid w:val="00F71BC1"/>
    <w:rsid w:val="00F71F85"/>
    <w:rsid w:val="00F726DB"/>
    <w:rsid w:val="00F727A0"/>
    <w:rsid w:val="00F7290E"/>
    <w:rsid w:val="00F72A3F"/>
    <w:rsid w:val="00F72A9F"/>
    <w:rsid w:val="00F73358"/>
    <w:rsid w:val="00F733DD"/>
    <w:rsid w:val="00F73965"/>
    <w:rsid w:val="00F74015"/>
    <w:rsid w:val="00F74259"/>
    <w:rsid w:val="00F74795"/>
    <w:rsid w:val="00F74EC6"/>
    <w:rsid w:val="00F74FBB"/>
    <w:rsid w:val="00F75208"/>
    <w:rsid w:val="00F7575C"/>
    <w:rsid w:val="00F75FE1"/>
    <w:rsid w:val="00F76051"/>
    <w:rsid w:val="00F76121"/>
    <w:rsid w:val="00F7656D"/>
    <w:rsid w:val="00F7663D"/>
    <w:rsid w:val="00F7664F"/>
    <w:rsid w:val="00F7706A"/>
    <w:rsid w:val="00F7726A"/>
    <w:rsid w:val="00F77293"/>
    <w:rsid w:val="00F774B7"/>
    <w:rsid w:val="00F7754D"/>
    <w:rsid w:val="00F77879"/>
    <w:rsid w:val="00F77A02"/>
    <w:rsid w:val="00F77A26"/>
    <w:rsid w:val="00F77B98"/>
    <w:rsid w:val="00F804DA"/>
    <w:rsid w:val="00F80633"/>
    <w:rsid w:val="00F80887"/>
    <w:rsid w:val="00F8102E"/>
    <w:rsid w:val="00F8106F"/>
    <w:rsid w:val="00F8122D"/>
    <w:rsid w:val="00F8125B"/>
    <w:rsid w:val="00F812C1"/>
    <w:rsid w:val="00F814D0"/>
    <w:rsid w:val="00F817B4"/>
    <w:rsid w:val="00F81AF3"/>
    <w:rsid w:val="00F81C44"/>
    <w:rsid w:val="00F81C6A"/>
    <w:rsid w:val="00F81DAE"/>
    <w:rsid w:val="00F81F11"/>
    <w:rsid w:val="00F8268D"/>
    <w:rsid w:val="00F82AA2"/>
    <w:rsid w:val="00F839C1"/>
    <w:rsid w:val="00F83E45"/>
    <w:rsid w:val="00F842F0"/>
    <w:rsid w:val="00F84447"/>
    <w:rsid w:val="00F84471"/>
    <w:rsid w:val="00F845A0"/>
    <w:rsid w:val="00F84D82"/>
    <w:rsid w:val="00F84EB6"/>
    <w:rsid w:val="00F84F15"/>
    <w:rsid w:val="00F84F85"/>
    <w:rsid w:val="00F84FD9"/>
    <w:rsid w:val="00F85757"/>
    <w:rsid w:val="00F85A7D"/>
    <w:rsid w:val="00F85C85"/>
    <w:rsid w:val="00F85D7A"/>
    <w:rsid w:val="00F868B7"/>
    <w:rsid w:val="00F868DF"/>
    <w:rsid w:val="00F86C89"/>
    <w:rsid w:val="00F87183"/>
    <w:rsid w:val="00F87371"/>
    <w:rsid w:val="00F87516"/>
    <w:rsid w:val="00F8755F"/>
    <w:rsid w:val="00F8757C"/>
    <w:rsid w:val="00F87CF9"/>
    <w:rsid w:val="00F9039D"/>
    <w:rsid w:val="00F9043E"/>
    <w:rsid w:val="00F90983"/>
    <w:rsid w:val="00F90F33"/>
    <w:rsid w:val="00F917AE"/>
    <w:rsid w:val="00F91845"/>
    <w:rsid w:val="00F91976"/>
    <w:rsid w:val="00F92056"/>
    <w:rsid w:val="00F92806"/>
    <w:rsid w:val="00F928AD"/>
    <w:rsid w:val="00F92ED1"/>
    <w:rsid w:val="00F92EDA"/>
    <w:rsid w:val="00F93A4E"/>
    <w:rsid w:val="00F93DCB"/>
    <w:rsid w:val="00F9419C"/>
    <w:rsid w:val="00F943E1"/>
    <w:rsid w:val="00F94FD8"/>
    <w:rsid w:val="00F9502C"/>
    <w:rsid w:val="00F9561E"/>
    <w:rsid w:val="00F9576B"/>
    <w:rsid w:val="00F95BFA"/>
    <w:rsid w:val="00F95D40"/>
    <w:rsid w:val="00F96258"/>
    <w:rsid w:val="00F963F9"/>
    <w:rsid w:val="00F96507"/>
    <w:rsid w:val="00F96AFF"/>
    <w:rsid w:val="00F96F82"/>
    <w:rsid w:val="00F9722D"/>
    <w:rsid w:val="00F97249"/>
    <w:rsid w:val="00F974D7"/>
    <w:rsid w:val="00F97691"/>
    <w:rsid w:val="00F97852"/>
    <w:rsid w:val="00F97E58"/>
    <w:rsid w:val="00FA0677"/>
    <w:rsid w:val="00FA0B08"/>
    <w:rsid w:val="00FA0DB2"/>
    <w:rsid w:val="00FA111C"/>
    <w:rsid w:val="00FA1186"/>
    <w:rsid w:val="00FA134A"/>
    <w:rsid w:val="00FA1789"/>
    <w:rsid w:val="00FA1B4A"/>
    <w:rsid w:val="00FA20F2"/>
    <w:rsid w:val="00FA2131"/>
    <w:rsid w:val="00FA2214"/>
    <w:rsid w:val="00FA2387"/>
    <w:rsid w:val="00FA2EBB"/>
    <w:rsid w:val="00FA30C3"/>
    <w:rsid w:val="00FA32FF"/>
    <w:rsid w:val="00FA400F"/>
    <w:rsid w:val="00FA4A8C"/>
    <w:rsid w:val="00FA4D22"/>
    <w:rsid w:val="00FA5381"/>
    <w:rsid w:val="00FA5718"/>
    <w:rsid w:val="00FA576F"/>
    <w:rsid w:val="00FA5A87"/>
    <w:rsid w:val="00FA6404"/>
    <w:rsid w:val="00FA65F4"/>
    <w:rsid w:val="00FA6D15"/>
    <w:rsid w:val="00FA70A6"/>
    <w:rsid w:val="00FA7564"/>
    <w:rsid w:val="00FB0122"/>
    <w:rsid w:val="00FB0379"/>
    <w:rsid w:val="00FB060A"/>
    <w:rsid w:val="00FB1655"/>
    <w:rsid w:val="00FB1679"/>
    <w:rsid w:val="00FB2049"/>
    <w:rsid w:val="00FB2B3E"/>
    <w:rsid w:val="00FB2E85"/>
    <w:rsid w:val="00FB30A8"/>
    <w:rsid w:val="00FB3B59"/>
    <w:rsid w:val="00FB3EDF"/>
    <w:rsid w:val="00FB4538"/>
    <w:rsid w:val="00FB461D"/>
    <w:rsid w:val="00FB4E0F"/>
    <w:rsid w:val="00FB50B3"/>
    <w:rsid w:val="00FB540B"/>
    <w:rsid w:val="00FB5475"/>
    <w:rsid w:val="00FB5C56"/>
    <w:rsid w:val="00FB695E"/>
    <w:rsid w:val="00FB69BF"/>
    <w:rsid w:val="00FB6CDB"/>
    <w:rsid w:val="00FB7108"/>
    <w:rsid w:val="00FB7C4A"/>
    <w:rsid w:val="00FC0023"/>
    <w:rsid w:val="00FC05F9"/>
    <w:rsid w:val="00FC06E8"/>
    <w:rsid w:val="00FC0E84"/>
    <w:rsid w:val="00FC133B"/>
    <w:rsid w:val="00FC17AA"/>
    <w:rsid w:val="00FC21B8"/>
    <w:rsid w:val="00FC2270"/>
    <w:rsid w:val="00FC3279"/>
    <w:rsid w:val="00FC32BD"/>
    <w:rsid w:val="00FC366E"/>
    <w:rsid w:val="00FC36A3"/>
    <w:rsid w:val="00FC379F"/>
    <w:rsid w:val="00FC3D99"/>
    <w:rsid w:val="00FC43B3"/>
    <w:rsid w:val="00FC4BB4"/>
    <w:rsid w:val="00FC4BC6"/>
    <w:rsid w:val="00FC4CFC"/>
    <w:rsid w:val="00FC5493"/>
    <w:rsid w:val="00FC59D7"/>
    <w:rsid w:val="00FC5BE4"/>
    <w:rsid w:val="00FC5CBF"/>
    <w:rsid w:val="00FC60CA"/>
    <w:rsid w:val="00FC6222"/>
    <w:rsid w:val="00FC65C6"/>
    <w:rsid w:val="00FC6C27"/>
    <w:rsid w:val="00FC6DE6"/>
    <w:rsid w:val="00FC6EB3"/>
    <w:rsid w:val="00FC72F7"/>
    <w:rsid w:val="00FC742D"/>
    <w:rsid w:val="00FC789B"/>
    <w:rsid w:val="00FC796E"/>
    <w:rsid w:val="00FC7FBB"/>
    <w:rsid w:val="00FD017C"/>
    <w:rsid w:val="00FD019D"/>
    <w:rsid w:val="00FD02E6"/>
    <w:rsid w:val="00FD0631"/>
    <w:rsid w:val="00FD06C2"/>
    <w:rsid w:val="00FD070F"/>
    <w:rsid w:val="00FD0CF7"/>
    <w:rsid w:val="00FD0DA7"/>
    <w:rsid w:val="00FD150F"/>
    <w:rsid w:val="00FD1AE2"/>
    <w:rsid w:val="00FD1E80"/>
    <w:rsid w:val="00FD21BC"/>
    <w:rsid w:val="00FD21D1"/>
    <w:rsid w:val="00FD22CC"/>
    <w:rsid w:val="00FD2975"/>
    <w:rsid w:val="00FD2E96"/>
    <w:rsid w:val="00FD312C"/>
    <w:rsid w:val="00FD324E"/>
    <w:rsid w:val="00FD3269"/>
    <w:rsid w:val="00FD348C"/>
    <w:rsid w:val="00FD401E"/>
    <w:rsid w:val="00FD447A"/>
    <w:rsid w:val="00FD4780"/>
    <w:rsid w:val="00FD4826"/>
    <w:rsid w:val="00FD4B83"/>
    <w:rsid w:val="00FD4D79"/>
    <w:rsid w:val="00FD5544"/>
    <w:rsid w:val="00FD5FE4"/>
    <w:rsid w:val="00FD60D7"/>
    <w:rsid w:val="00FD643E"/>
    <w:rsid w:val="00FD65DA"/>
    <w:rsid w:val="00FD662D"/>
    <w:rsid w:val="00FD67CE"/>
    <w:rsid w:val="00FD6871"/>
    <w:rsid w:val="00FD68AE"/>
    <w:rsid w:val="00FD6B78"/>
    <w:rsid w:val="00FD6BE6"/>
    <w:rsid w:val="00FD74F0"/>
    <w:rsid w:val="00FD78EF"/>
    <w:rsid w:val="00FD79DE"/>
    <w:rsid w:val="00FE033C"/>
    <w:rsid w:val="00FE09E5"/>
    <w:rsid w:val="00FE0A4D"/>
    <w:rsid w:val="00FE0FCF"/>
    <w:rsid w:val="00FE17E4"/>
    <w:rsid w:val="00FE19B2"/>
    <w:rsid w:val="00FE1B83"/>
    <w:rsid w:val="00FE1F01"/>
    <w:rsid w:val="00FE263E"/>
    <w:rsid w:val="00FE2B89"/>
    <w:rsid w:val="00FE2EC8"/>
    <w:rsid w:val="00FE307A"/>
    <w:rsid w:val="00FE3790"/>
    <w:rsid w:val="00FE3EAC"/>
    <w:rsid w:val="00FE426B"/>
    <w:rsid w:val="00FE44F4"/>
    <w:rsid w:val="00FE4545"/>
    <w:rsid w:val="00FE4A15"/>
    <w:rsid w:val="00FE4A4D"/>
    <w:rsid w:val="00FE4D3C"/>
    <w:rsid w:val="00FE4FEB"/>
    <w:rsid w:val="00FE5147"/>
    <w:rsid w:val="00FE5599"/>
    <w:rsid w:val="00FE55D3"/>
    <w:rsid w:val="00FE60C1"/>
    <w:rsid w:val="00FE650D"/>
    <w:rsid w:val="00FE669B"/>
    <w:rsid w:val="00FE6706"/>
    <w:rsid w:val="00FE6B10"/>
    <w:rsid w:val="00FE6CC7"/>
    <w:rsid w:val="00FE70EA"/>
    <w:rsid w:val="00FE7317"/>
    <w:rsid w:val="00FE7779"/>
    <w:rsid w:val="00FE77C7"/>
    <w:rsid w:val="00FE783F"/>
    <w:rsid w:val="00FE79F5"/>
    <w:rsid w:val="00FE7B61"/>
    <w:rsid w:val="00FE7DC6"/>
    <w:rsid w:val="00FE7E2E"/>
    <w:rsid w:val="00FF009E"/>
    <w:rsid w:val="00FF00FF"/>
    <w:rsid w:val="00FF02B8"/>
    <w:rsid w:val="00FF0438"/>
    <w:rsid w:val="00FF0AA3"/>
    <w:rsid w:val="00FF145E"/>
    <w:rsid w:val="00FF157B"/>
    <w:rsid w:val="00FF1958"/>
    <w:rsid w:val="00FF1A07"/>
    <w:rsid w:val="00FF2537"/>
    <w:rsid w:val="00FF2796"/>
    <w:rsid w:val="00FF2DDE"/>
    <w:rsid w:val="00FF3070"/>
    <w:rsid w:val="00FF36C2"/>
    <w:rsid w:val="00FF3A21"/>
    <w:rsid w:val="00FF3DE4"/>
    <w:rsid w:val="00FF41FA"/>
    <w:rsid w:val="00FF4408"/>
    <w:rsid w:val="00FF4586"/>
    <w:rsid w:val="00FF490C"/>
    <w:rsid w:val="00FF4A63"/>
    <w:rsid w:val="00FF4E20"/>
    <w:rsid w:val="00FF54BC"/>
    <w:rsid w:val="00FF57F9"/>
    <w:rsid w:val="00FF5954"/>
    <w:rsid w:val="00FF6527"/>
    <w:rsid w:val="00FF7427"/>
    <w:rsid w:val="00FF74F0"/>
    <w:rsid w:val="2356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l-GR" w:eastAsia="en-US" w:bidi="ar-SA"/>
    </w:rPr>
  </w:style>
  <w:style w:type="paragraph" w:styleId="2">
    <w:name w:val="heading 3"/>
    <w:basedOn w:val="1"/>
    <w:next w:val="1"/>
    <w:link w:val="48"/>
    <w:unhideWhenUsed/>
    <w:qFormat/>
    <w:uiPriority w:val="9"/>
    <w:pPr>
      <w:keepNext/>
      <w:keepLines/>
      <w:spacing w:before="200" w:line="276" w:lineRule="auto"/>
      <w:outlineLvl w:val="2"/>
    </w:pPr>
    <w:rPr>
      <w:rFonts w:asciiTheme="majorHAnsi" w:hAnsiTheme="majorHAnsi" w:eastAsiaTheme="majorEastAsia" w:cstheme="majorBidi"/>
      <w:b/>
      <w:bCs/>
      <w:color w:val="4472C4" w:themeColor="accent1"/>
      <w:sz w:val="22"/>
      <w:szCs w:val="22"/>
      <w:lang w:val="en-GB"/>
      <w14:textFill>
        <w14:solidFill>
          <w14:schemeClr w14:val="accent1"/>
        </w14:solidFill>
      </w14:textFill>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47"/>
    <w:semiHidden/>
    <w:unhideWhenUsed/>
    <w:qFormat/>
    <w:uiPriority w:val="99"/>
    <w:rPr>
      <w:rFonts w:ascii="Tahoma" w:hAnsi="Tahoma" w:cs="Tahoma"/>
      <w:sz w:val="16"/>
      <w:szCs w:val="16"/>
    </w:rPr>
  </w:style>
  <w:style w:type="paragraph" w:styleId="6">
    <w:name w:val="Block Text"/>
    <w:basedOn w:val="1"/>
    <w:qFormat/>
    <w:uiPriority w:val="0"/>
    <w:pPr>
      <w:spacing w:before="120" w:after="120" w:line="280" w:lineRule="atLeast"/>
      <w:ind w:left="540" w:right="612"/>
      <w:jc w:val="center"/>
    </w:pPr>
    <w:rPr>
      <w:rFonts w:ascii="Arial" w:hAnsi="Arial" w:eastAsia="Times New Roman" w:cs="Arial"/>
      <w:b/>
      <w:bCs/>
      <w:szCs w:val="22"/>
    </w:rPr>
  </w:style>
  <w:style w:type="character" w:styleId="7">
    <w:name w:val="annotation reference"/>
    <w:basedOn w:val="3"/>
    <w:semiHidden/>
    <w:unhideWhenUsed/>
    <w:qFormat/>
    <w:uiPriority w:val="99"/>
    <w:rPr>
      <w:sz w:val="16"/>
      <w:szCs w:val="16"/>
    </w:rPr>
  </w:style>
  <w:style w:type="paragraph" w:styleId="8">
    <w:name w:val="annotation text"/>
    <w:basedOn w:val="1"/>
    <w:link w:val="55"/>
    <w:semiHidden/>
    <w:unhideWhenUsed/>
    <w:qFormat/>
    <w:uiPriority w:val="99"/>
    <w:pPr>
      <w:spacing w:after="200"/>
    </w:pPr>
    <w:rPr>
      <w:rFonts w:ascii="Calibri" w:hAnsi="Calibri" w:eastAsia="Calibri" w:cs="Times New Roman"/>
      <w:sz w:val="20"/>
      <w:szCs w:val="20"/>
      <w:lang w:val="en-GB"/>
    </w:rPr>
  </w:style>
  <w:style w:type="paragraph" w:styleId="9">
    <w:name w:val="annotation subject"/>
    <w:basedOn w:val="8"/>
    <w:next w:val="8"/>
    <w:link w:val="56"/>
    <w:semiHidden/>
    <w:unhideWhenUsed/>
    <w:qFormat/>
    <w:uiPriority w:val="99"/>
    <w:rPr>
      <w:b/>
      <w:bCs/>
    </w:rPr>
  </w:style>
  <w:style w:type="character" w:styleId="10">
    <w:name w:val="endnote reference"/>
    <w:basedOn w:val="3"/>
    <w:semiHidden/>
    <w:unhideWhenUsed/>
    <w:qFormat/>
    <w:uiPriority w:val="99"/>
    <w:rPr>
      <w:vertAlign w:val="superscript"/>
    </w:rPr>
  </w:style>
  <w:style w:type="paragraph" w:styleId="11">
    <w:name w:val="endnote text"/>
    <w:basedOn w:val="1"/>
    <w:link w:val="39"/>
    <w:semiHidden/>
    <w:unhideWhenUsed/>
    <w:qFormat/>
    <w:uiPriority w:val="99"/>
    <w:rPr>
      <w:sz w:val="20"/>
      <w:szCs w:val="20"/>
    </w:rPr>
  </w:style>
  <w:style w:type="paragraph" w:styleId="12">
    <w:name w:val="footer"/>
    <w:basedOn w:val="1"/>
    <w:link w:val="21"/>
    <w:unhideWhenUsed/>
    <w:uiPriority w:val="99"/>
    <w:pPr>
      <w:tabs>
        <w:tab w:val="center" w:pos="4513"/>
        <w:tab w:val="right" w:pos="9026"/>
      </w:tabs>
    </w:pPr>
  </w:style>
  <w:style w:type="character" w:styleId="13">
    <w:name w:val="footnote reference"/>
    <w:basedOn w:val="3"/>
    <w:unhideWhenUsed/>
    <w:qFormat/>
    <w:uiPriority w:val="99"/>
    <w:rPr>
      <w:vertAlign w:val="superscript"/>
    </w:rPr>
  </w:style>
  <w:style w:type="paragraph" w:styleId="14">
    <w:name w:val="footnote text"/>
    <w:basedOn w:val="1"/>
    <w:link w:val="34"/>
    <w:unhideWhenUsed/>
    <w:qFormat/>
    <w:uiPriority w:val="99"/>
    <w:rPr>
      <w:rFonts w:ascii="Calibri" w:hAnsi="Calibri" w:eastAsia="Calibri" w:cs="Calibri"/>
      <w:color w:val="D9D9D9" w:themeColor="background1" w:themeShade="D9"/>
      <w:sz w:val="16"/>
      <w:szCs w:val="16"/>
      <w:lang w:val="en-GB"/>
    </w:rPr>
  </w:style>
  <w:style w:type="paragraph" w:styleId="15">
    <w:name w:val="header"/>
    <w:basedOn w:val="1"/>
    <w:link w:val="20"/>
    <w:unhideWhenUsed/>
    <w:uiPriority w:val="99"/>
    <w:pPr>
      <w:tabs>
        <w:tab w:val="center" w:pos="4513"/>
        <w:tab w:val="right" w:pos="9026"/>
      </w:tabs>
    </w:pPr>
  </w:style>
  <w:style w:type="paragraph" w:styleId="16">
    <w:name w:val="Normal (Web)"/>
    <w:basedOn w:val="1"/>
    <w:unhideWhenUsed/>
    <w:uiPriority w:val="99"/>
    <w:pPr>
      <w:spacing w:before="100" w:beforeAutospacing="1" w:after="100" w:afterAutospacing="1"/>
    </w:pPr>
    <w:rPr>
      <w:rFonts w:ascii="Times New Roman" w:hAnsi="Times New Roman" w:eastAsia="Times New Roman" w:cs="Times New Roman"/>
      <w:lang w:eastAsia="en-GB"/>
    </w:rPr>
  </w:style>
  <w:style w:type="character" w:styleId="17">
    <w:name w:val="page number"/>
    <w:basedOn w:val="3"/>
    <w:semiHidden/>
    <w:unhideWhenUsed/>
    <w:uiPriority w:val="99"/>
  </w:style>
  <w:style w:type="paragraph" w:styleId="18">
    <w:name w:val="Plain Text"/>
    <w:basedOn w:val="1"/>
    <w:link w:val="54"/>
    <w:unhideWhenUsed/>
    <w:qFormat/>
    <w:uiPriority w:val="99"/>
    <w:rPr>
      <w:rFonts w:ascii="Consolas" w:hAnsi="Consolas" w:eastAsia="Calibri" w:cs="Times New Roman"/>
      <w:sz w:val="21"/>
      <w:szCs w:val="21"/>
      <w:lang w:val="en-GB"/>
    </w:rPr>
  </w:style>
  <w:style w:type="table" w:styleId="19">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Header Char"/>
    <w:basedOn w:val="3"/>
    <w:link w:val="15"/>
    <w:uiPriority w:val="99"/>
  </w:style>
  <w:style w:type="character" w:customStyle="1" w:styleId="21">
    <w:name w:val="Footer Char"/>
    <w:basedOn w:val="3"/>
    <w:link w:val="12"/>
    <w:uiPriority w:val="99"/>
  </w:style>
  <w:style w:type="paragraph" w:customStyle="1" w:styleId="22">
    <w:name w:val="R_cover4"/>
    <w:basedOn w:val="1"/>
    <w:next w:val="1"/>
    <w:semiHidden/>
    <w:uiPriority w:val="99"/>
    <w:pPr>
      <w:ind w:left="714" w:hanging="357"/>
    </w:pPr>
    <w:rPr>
      <w:rFonts w:ascii="Calibri" w:hAnsi="Calibri" w:eastAsia="Calibri" w:cs="Calibri"/>
      <w:color w:val="548DD4"/>
      <w:sz w:val="32"/>
      <w:lang w:val="en-GB" w:eastAsia="el-GR"/>
    </w:rPr>
  </w:style>
  <w:style w:type="paragraph" w:customStyle="1" w:styleId="23">
    <w:name w:val="R_cover5"/>
    <w:basedOn w:val="1"/>
    <w:uiPriority w:val="0"/>
    <w:pPr>
      <w:spacing w:after="200" w:line="276" w:lineRule="auto"/>
    </w:pPr>
    <w:rPr>
      <w:sz w:val="22"/>
      <w:szCs w:val="22"/>
    </w:rPr>
  </w:style>
  <w:style w:type="paragraph" w:customStyle="1" w:styleId="24">
    <w:name w:val="header section"/>
    <w:basedOn w:val="15"/>
    <w:qFormat/>
    <w:uiPriority w:val="0"/>
    <w:pPr>
      <w:pBdr>
        <w:bottom w:val="single" w:color="9D9D9D" w:sz="8" w:space="1"/>
      </w:pBdr>
      <w:spacing w:line="160" w:lineRule="exact"/>
    </w:pPr>
    <w:rPr>
      <w:color w:val="9D9D9D"/>
      <w:sz w:val="16"/>
      <w:szCs w:val="18"/>
    </w:rPr>
  </w:style>
  <w:style w:type="paragraph" w:styleId="25">
    <w:name w:val="List Paragraph"/>
    <w:basedOn w:val="1"/>
    <w:link w:val="26"/>
    <w:qFormat/>
    <w:uiPriority w:val="34"/>
    <w:pPr>
      <w:spacing w:after="120" w:line="360" w:lineRule="auto"/>
      <w:ind w:left="720"/>
      <w:jc w:val="both"/>
    </w:pPr>
    <w:rPr>
      <w:rFonts w:ascii="Times New Roman" w:hAnsi="Times New Roman" w:eastAsia="Calibri" w:cs="Times New Roman"/>
      <w:sz w:val="22"/>
      <w:szCs w:val="22"/>
      <w:lang w:eastAsia="el-GR"/>
    </w:rPr>
  </w:style>
  <w:style w:type="character" w:customStyle="1" w:styleId="26">
    <w:name w:val="List Paragraph Char"/>
    <w:basedOn w:val="3"/>
    <w:link w:val="25"/>
    <w:locked/>
    <w:uiPriority w:val="34"/>
    <w:rPr>
      <w:rFonts w:ascii="Times New Roman" w:hAnsi="Times New Roman" w:eastAsia="Calibri" w:cs="Times New Roman"/>
      <w:sz w:val="22"/>
      <w:szCs w:val="22"/>
      <w:lang w:val="el-GR" w:eastAsia="el-GR"/>
    </w:rPr>
  </w:style>
  <w:style w:type="paragraph" w:customStyle="1" w:styleId="27">
    <w:name w:val="body"/>
    <w:basedOn w:val="1"/>
    <w:qFormat/>
    <w:uiPriority w:val="0"/>
    <w:pPr>
      <w:spacing w:before="120" w:after="120"/>
      <w:jc w:val="both"/>
    </w:pPr>
    <w:rPr>
      <w:color w:val="0D0D0D" w:themeColor="text1" w:themeTint="F2"/>
      <w:sz w:val="18"/>
      <w:szCs w:val="18"/>
      <w14:textFill>
        <w14:solidFill>
          <w14:schemeClr w14:val="tx1">
            <w14:lumMod w14:val="95000"/>
            <w14:lumOff w14:val="5000"/>
          </w14:schemeClr>
        </w14:solidFill>
      </w14:textFill>
    </w:rPr>
  </w:style>
  <w:style w:type="paragraph" w:customStyle="1" w:styleId="28">
    <w:name w:val="Calibri 9 IFRS"/>
    <w:basedOn w:val="1"/>
    <w:qFormat/>
    <w:uiPriority w:val="0"/>
    <w:pPr>
      <w:keepNext/>
      <w:spacing w:before="240" w:after="120"/>
    </w:pPr>
    <w:rPr>
      <w:rFonts w:ascii="Calibri" w:hAnsi="Calibri" w:eastAsia="Calibri" w:cs="Times New Roman"/>
      <w:b/>
      <w:color w:val="548DD4"/>
      <w:sz w:val="18"/>
      <w:szCs w:val="18"/>
      <w:lang w:val="en-US"/>
    </w:rPr>
  </w:style>
  <w:style w:type="paragraph" w:customStyle="1" w:styleId="29">
    <w:name w:val="R_body1"/>
    <w:basedOn w:val="1"/>
    <w:qFormat/>
    <w:uiPriority w:val="0"/>
    <w:pPr>
      <w:spacing w:after="120"/>
      <w:jc w:val="both"/>
    </w:pPr>
    <w:rPr>
      <w:rFonts w:ascii="Calibri" w:hAnsi="Calibri" w:eastAsia="Times New Roman" w:cs="Times New Roman"/>
      <w:sz w:val="18"/>
      <w:szCs w:val="18"/>
      <w:lang w:val="en-GB" w:eastAsia="el-GR"/>
    </w:rPr>
  </w:style>
  <w:style w:type="paragraph" w:customStyle="1" w:styleId="30">
    <w:name w:val="TITLE IN BODY"/>
    <w:basedOn w:val="27"/>
    <w:qFormat/>
    <w:uiPriority w:val="0"/>
    <w:pPr>
      <w:pBdr>
        <w:bottom w:val="single" w:color="00B2C6" w:sz="4" w:space="1"/>
      </w:pBdr>
      <w:jc w:val="left"/>
    </w:pPr>
    <w:rPr>
      <w:b/>
      <w:bCs/>
      <w:color w:val="007382"/>
      <w:sz w:val="28"/>
      <w:szCs w:val="24"/>
      <w:lang w:val="en-GB"/>
    </w:rPr>
  </w:style>
  <w:style w:type="paragraph" w:customStyle="1" w:styleId="31">
    <w:name w:val="HEADER ACTIVE"/>
    <w:basedOn w:val="24"/>
    <w:qFormat/>
    <w:uiPriority w:val="0"/>
    <w:pPr>
      <w:pBdr>
        <w:bottom w:val="single" w:color="00B2C6" w:sz="8" w:space="1"/>
        <w:between w:val="single" w:color="00B2C6" w:sz="24" w:space="1"/>
      </w:pBdr>
    </w:pPr>
    <w:rPr>
      <w:b/>
      <w:color w:val="007382"/>
    </w:rPr>
  </w:style>
  <w:style w:type="paragraph" w:customStyle="1" w:styleId="32">
    <w:name w:val="TITLE 2"/>
    <w:basedOn w:val="27"/>
    <w:qFormat/>
    <w:uiPriority w:val="0"/>
    <w:pPr>
      <w:pBdr>
        <w:bottom w:val="single" w:color="9D9D9D" w:sz="4" w:space="1"/>
      </w:pBdr>
      <w:spacing w:before="240"/>
      <w:jc w:val="left"/>
    </w:pPr>
    <w:rPr>
      <w:b/>
      <w:color w:val="00B2C6"/>
      <w:sz w:val="22"/>
      <w:szCs w:val="22"/>
      <w:lang w:val="en-GB"/>
    </w:rPr>
  </w:style>
  <w:style w:type="paragraph" w:customStyle="1" w:styleId="33">
    <w:name w:val="TITLE 3"/>
    <w:basedOn w:val="27"/>
    <w:qFormat/>
    <w:uiPriority w:val="0"/>
    <w:pPr>
      <w:pBdr>
        <w:left w:val="single" w:color="00B2C6" w:sz="48" w:space="4"/>
      </w:pBdr>
      <w:ind w:left="227"/>
      <w:jc w:val="left"/>
    </w:pPr>
    <w:rPr>
      <w:b/>
      <w:bCs/>
      <w:iCs/>
      <w:sz w:val="20"/>
      <w:szCs w:val="20"/>
      <w:lang w:val="en-GB"/>
    </w:rPr>
  </w:style>
  <w:style w:type="character" w:customStyle="1" w:styleId="34">
    <w:name w:val="Footnote Text Char"/>
    <w:basedOn w:val="3"/>
    <w:link w:val="14"/>
    <w:qFormat/>
    <w:uiPriority w:val="99"/>
    <w:rPr>
      <w:rFonts w:ascii="Calibri" w:hAnsi="Calibri" w:eastAsia="Calibri" w:cs="Calibri"/>
      <w:color w:val="D9D9D9" w:themeColor="background1" w:themeShade="D9"/>
      <w:sz w:val="16"/>
      <w:szCs w:val="16"/>
      <w:lang w:val="en-GB"/>
    </w:rPr>
  </w:style>
  <w:style w:type="paragraph" w:customStyle="1" w:styleId="35">
    <w:name w:val="SECTION TITLE"/>
    <w:basedOn w:val="1"/>
    <w:qFormat/>
    <w:uiPriority w:val="0"/>
    <w:pPr>
      <w:pBdr>
        <w:bottom w:val="single" w:color="00B2C6" w:sz="48" w:space="10"/>
      </w:pBdr>
    </w:pPr>
    <w:rPr>
      <w:b/>
      <w:color w:val="000000"/>
      <w:sz w:val="52"/>
      <w:szCs w:val="52"/>
      <w:lang w:val="en-GB"/>
    </w:rPr>
  </w:style>
  <w:style w:type="paragraph" w:customStyle="1" w:styleId="36">
    <w:name w:val="Default"/>
    <w:qFormat/>
    <w:uiPriority w:val="0"/>
    <w:pPr>
      <w:autoSpaceDE w:val="0"/>
      <w:autoSpaceDN w:val="0"/>
      <w:adjustRightInd w:val="0"/>
    </w:pPr>
    <w:rPr>
      <w:rFonts w:ascii="Calibri" w:hAnsi="Calibri" w:eastAsia="Calibri" w:cs="Calibri"/>
      <w:color w:val="000000"/>
      <w:sz w:val="24"/>
      <w:szCs w:val="24"/>
      <w:lang w:val="en-US" w:eastAsia="en-US" w:bidi="ar-SA"/>
    </w:rPr>
  </w:style>
  <w:style w:type="paragraph" w:customStyle="1" w:styleId="37">
    <w:name w:val="Style1"/>
    <w:basedOn w:val="1"/>
    <w:qFormat/>
    <w:uiPriority w:val="0"/>
    <w:pPr>
      <w:pBdr>
        <w:top w:val="none" w:color="auto" w:sz="0" w:space="0"/>
        <w:left w:val="none" w:color="auto" w:sz="0" w:space="0"/>
        <w:bottom w:val="single" w:color="9D9D9D" w:sz="8" w:space="1"/>
        <w:right w:val="none" w:color="auto" w:sz="0" w:space="0"/>
        <w:between w:val="none" w:color="auto" w:sz="0" w:space="0"/>
      </w:pBdr>
      <w:spacing w:before="60" w:after="60"/>
      <w:ind w:left="170" w:right="170"/>
    </w:pPr>
    <w:rPr>
      <w:rFonts w:eastAsia="Calibri" w:cs="Calibri"/>
      <w:b/>
      <w:color w:val="007382"/>
      <w:sz w:val="20"/>
      <w:szCs w:val="20"/>
      <w:lang w:val="en-US"/>
    </w:rPr>
  </w:style>
  <w:style w:type="paragraph" w:customStyle="1" w:styleId="38">
    <w:name w:val="Style2"/>
    <w:basedOn w:val="1"/>
    <w:qFormat/>
    <w:uiPriority w:val="0"/>
    <w:pPr>
      <w:spacing w:before="360" w:after="120"/>
    </w:pPr>
    <w:rPr>
      <w:b/>
      <w:bCs/>
      <w:color w:val="646464"/>
      <w:lang w:val="en-GB"/>
    </w:rPr>
  </w:style>
  <w:style w:type="character" w:customStyle="1" w:styleId="39">
    <w:name w:val="Endnote Text Char"/>
    <w:basedOn w:val="3"/>
    <w:link w:val="11"/>
    <w:semiHidden/>
    <w:qFormat/>
    <w:uiPriority w:val="99"/>
    <w:rPr>
      <w:sz w:val="20"/>
      <w:szCs w:val="20"/>
    </w:rPr>
  </w:style>
  <w:style w:type="paragraph" w:customStyle="1" w:styleId="40">
    <w:name w:val="Calibri 10 IFRS"/>
    <w:qFormat/>
    <w:uiPriority w:val="0"/>
    <w:pPr>
      <w:keepNext/>
      <w:spacing w:before="360" w:after="120"/>
    </w:pPr>
    <w:rPr>
      <w:rFonts w:eastAsia="Calibri" w:cs="Calibri" w:asciiTheme="minorHAnsi" w:hAnsiTheme="minorHAnsi"/>
      <w:b/>
      <w:color w:val="548DD4"/>
      <w:sz w:val="20"/>
      <w:szCs w:val="20"/>
      <w:lang w:val="en-US" w:eastAsia="en-US" w:bidi="ar-SA"/>
    </w:rPr>
  </w:style>
  <w:style w:type="paragraph" w:customStyle="1" w:styleId="41">
    <w:name w:val="R_bullet column_0"/>
    <w:basedOn w:val="1"/>
    <w:qFormat/>
    <w:uiPriority w:val="0"/>
    <w:pPr>
      <w:widowControl w:val="0"/>
      <w:adjustRightInd w:val="0"/>
      <w:spacing w:after="120"/>
      <w:ind w:left="720" w:hanging="360"/>
      <w:jc w:val="both"/>
    </w:pPr>
    <w:rPr>
      <w:rFonts w:ascii="Calibri" w:hAnsi="Calibri" w:eastAsia="Calibri" w:cs="Calibri"/>
      <w:sz w:val="18"/>
      <w:szCs w:val="18"/>
      <w:lang w:val="en-US" w:eastAsia="el-GR"/>
    </w:rPr>
  </w:style>
  <w:style w:type="paragraph" w:customStyle="1" w:styleId="42">
    <w:name w:val="Bullet1"/>
    <w:qFormat/>
    <w:uiPriority w:val="0"/>
    <w:pPr>
      <w:numPr>
        <w:ilvl w:val="0"/>
        <w:numId w:val="1"/>
      </w:numPr>
      <w:spacing w:before="240" w:line="260" w:lineRule="atLeast"/>
      <w:jc w:val="both"/>
    </w:pPr>
    <w:rPr>
      <w:rFonts w:ascii="Times New Roman" w:hAnsi="Times New Roman" w:eastAsia="Calibri" w:cs="Times New Roman"/>
      <w:sz w:val="22"/>
      <w:szCs w:val="22"/>
      <w:lang w:val="en-GB" w:eastAsia="en-US" w:bidi="ar-SA"/>
    </w:rPr>
  </w:style>
  <w:style w:type="paragraph" w:customStyle="1" w:styleId="43">
    <w:name w:val="IN LINE TEXT 1"/>
    <w:link w:val="44"/>
    <w:qFormat/>
    <w:uiPriority w:val="0"/>
    <w:rPr>
      <w:rFonts w:asciiTheme="minorHAnsi" w:hAnsiTheme="minorHAnsi" w:eastAsiaTheme="minorHAnsi" w:cstheme="minorBidi"/>
      <w:b/>
      <w:bCs/>
      <w:color w:val="007382"/>
      <w:sz w:val="18"/>
      <w:szCs w:val="18"/>
      <w:lang w:val="el-GR" w:eastAsia="en-US" w:bidi="ar-SA"/>
    </w:rPr>
  </w:style>
  <w:style w:type="character" w:customStyle="1" w:styleId="44">
    <w:name w:val="IN LINE TEXT 1 Char"/>
    <w:basedOn w:val="3"/>
    <w:link w:val="43"/>
    <w:qFormat/>
    <w:uiPriority w:val="0"/>
    <w:rPr>
      <w:b/>
      <w:bCs/>
      <w:color w:val="007382"/>
      <w:sz w:val="18"/>
      <w:szCs w:val="18"/>
    </w:rPr>
  </w:style>
  <w:style w:type="paragraph" w:customStyle="1" w:styleId="45">
    <w:name w:val="BoD 10 IFRS"/>
    <w:basedOn w:val="40"/>
    <w:qFormat/>
    <w:uiPriority w:val="0"/>
    <w:pPr>
      <w:pBdr>
        <w:left w:val="single" w:color="007180" w:sz="48" w:space="4"/>
        <w:bottom w:val="single" w:color="00AFC3" w:sz="6" w:space="1"/>
      </w:pBdr>
      <w:spacing w:before="240" w:after="60"/>
      <w:outlineLvl w:val="2"/>
    </w:pPr>
    <w:rPr>
      <w:color w:val="007581"/>
      <w:sz w:val="24"/>
      <w:szCs w:val="24"/>
      <w:lang w:val="en-GB"/>
    </w:rPr>
  </w:style>
  <w:style w:type="paragraph" w:customStyle="1" w:styleId="46">
    <w:name w:val="msg Left"/>
    <w:basedOn w:val="1"/>
    <w:qFormat/>
    <w:uiPriority w:val="0"/>
    <w:pPr>
      <w:ind w:left="170" w:right="567"/>
    </w:pPr>
    <w:rPr>
      <w:b/>
      <w:bCs/>
      <w:sz w:val="20"/>
      <w:szCs w:val="20"/>
    </w:rPr>
  </w:style>
  <w:style w:type="character" w:customStyle="1" w:styleId="47">
    <w:name w:val="Balloon Text Char"/>
    <w:basedOn w:val="3"/>
    <w:link w:val="5"/>
    <w:semiHidden/>
    <w:qFormat/>
    <w:uiPriority w:val="99"/>
    <w:rPr>
      <w:rFonts w:ascii="Tahoma" w:hAnsi="Tahoma" w:cs="Tahoma"/>
      <w:sz w:val="16"/>
      <w:szCs w:val="16"/>
    </w:rPr>
  </w:style>
  <w:style w:type="character" w:customStyle="1" w:styleId="48">
    <w:name w:val="Heading 3 Char"/>
    <w:basedOn w:val="3"/>
    <w:link w:val="2"/>
    <w:qFormat/>
    <w:uiPriority w:val="9"/>
    <w:rPr>
      <w:rFonts w:asciiTheme="majorHAnsi" w:hAnsiTheme="majorHAnsi" w:eastAsiaTheme="majorEastAsia" w:cstheme="majorBidi"/>
      <w:b/>
      <w:bCs/>
      <w:color w:val="4472C4" w:themeColor="accent1"/>
      <w:sz w:val="22"/>
      <w:szCs w:val="22"/>
      <w:lang w:val="en-GB"/>
      <w14:textFill>
        <w14:solidFill>
          <w14:schemeClr w14:val="accent1"/>
        </w14:solidFill>
      </w14:textFill>
    </w:rPr>
  </w:style>
  <w:style w:type="paragraph" w:customStyle="1" w:styleId="49">
    <w:name w:val="normaltext"/>
    <w:basedOn w:val="1"/>
    <w:qFormat/>
    <w:uiPriority w:val="0"/>
    <w:pPr>
      <w:spacing w:before="100" w:beforeAutospacing="1" w:after="100" w:afterAutospacing="1"/>
    </w:pPr>
    <w:rPr>
      <w:rFonts w:ascii="Verdana" w:hAnsi="Verdana" w:eastAsia="Arial Unicode MS" w:cs="Arial Unicode MS"/>
      <w:color w:val="000000"/>
      <w:sz w:val="17"/>
      <w:szCs w:val="17"/>
      <w:lang w:eastAsia="el-GR"/>
    </w:rPr>
  </w:style>
  <w:style w:type="paragraph" w:customStyle="1" w:styleId="50">
    <w:name w:val="CM10"/>
    <w:basedOn w:val="36"/>
    <w:next w:val="36"/>
    <w:qFormat/>
    <w:uiPriority w:val="99"/>
    <w:pPr>
      <w:widowControl w:val="0"/>
    </w:pPr>
    <w:rPr>
      <w:rFonts w:eastAsia="Times New Roman" w:cs="Times New Roman"/>
      <w:color w:val="auto"/>
      <w:lang w:val="el-GR" w:eastAsia="el-GR"/>
    </w:rPr>
  </w:style>
  <w:style w:type="paragraph" w:customStyle="1" w:styleId="51">
    <w:name w:val="CM3"/>
    <w:basedOn w:val="36"/>
    <w:next w:val="36"/>
    <w:qFormat/>
    <w:uiPriority w:val="99"/>
    <w:pPr>
      <w:widowControl w:val="0"/>
      <w:spacing w:line="280" w:lineRule="atLeast"/>
    </w:pPr>
    <w:rPr>
      <w:rFonts w:eastAsia="Times New Roman" w:cs="Times New Roman"/>
      <w:color w:val="auto"/>
      <w:lang w:val="el-GR" w:eastAsia="el-GR"/>
    </w:rPr>
  </w:style>
  <w:style w:type="paragraph" w:customStyle="1" w:styleId="52">
    <w:name w:val="CM1"/>
    <w:basedOn w:val="36"/>
    <w:next w:val="36"/>
    <w:qFormat/>
    <w:uiPriority w:val="99"/>
    <w:pPr>
      <w:widowControl w:val="0"/>
    </w:pPr>
    <w:rPr>
      <w:rFonts w:eastAsia="Times New Roman" w:cs="Times New Roman"/>
      <w:color w:val="auto"/>
      <w:lang w:val="el-GR" w:eastAsia="el-GR"/>
    </w:rPr>
  </w:style>
  <w:style w:type="paragraph" w:customStyle="1" w:styleId="53">
    <w:name w:val="CM9"/>
    <w:basedOn w:val="36"/>
    <w:next w:val="36"/>
    <w:qFormat/>
    <w:uiPriority w:val="99"/>
    <w:pPr>
      <w:widowControl w:val="0"/>
    </w:pPr>
    <w:rPr>
      <w:rFonts w:eastAsia="Times New Roman" w:cs="Times New Roman"/>
      <w:color w:val="auto"/>
      <w:lang w:val="el-GR" w:eastAsia="el-GR"/>
    </w:rPr>
  </w:style>
  <w:style w:type="character" w:customStyle="1" w:styleId="54">
    <w:name w:val="Plain Text Char"/>
    <w:basedOn w:val="3"/>
    <w:link w:val="18"/>
    <w:qFormat/>
    <w:uiPriority w:val="99"/>
    <w:rPr>
      <w:rFonts w:ascii="Consolas" w:hAnsi="Consolas" w:eastAsia="Calibri" w:cs="Times New Roman"/>
      <w:sz w:val="21"/>
      <w:szCs w:val="21"/>
      <w:lang w:val="en-GB"/>
    </w:rPr>
  </w:style>
  <w:style w:type="character" w:customStyle="1" w:styleId="55">
    <w:name w:val="Comment Text Char"/>
    <w:basedOn w:val="3"/>
    <w:link w:val="8"/>
    <w:semiHidden/>
    <w:qFormat/>
    <w:uiPriority w:val="99"/>
    <w:rPr>
      <w:rFonts w:ascii="Calibri" w:hAnsi="Calibri" w:eastAsia="Calibri" w:cs="Times New Roman"/>
      <w:sz w:val="20"/>
      <w:szCs w:val="20"/>
      <w:lang w:val="en-GB"/>
    </w:rPr>
  </w:style>
  <w:style w:type="character" w:customStyle="1" w:styleId="56">
    <w:name w:val="Comment Subject Char"/>
    <w:basedOn w:val="55"/>
    <w:link w:val="9"/>
    <w:semiHidden/>
    <w:qFormat/>
    <w:uiPriority w:val="99"/>
    <w:rPr>
      <w:rFonts w:ascii="Calibri" w:hAnsi="Calibri" w:eastAsia="Calibri" w:cs="Times New Roman"/>
      <w:b/>
      <w:bCs/>
      <w:sz w:val="20"/>
      <w:szCs w:val="20"/>
      <w:lang w:val="en-GB"/>
    </w:rPr>
  </w:style>
  <w:style w:type="paragraph" w:customStyle="1" w:styleId="57">
    <w:name w:val="Revision"/>
    <w:hidden/>
    <w:semiHidden/>
    <w:qFormat/>
    <w:uiPriority w:val="99"/>
    <w:rPr>
      <w:rFonts w:ascii="Calibri" w:hAnsi="Calibri" w:eastAsia="Calibri" w:cs="Times New Roman"/>
      <w:sz w:val="22"/>
      <w:szCs w:val="22"/>
      <w:lang w:val="en-GB" w:eastAsia="en-US" w:bidi="ar-SA"/>
    </w:rPr>
  </w:style>
  <w:style w:type="table" w:customStyle="1" w:styleId="58">
    <w:name w:val="Πλέγμα πίνακα1"/>
    <w:basedOn w:val="4"/>
    <w:qFormat/>
    <w:uiPriority w:val="59"/>
    <w:rPr>
      <w:rFonts w:ascii="Calibri" w:hAnsi="Calibri" w:eastAsia="Calibri" w:cs="Times New Roman"/>
      <w:sz w:val="20"/>
      <w:szCs w:val="20"/>
      <w:lang w:eastAsia="el-GR"/>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59">
    <w:name w:val="ui-provider"/>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svg"/><Relationship Id="rId8" Type="http://schemas.openxmlformats.org/officeDocument/2006/relationships/image" Target="media/image4.png"/><Relationship Id="rId7" Type="http://schemas.openxmlformats.org/officeDocument/2006/relationships/image" Target="media/image3.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chart" Target="charts/chart11.xml"/><Relationship Id="rId22" Type="http://schemas.openxmlformats.org/officeDocument/2006/relationships/chart" Target="charts/chart10.xml"/><Relationship Id="rId21" Type="http://schemas.openxmlformats.org/officeDocument/2006/relationships/chart" Target="charts/chart9.xml"/><Relationship Id="rId20" Type="http://schemas.openxmlformats.org/officeDocument/2006/relationships/chart" Target="charts/chart8.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themeOverride" Target="../theme/themeOverride4.xml"/><Relationship Id="rId1" Type="http://schemas.openxmlformats.org/officeDocument/2006/relationships/package" Target="../embeddings/Workbook5.xlsx"/></Relationships>
</file>

<file path=word/charts/_rels/chart10.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package" Target="../embeddings/Workbook8.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package" Target="../embeddings/Workbook9.xlsx"/></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themeOverride" Target="../theme/themeOverride5.xml"/><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themeOverride" Target="../theme/themeOverride9.xml"/><Relationship Id="rId1" Type="http://schemas.openxmlformats.org/officeDocument/2006/relationships/package" Target="../embeddings/Workbook11.xlsx"/></Relationships>
</file>

<file path=word/charts/_rels/chart9.xml.rels><?xml version="1.0" encoding="UTF-8" standalone="yes"?>
<Relationships xmlns="http://schemas.openxmlformats.org/package/2006/relationships"><Relationship Id="rId2" Type="http://schemas.openxmlformats.org/officeDocument/2006/relationships/themeOverride" Target="../theme/themeOverride8.xml"/><Relationship Id="rId1" Type="http://schemas.openxmlformats.org/officeDocument/2006/relationships/package" Target="../embeddings/Workbook10.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7296617468136"/>
          <c:y val="0.0113636004171328"/>
          <c:w val="0.627553850290042"/>
          <c:h val="0.909827164414212"/>
        </c:manualLayout>
      </c:layout>
      <c:barChart>
        <c:barDir val="col"/>
        <c:grouping val="stacked"/>
        <c:varyColors val="0"/>
        <c:ser>
          <c:idx val="3"/>
          <c:order val="1"/>
          <c:tx>
            <c:strRef>
              <c:f>Sheet1!$G$1</c:f>
              <c:strCache>
                <c:ptCount val="1"/>
                <c:pt idx="0">
                  <c:v/>
                </c:pt>
              </c:strCache>
            </c:strRef>
          </c:tx>
          <c:spPr>
            <a:solidFill>
              <a:srgbClr val="FFFFFF"/>
            </a:solidFill>
            <a:ln w="3175">
              <a:solidFill>
                <a:srgbClr val="00B8B4"/>
              </a:solidFill>
            </a:ln>
          </c:spPr>
          <c:invertIfNegative val="0"/>
          <c:dPt>
            <c:idx val="0"/>
            <c:invertIfNegative val="0"/>
            <c:bubble3D val="0"/>
          </c:dPt>
          <c:dLbls>
            <c:dLbl>
              <c:idx val="0"/>
              <c:layout>
                <c:manualLayout>
                  <c:x val="0.0627590682577035"/>
                  <c:y val="-0.0067081904517858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31489763429324"/>
                  <c:y val="-0.0063608024493634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98166836483213"/>
                  <c:y val="0.0002224056800475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77073374652393"/>
                  <c:y val="-0.0061403307317508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8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Sheet1!$A$2:$A$20</c:f>
              <c:strCache>
                <c:ptCount val="5"/>
                <c:pt idx="0">
                  <c:v>Δ' τρίμηνο 
2022</c:v>
                </c:pt>
                <c:pt idx="1">
                  <c:v>Α' τρίμηνο 
2023</c:v>
                </c:pt>
                <c:pt idx="2">
                  <c:v>Β' τρίμηνο 
2023</c:v>
                </c:pt>
                <c:pt idx="3">
                  <c:v>Γ' τρίμηνο 
2023</c:v>
                </c:pt>
                <c:pt idx="4">
                  <c:v>Δ' τρίμηνο 
2023</c:v>
                </c:pt>
              </c:strCache>
            </c:strRef>
          </c:cat>
          <c:val>
            <c:numRef>
              <c:f>Sheet1!$G$2:$G$20</c:f>
              <c:numCache>
                <c:formatCode>General</c:formatCode>
                <c:ptCount val="5"/>
              </c:numCache>
            </c:numRef>
          </c:val>
        </c:ser>
        <c:ser>
          <c:idx val="4"/>
          <c:order val="2"/>
          <c:tx>
            <c:strRef>
              <c:f>Sheet1!$H$1</c:f>
              <c:strCache>
                <c:ptCount val="1"/>
                <c:pt idx="0">
                  <c:v/>
                </c:pt>
              </c:strCache>
            </c:strRef>
          </c:tx>
          <c:spPr>
            <a:solidFill>
              <a:srgbClr val="FF7415">
                <a:lumMod val="40000"/>
                <a:lumOff val="60000"/>
              </a:srgbClr>
            </a:solidFill>
            <a:ln w="3175">
              <a:solidFill>
                <a:schemeClr val="bg1"/>
              </a:solidFill>
            </a:ln>
          </c:spPr>
          <c:invertIfNegative val="0"/>
          <c:dPt>
            <c:idx val="0"/>
            <c:invertIfNegative val="0"/>
            <c:bubble3D val="0"/>
          </c:dPt>
          <c:dLbls>
            <c:spPr>
              <a:noFill/>
              <a:ln>
                <a:noFill/>
              </a:ln>
              <a:effectLst/>
            </c:spPr>
            <c:txPr>
              <a:bodyPr rot="0" spcFirstLastPara="0" vertOverflow="ellipsis" vert="horz" wrap="square" lIns="38100" tIns="19050" rIns="38100" bIns="19050" anchor="ctr" anchorCtr="1"/>
              <a:lstStyle/>
              <a:p>
                <a:pPr>
                  <a:defRPr lang="en-US" sz="8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Sheet1!$A$2:$A$20</c:f>
              <c:strCache>
                <c:ptCount val="5"/>
                <c:pt idx="0">
                  <c:v>Δ' τρίμηνο 
2022</c:v>
                </c:pt>
                <c:pt idx="1">
                  <c:v>Α' τρίμηνο 
2023</c:v>
                </c:pt>
                <c:pt idx="2">
                  <c:v>Β' τρίμηνο 
2023</c:v>
                </c:pt>
                <c:pt idx="3">
                  <c:v>Γ' τρίμηνο 
2023</c:v>
                </c:pt>
                <c:pt idx="4">
                  <c:v>Δ' τρίμηνο 
2023</c:v>
                </c:pt>
              </c:strCache>
            </c:strRef>
          </c:cat>
          <c:val>
            <c:numRef>
              <c:f>Sheet1!$H$2:$H$20</c:f>
              <c:numCache>
                <c:formatCode>General</c:formatCode>
                <c:ptCount val="5"/>
              </c:numCache>
            </c:numRef>
          </c:val>
        </c:ser>
        <c:ser>
          <c:idx val="2"/>
          <c:order val="3"/>
          <c:tx>
            <c:strRef>
              <c:f>Sheet1!$E$1</c:f>
              <c:strCache>
                <c:ptCount val="1"/>
                <c:pt idx="0">
                  <c:v>Καταθέσεις</c:v>
                </c:pt>
              </c:strCache>
            </c:strRef>
          </c:tx>
          <c:spPr>
            <a:solidFill>
              <a:srgbClr val="003841"/>
            </a:solidFill>
            <a:ln w="3175">
              <a:noFill/>
              <a:prstDash val="solid"/>
            </a:ln>
          </c:spPr>
          <c:invertIfNegative val="0"/>
          <c:dPt>
            <c:idx val="0"/>
            <c:invertIfNegative val="0"/>
            <c:bubble3D val="0"/>
          </c:dPt>
          <c:dPt>
            <c:idx val="4"/>
            <c:invertIfNegative val="0"/>
            <c:bubble3D val="0"/>
            <c:spPr>
              <a:solidFill>
                <a:srgbClr val="FF7415"/>
              </a:solidFill>
              <a:ln w="3175">
                <a:noFill/>
                <a:prstDash val="solid"/>
              </a:ln>
            </c:spPr>
          </c:dPt>
          <c:dLbls>
            <c:dLbl>
              <c:idx val="4"/>
              <c:layout/>
              <c:numFmt formatCode="General" sourceLinked="1"/>
              <c:spPr>
                <a:noFill/>
                <a:ln>
                  <a:noFill/>
                </a:ln>
                <a:effectLst/>
              </c:spPr>
              <c:txPr>
                <a:bodyPr rot="0" spcFirstLastPara="0" vertOverflow="ellipsis" vert="horz" wrap="square" lIns="38100" tIns="19050" rIns="38100" bIns="19050" anchor="ctr" anchorCtr="1"/>
                <a:lstStyle/>
                <a:p>
                  <a:pPr>
                    <a:defRPr lang="en-US" sz="700" b="1" i="0" u="none" strike="noStrike" kern="1200" baseline="0">
                      <a:solidFill>
                        <a:schemeClr val="bg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700" b="0" i="0" u="none" strike="noStrike" kern="1200" baseline="0">
                    <a:solidFill>
                      <a:schemeClr val="bg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Sheet1!$A$2:$A$20</c:f>
              <c:strCache>
                <c:ptCount val="5"/>
                <c:pt idx="0">
                  <c:v>Δ' τρίμηνο 
2022</c:v>
                </c:pt>
                <c:pt idx="1">
                  <c:v>Α' τρίμηνο 
2023</c:v>
                </c:pt>
                <c:pt idx="2">
                  <c:v>Β' τρίμηνο 
2023</c:v>
                </c:pt>
                <c:pt idx="3">
                  <c:v>Γ' τρίμηνο 
2023</c:v>
                </c:pt>
                <c:pt idx="4">
                  <c:v>Δ' τρίμηνο 
2023</c:v>
                </c:pt>
              </c:strCache>
            </c:strRef>
          </c:cat>
          <c:val>
            <c:numRef>
              <c:f>Sheet1!$E$2:$E$20</c:f>
              <c:numCache>
                <c:formatCode>0</c:formatCode>
                <c:ptCount val="5"/>
                <c:pt idx="0">
                  <c:v>-13</c:v>
                </c:pt>
                <c:pt idx="1">
                  <c:v>-25</c:v>
                </c:pt>
                <c:pt idx="2">
                  <c:v>-41</c:v>
                </c:pt>
                <c:pt idx="3">
                  <c:v>-51.72</c:v>
                </c:pt>
                <c:pt idx="4">
                  <c:v>-63</c:v>
                </c:pt>
              </c:numCache>
            </c:numRef>
          </c:val>
        </c:ser>
        <c:ser>
          <c:idx val="1"/>
          <c:order val="4"/>
          <c:tx>
            <c:strRef>
              <c:f>Sheet1!$D$1</c:f>
              <c:strCache>
                <c:ptCount val="1"/>
                <c:pt idx="0">
                  <c:v>Χρεόγραφα, χρηματοδότηση και λοιπά</c:v>
                </c:pt>
              </c:strCache>
            </c:strRef>
          </c:tx>
          <c:spPr>
            <a:solidFill>
              <a:srgbClr val="007B85"/>
            </a:solidFill>
            <a:ln w="3175">
              <a:noFill/>
              <a:prstDash val="solid"/>
            </a:ln>
          </c:spPr>
          <c:invertIfNegative val="0"/>
          <c:dPt>
            <c:idx val="0"/>
            <c:invertIfNegative val="0"/>
            <c:bubble3D val="0"/>
          </c:dPt>
          <c:dPt>
            <c:idx val="4"/>
            <c:invertIfNegative val="0"/>
            <c:bubble3D val="0"/>
            <c:spPr>
              <a:solidFill>
                <a:srgbClr val="FF7415">
                  <a:alpha val="75000"/>
                </a:srgbClr>
              </a:solidFill>
              <a:ln w="3175">
                <a:noFill/>
                <a:prstDash val="solid"/>
              </a:ln>
            </c:spPr>
          </c:dPt>
          <c:dLbls>
            <c:dLbl>
              <c:idx val="4"/>
              <c:layout>
                <c:manualLayout>
                  <c:x val="0.00339454926266113"/>
                  <c:y val="0.0098082323248446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700" b="1" i="0" u="none" strike="noStrike" kern="1200" baseline="0">
                      <a:solidFill>
                        <a:schemeClr val="bg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700" b="0" i="0" u="none" strike="noStrike" kern="1200" baseline="0">
                    <a:solidFill>
                      <a:schemeClr val="bg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Sheet1!$A$2:$A$20</c:f>
              <c:strCache>
                <c:ptCount val="5"/>
                <c:pt idx="0">
                  <c:v>Δ' τρίμηνο 
2022</c:v>
                </c:pt>
                <c:pt idx="1">
                  <c:v>Α' τρίμηνο 
2023</c:v>
                </c:pt>
                <c:pt idx="2">
                  <c:v>Β' τρίμηνο 
2023</c:v>
                </c:pt>
                <c:pt idx="3">
                  <c:v>Γ' τρίμηνο 
2023</c:v>
                </c:pt>
                <c:pt idx="4">
                  <c:v>Δ' τρίμηνο 
2023</c:v>
                </c:pt>
              </c:strCache>
            </c:strRef>
          </c:cat>
          <c:val>
            <c:numRef>
              <c:f>Sheet1!$D$2:$D$20</c:f>
              <c:numCache>
                <c:formatCode>0</c:formatCode>
                <c:ptCount val="5"/>
                <c:pt idx="0">
                  <c:v>76</c:v>
                </c:pt>
                <c:pt idx="1">
                  <c:v>114</c:v>
                </c:pt>
                <c:pt idx="2">
                  <c:v>133</c:v>
                </c:pt>
                <c:pt idx="3">
                  <c:v>165.65</c:v>
                </c:pt>
                <c:pt idx="4">
                  <c:v>194</c:v>
                </c:pt>
              </c:numCache>
            </c:numRef>
          </c:val>
        </c:ser>
        <c:ser>
          <c:idx val="5"/>
          <c:order val="5"/>
          <c:tx>
            <c:strRef>
              <c:f>Sheet1!$C$1</c:f>
              <c:strCache>
                <c:ptCount val="1"/>
                <c:pt idx="0">
                  <c:v>ΜΕΑ</c:v>
                </c:pt>
              </c:strCache>
            </c:strRef>
          </c:tx>
          <c:spPr>
            <a:solidFill>
              <a:srgbClr val="00ADBF"/>
            </a:solidFill>
            <a:ln w="3175">
              <a:noFill/>
            </a:ln>
          </c:spPr>
          <c:invertIfNegative val="0"/>
          <c:dPt>
            <c:idx val="0"/>
            <c:invertIfNegative val="0"/>
            <c:bubble3D val="0"/>
          </c:dPt>
          <c:dPt>
            <c:idx val="4"/>
            <c:invertIfNegative val="0"/>
            <c:bubble3D val="0"/>
            <c:spPr>
              <a:solidFill>
                <a:srgbClr val="FF7415">
                  <a:alpha val="50000"/>
                </a:srgbClr>
              </a:solidFill>
              <a:ln w="3175">
                <a:noFill/>
              </a:ln>
            </c:spPr>
          </c:dPt>
          <c:dLbls>
            <c:dLbl>
              <c:idx val="4"/>
              <c:layout/>
              <c:numFmt formatCode="General" sourceLinked="1"/>
              <c:spPr>
                <a:noFill/>
                <a:ln>
                  <a:noFill/>
                </a:ln>
                <a:effectLst/>
              </c:spPr>
              <c:txPr>
                <a:bodyPr rot="0" spcFirstLastPara="0" vertOverflow="ellipsis" vert="horz" wrap="square" lIns="38100" tIns="19050" rIns="38100" bIns="19050" anchor="ctr" anchorCtr="1"/>
                <a:lstStyle/>
                <a:p>
                  <a:pPr>
                    <a:defRPr lang="en-US" sz="700" b="1" i="0" u="none" strike="noStrike" kern="1200" baseline="0">
                      <a:solidFill>
                        <a:schemeClr val="bg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700" b="0" i="0" u="none" strike="noStrike" kern="1200" baseline="0">
                    <a:solidFill>
                      <a:schemeClr val="bg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val>
            <c:numRef>
              <c:f>Sheet1!$C$2:$C$20</c:f>
              <c:numCache>
                <c:formatCode>0</c:formatCode>
                <c:ptCount val="5"/>
                <c:pt idx="0">
                  <c:v>35</c:v>
                </c:pt>
                <c:pt idx="1">
                  <c:v>19</c:v>
                </c:pt>
                <c:pt idx="2">
                  <c:v>23</c:v>
                </c:pt>
                <c:pt idx="3">
                  <c:v>19.725</c:v>
                </c:pt>
                <c:pt idx="4">
                  <c:v>20</c:v>
                </c:pt>
              </c:numCache>
            </c:numRef>
          </c:val>
        </c:ser>
        <c:ser>
          <c:idx val="0"/>
          <c:order val="6"/>
          <c:tx>
            <c:strRef>
              <c:f>Sheet1!$B$1</c:f>
              <c:strCache>
                <c:ptCount val="1"/>
                <c:pt idx="0">
                  <c:v>Εξυπηρετούμενα δάνεια</c:v>
                </c:pt>
              </c:strCache>
            </c:strRef>
          </c:tx>
          <c:spPr>
            <a:solidFill>
              <a:srgbClr val="00CFE7"/>
            </a:solidFill>
            <a:ln w="3175">
              <a:noFill/>
              <a:prstDash val="solid"/>
            </a:ln>
          </c:spPr>
          <c:invertIfNegative val="0"/>
          <c:dPt>
            <c:idx val="0"/>
            <c:invertIfNegative val="0"/>
            <c:bubble3D val="0"/>
          </c:dPt>
          <c:dPt>
            <c:idx val="4"/>
            <c:invertIfNegative val="0"/>
            <c:bubble3D val="0"/>
            <c:spPr>
              <a:solidFill>
                <a:srgbClr val="FF7415">
                  <a:alpha val="25000"/>
                </a:srgbClr>
              </a:solidFill>
              <a:ln w="3175">
                <a:noFill/>
                <a:prstDash val="solid"/>
              </a:ln>
            </c:spPr>
          </c:dPt>
          <c:dLbls>
            <c:dLbl>
              <c:idx val="0"/>
              <c:layout/>
              <c:tx>
                <c:rich>
                  <a:bodyPr rot="0" spcFirstLastPara="0" vertOverflow="ellipsis" vert="horz" wrap="square" lIns="38100" tIns="19050" rIns="38100" bIns="19050" anchor="ctr" anchorCtr="1"/>
                  <a:lstStyle/>
                  <a:p>
                    <a:pPr>
                      <a:defRPr lang="en-US" sz="800" b="0" i="0" u="none" strike="noStrike" kern="1200" baseline="0">
                        <a:solidFill>
                          <a:schemeClr val="bg1"/>
                        </a:solidFill>
                        <a:latin typeface="+mn-lt"/>
                        <a:ea typeface="+mn-ea"/>
                        <a:cs typeface="+mn-cs"/>
                      </a:defRPr>
                    </a:pPr>
                    <a:r>
                      <a:rPr lang="en-US"/>
                      <a:t>303</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en-US" sz="800" b="0" i="0" u="none" strike="noStrike" kern="1200" baseline="0">
                        <a:solidFill>
                          <a:schemeClr val="bg1"/>
                        </a:solidFill>
                        <a:latin typeface="+mn-lt"/>
                        <a:ea typeface="+mn-ea"/>
                        <a:cs typeface="+mn-cs"/>
                      </a:defRPr>
                    </a:pPr>
                    <a:r>
                      <a:rPr lang="en-US"/>
                      <a:t>367</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en-US" sz="800" b="0" i="0" u="none" strike="noStrike" kern="1200" baseline="0">
                        <a:solidFill>
                          <a:schemeClr val="bg1"/>
                        </a:solidFill>
                        <a:latin typeface="+mn-lt"/>
                        <a:ea typeface="+mn-ea"/>
                        <a:cs typeface="+mn-cs"/>
                      </a:defRPr>
                    </a:pPr>
                    <a:r>
                      <a:rPr lang="en-US"/>
                      <a:t>414</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en-US" sz="800" b="0" i="0" u="none" strike="noStrike" kern="1200" baseline="0">
                        <a:solidFill>
                          <a:schemeClr val="bg1"/>
                        </a:solidFill>
                        <a:latin typeface="+mn-lt"/>
                        <a:ea typeface="+mn-ea"/>
                        <a:cs typeface="+mn-cs"/>
                      </a:defRPr>
                    </a:pPr>
                    <a:r>
                      <a:rPr lang="en-US"/>
                      <a:t>429</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en-US" sz="700" b="1" i="0" u="none" strike="noStrike" kern="1200" baseline="0">
                        <a:solidFill>
                          <a:schemeClr val="bg1"/>
                        </a:solidFill>
                        <a:latin typeface="Aptos" pitchFamily="2" charset="0"/>
                        <a:ea typeface="+mn-ea"/>
                        <a:cs typeface="+mn-cs"/>
                      </a:defRPr>
                    </a:pPr>
                    <a:r>
                      <a:rPr lang="en-US" b="1" dirty="0"/>
                      <a:t>443</a:t>
                    </a:r>
                    <a:endParaRPr lang="en-US" b="1" dirty="0"/>
                  </a:p>
                </c:rich>
              </c:tx>
              <c:numFmt formatCode="General" sourceLinked="1"/>
              <c:spPr>
                <a:noFill/>
                <a:ln>
                  <a:noFill/>
                </a:ln>
                <a:effectLst/>
              </c:spPr>
              <c:txPr>
                <a:bodyPr rot="0" spcFirstLastPara="0" vertOverflow="ellipsis" vert="horz" wrap="square" lIns="38100" tIns="19050" rIns="38100" bIns="19050" anchor="ctr" anchorCtr="1"/>
                <a:lstStyle/>
                <a:p>
                  <a:pPr>
                    <a:defRPr lang="en-US" sz="700" b="1" i="0" u="none" strike="noStrike" kern="1200" baseline="0">
                      <a:solidFill>
                        <a:schemeClr val="bg1"/>
                      </a:solidFill>
                      <a:latin typeface="Aptos" pitchFamily="2" charset="0"/>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700" b="0" i="0" u="none" strike="noStrike" kern="1200" baseline="0">
                    <a:solidFill>
                      <a:schemeClr val="bg1"/>
                    </a:solidFill>
                    <a:latin typeface="Aptos" pitchFamily="2" charset="0"/>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Sheet1!$A$2:$A$20</c:f>
              <c:strCache>
                <c:ptCount val="5"/>
                <c:pt idx="0">
                  <c:v>Δ' τρίμηνο 
2022</c:v>
                </c:pt>
                <c:pt idx="1">
                  <c:v>Α' τρίμηνο 
2023</c:v>
                </c:pt>
                <c:pt idx="2">
                  <c:v>Β' τρίμηνο 
2023</c:v>
                </c:pt>
                <c:pt idx="3">
                  <c:v>Γ' τρίμηνο 
2023</c:v>
                </c:pt>
                <c:pt idx="4">
                  <c:v>Δ' τρίμηνο 
2023</c:v>
                </c:pt>
              </c:strCache>
            </c:strRef>
          </c:cat>
          <c:val>
            <c:numRef>
              <c:f>Sheet1!$B$2:$B$20</c:f>
              <c:numCache>
                <c:formatCode>0</c:formatCode>
                <c:ptCount val="5"/>
                <c:pt idx="0">
                  <c:v>233</c:v>
                </c:pt>
                <c:pt idx="1">
                  <c:v>237</c:v>
                </c:pt>
                <c:pt idx="2">
                  <c:v>244</c:v>
                </c:pt>
                <c:pt idx="3">
                  <c:v>239.135</c:v>
                </c:pt>
                <c:pt idx="4">
                  <c:v>253</c:v>
                </c:pt>
              </c:numCache>
            </c:numRef>
          </c:val>
        </c:ser>
        <c:ser>
          <c:idx val="6"/>
          <c:order val="0"/>
          <c:tx>
            <c:strRef>
              <c:f>Sheet1!$J$1</c:f>
              <c:strCache>
                <c:ptCount val="1"/>
                <c:pt idx="0">
                  <c:v/>
                </c:pt>
              </c:strCache>
            </c:strRef>
          </c:tx>
          <c:spPr>
            <a:solidFill>
              <a:srgbClr val="FF7415">
                <a:lumMod val="20000"/>
                <a:lumOff val="80000"/>
              </a:srgbClr>
            </a:solidFill>
          </c:spPr>
          <c:invertIfNegative val="0"/>
          <c:dLbls>
            <c:spPr>
              <a:noFill/>
              <a:ln>
                <a:noFill/>
              </a:ln>
              <a:effectLst/>
            </c:spPr>
            <c:txPr>
              <a:bodyPr rot="0" spcFirstLastPara="0" vertOverflow="ellipsis" vert="horz" wrap="square" lIns="38100" tIns="19050" rIns="38100" bIns="19050" anchor="ctr" anchorCtr="1"/>
              <a:lstStyle/>
              <a:p>
                <a:pPr>
                  <a:defRPr lang="en-US" sz="8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val>
            <c:numRef>
              <c:f>Sheet1!$J$2</c:f>
            </c:numRef>
          </c:val>
        </c:ser>
        <c:dLbls>
          <c:showLegendKey val="0"/>
          <c:showVal val="0"/>
          <c:showCatName val="0"/>
          <c:showSerName val="0"/>
          <c:showPercent val="0"/>
          <c:showBubbleSize val="0"/>
        </c:dLbls>
        <c:gapWidth val="70"/>
        <c:overlap val="100"/>
        <c:axId val="564211744"/>
        <c:axId val="564205472"/>
      </c:barChart>
      <c:catAx>
        <c:axId val="564211744"/>
        <c:scaling>
          <c:orientation val="minMax"/>
        </c:scaling>
        <c:delete val="0"/>
        <c:axPos val="b"/>
        <c:numFmt formatCode="General" sourceLinked="0"/>
        <c:majorTickMark val="none"/>
        <c:minorTickMark val="none"/>
        <c:tickLblPos val="low"/>
        <c:spPr>
          <a:ln w="6350" cap="flat" cmpd="sng" algn="ctr">
            <a:solidFill>
              <a:srgbClr val="D9D9D9"/>
            </a:solidFill>
            <a:prstDash val="solid"/>
            <a:round/>
          </a:ln>
        </c:spPr>
        <c:txPr>
          <a:bodyPr rot="0" spcFirstLastPara="0" vertOverflow="ellipsis" vert="horz" wrap="square" anchor="ctr" anchorCtr="1"/>
          <a:lstStyle/>
          <a:p>
            <a:pPr>
              <a:defRPr lang="en-US" sz="600" b="0" i="0" u="none" strike="noStrike" kern="1200" baseline="0">
                <a:solidFill>
                  <a:sysClr val="windowText" lastClr="000000"/>
                </a:solidFill>
                <a:latin typeface="Aptos" pitchFamily="2" charset="0"/>
                <a:ea typeface="+mn-ea"/>
                <a:cs typeface="+mn-cs"/>
              </a:defRPr>
            </a:pPr>
          </a:p>
        </c:txPr>
        <c:crossAx val="564205472"/>
        <c:crosses val="autoZero"/>
        <c:auto val="1"/>
        <c:lblAlgn val="ctr"/>
        <c:lblOffset val="10"/>
        <c:noMultiLvlLbl val="0"/>
      </c:catAx>
      <c:valAx>
        <c:axId val="564205472"/>
        <c:scaling>
          <c:orientation val="minMax"/>
          <c:max val="550"/>
          <c:min val="-70"/>
        </c:scaling>
        <c:delete val="1"/>
        <c:axPos val="l"/>
        <c:numFmt formatCode="General" sourceLinked="0"/>
        <c:majorTickMark val="out"/>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p>
        </c:txPr>
        <c:crossAx val="564211744"/>
        <c:crosses val="autoZero"/>
        <c:crossBetween val="between"/>
        <c:majorUnit val="50"/>
        <c:minorUnit val="50"/>
      </c:valAx>
      <c:spPr>
        <a:noFill/>
        <a:ln w="25400">
          <a:noFill/>
        </a:ln>
      </c:spPr>
    </c:plotArea>
    <c:legend>
      <c:legendPos val="l"/>
      <c:legendEntry>
        <c:idx val="4"/>
        <c:delete val="1"/>
      </c:legendEntry>
      <c:legendEntry>
        <c:idx val="5"/>
        <c:delete val="1"/>
      </c:legendEntry>
      <c:layout>
        <c:manualLayout>
          <c:xMode val="edge"/>
          <c:yMode val="edge"/>
          <c:x val="0.0144265116031767"/>
          <c:y val="0.317135036232059"/>
          <c:w val="0.282638335033167"/>
          <c:h val="0.613338997861319"/>
        </c:manualLayout>
      </c:layout>
      <c:overlay val="0"/>
      <c:txPr>
        <a:bodyPr rot="0" spcFirstLastPara="0" vertOverflow="ellipsis" vert="horz" wrap="square" anchor="ctr" anchorCtr="1"/>
        <a:lstStyle/>
        <a:p>
          <a:pPr>
            <a:defRPr lang="en-US" sz="600" b="0" i="0" u="none" strike="noStrike" kern="1200" baseline="0">
              <a:solidFill>
                <a:sysClr val="windowText" lastClr="000000"/>
              </a:solidFill>
              <a:latin typeface="Aptos" pitchFamily="2" charset="0"/>
              <a:ea typeface="+mn-ea"/>
              <a:cs typeface="+mn-cs"/>
            </a:defRPr>
          </a:pPr>
        </a:p>
      </c:txPr>
    </c:legend>
    <c:plotVisOnly val="1"/>
    <c:dispBlanksAs val="gap"/>
    <c:showDLblsOverMax val="0"/>
  </c:chart>
  <c:spPr>
    <a:solidFill>
      <a:srgbClr val="F5F9F6"/>
    </a:solidFill>
    <a:ln w="9525" cap="flat" cmpd="sng" algn="ctr">
      <a:noFill/>
      <a:prstDash val="solid"/>
      <a:round/>
    </a:ln>
    <a:effectLst/>
  </c:spPr>
  <c:txPr>
    <a:bodyPr/>
    <a:lstStyle/>
    <a:p>
      <a:pPr>
        <a:defRPr lang="en-US" sz="800">
          <a:latin typeface="+mn-lt"/>
        </a:defRPr>
      </a:pPr>
    </a:p>
  </c:txPr>
  <c:externalData r:id="rId1">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309415814041209"/>
          <c:y val="0.214172226881815"/>
          <c:w val="0.93753683797824"/>
          <c:h val="0.657330846362806"/>
        </c:manualLayout>
      </c:layout>
      <c:barChart>
        <c:barDir val="col"/>
        <c:grouping val="clustered"/>
        <c:varyColors val="0"/>
        <c:ser>
          <c:idx val="4"/>
          <c:order val="0"/>
          <c:tx>
            <c:strRef>
              <c:f>Sheet1!$A$2</c:f>
              <c:strCache>
                <c:ptCount val="1"/>
                <c:pt idx="0">
                  <c:v>Πρόγραμμα TLTRO ΙΙΙ</c:v>
                </c:pt>
              </c:strCache>
            </c:strRef>
          </c:tx>
          <c:spPr>
            <a:solidFill>
              <a:srgbClr val="00ADBF"/>
            </a:solidFill>
            <a:ln w="9524">
              <a:solidFill>
                <a:srgbClr val="00ADBF"/>
              </a:solidFill>
              <a:prstDash val="solid"/>
            </a:ln>
          </c:spPr>
          <c:invertIfNegative val="1"/>
          <c:dPt>
            <c:idx val="0"/>
            <c:invertIfNegative val="1"/>
            <c:bubble3D val="0"/>
          </c:dPt>
          <c:dPt>
            <c:idx val="1"/>
            <c:invertIfNegative val="1"/>
            <c:bubble3D val="0"/>
          </c:dPt>
          <c:dPt>
            <c:idx val="2"/>
            <c:invertIfNegative val="1"/>
            <c:bubble3D val="0"/>
          </c:dPt>
          <c:dPt>
            <c:idx val="3"/>
            <c:invertIfNegative val="1"/>
            <c:bubble3D val="0"/>
          </c:dPt>
          <c:dPt>
            <c:idx val="4"/>
            <c:invertIfNegative val="1"/>
            <c:bubble3D val="0"/>
            <c:spPr>
              <a:solidFill>
                <a:srgbClr val="FFBA8B"/>
              </a:solidFill>
              <a:ln w="9524">
                <a:solidFill>
                  <a:srgbClr val="FFBA8B"/>
                </a:solidFill>
                <a:prstDash val="solid"/>
              </a:ln>
            </c:spPr>
          </c:dPt>
          <c:dLbls>
            <c:dLbl>
              <c:idx val="0"/>
              <c:layout>
                <c:manualLayout>
                  <c:x val="-0.00129536203184183"/>
                  <c:y val="0.0136800070102524"/>
                </c:manualLayout>
              </c:layout>
              <c:tx>
                <c:rich>
                  <a:bodyPr rot="0" spcFirstLastPara="0" vertOverflow="ellipsis" vert="horz" wrap="square" lIns="38100" tIns="19050" rIns="38100" bIns="19050" anchor="ctr" anchorCtr="1"/>
                  <a:lstStyle/>
                  <a:p>
                    <a:pPr>
                      <a:defRPr lang="en-US" sz="800" b="0" i="0" u="none" strike="noStrike" kern="1200" baseline="0">
                        <a:solidFill>
                          <a:schemeClr val="tx1"/>
                        </a:solidFill>
                        <a:latin typeface="+mn-lt"/>
                        <a:ea typeface="Calibri" panose="020F0502020204030204"/>
                        <a:cs typeface="Calibri" panose="020F0502020204030204"/>
                      </a:defRPr>
                    </a:pPr>
                    <a:r>
                      <a:rPr lang="en-US"/>
                      <a:t>8,1</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69665393622201"/>
                  <c:y val="0.0127186009538951"/>
                </c:manualLayout>
              </c:layout>
              <c:tx>
                <c:rich>
                  <a:bodyPr rot="0" spcFirstLastPara="0" vertOverflow="ellipsis" vert="horz" wrap="square" lIns="38100" tIns="19050" rIns="38100" bIns="19050" anchor="ctr" anchorCtr="1"/>
                  <a:lstStyle/>
                  <a:p>
                    <a:pPr>
                      <a:defRPr lang="en-US" sz="800" b="0" i="0" u="none" strike="noStrike" kern="1200" baseline="0">
                        <a:solidFill>
                          <a:schemeClr val="tx1"/>
                        </a:solidFill>
                        <a:latin typeface="+mn-lt"/>
                        <a:ea typeface="Calibri" panose="020F0502020204030204"/>
                        <a:cs typeface="Calibri" panose="020F0502020204030204"/>
                      </a:defRPr>
                    </a:pPr>
                    <a:r>
                      <a:rPr lang="en-US"/>
                      <a:t>5,0</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7272541531111"/>
                  <c:y val="0.0127186009538951"/>
                </c:manualLayout>
              </c:layout>
              <c:tx>
                <c:rich>
                  <a:bodyPr rot="0" spcFirstLastPara="0" vertOverflow="ellipsis" vert="horz" wrap="square" lIns="38100" tIns="19050" rIns="38100" bIns="19050" anchor="ctr" anchorCtr="1"/>
                  <a:lstStyle/>
                  <a:p>
                    <a:pPr>
                      <a:defRPr lang="en-US" sz="800" b="0" i="0" u="none" strike="noStrike" kern="1200" baseline="0">
                        <a:solidFill>
                          <a:schemeClr val="tx1"/>
                        </a:solidFill>
                        <a:latin typeface="+mn-lt"/>
                        <a:ea typeface="Calibri" panose="020F0502020204030204"/>
                        <a:cs typeface="Calibri" panose="020F0502020204030204"/>
                      </a:defRPr>
                    </a:pPr>
                    <a:r>
                      <a:rPr lang="en-US"/>
                      <a:t>1,9</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7272541531111"/>
                  <c:y val="0.0127186009538951"/>
                </c:manualLayout>
              </c:layout>
              <c:tx>
                <c:rich>
                  <a:bodyPr rot="0" spcFirstLastPara="0" vertOverflow="ellipsis" vert="horz" wrap="square" lIns="38100" tIns="19050" rIns="38100" bIns="19050" anchor="ctr" anchorCtr="1"/>
                  <a:lstStyle/>
                  <a:p>
                    <a:pPr>
                      <a:defRPr lang="en-US" sz="800" b="0" i="0" u="none" strike="noStrike" kern="1200" baseline="0">
                        <a:solidFill>
                          <a:schemeClr val="tx1"/>
                        </a:solidFill>
                        <a:latin typeface="+mn-lt"/>
                        <a:ea typeface="Calibri" panose="020F0502020204030204"/>
                        <a:cs typeface="Calibri" panose="020F0502020204030204"/>
                      </a:defRPr>
                    </a:pPr>
                    <a:r>
                      <a:rPr lang="en-US"/>
                      <a:t>1,9</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15883194241438"/>
                  <c:y val="0.0190779014308426"/>
                </c:manualLayout>
              </c:layout>
              <c:tx>
                <c:rich>
                  <a:bodyPr rot="0" spcFirstLastPara="0" vertOverflow="ellipsis" vert="horz" wrap="square" lIns="38100" tIns="19050" rIns="38100" bIns="19050" anchor="ctr" anchorCtr="1">
                    <a:spAutoFit/>
                  </a:bodyPr>
                  <a:lstStyle/>
                  <a:p>
                    <a:pPr>
                      <a:defRPr lang="en-US" sz="700" b="1" i="0" u="none" strike="noStrike" kern="1200" baseline="0">
                        <a:solidFill>
                          <a:sysClr val="windowText" lastClr="000000"/>
                        </a:solidFill>
                        <a:latin typeface="Aptos" pitchFamily="2" charset="0"/>
                        <a:ea typeface="Calibri" panose="020F0502020204030204"/>
                        <a:cs typeface="Segoe UI" panose="020B0502040204020203" pitchFamily="34" charset="0"/>
                      </a:defRPr>
                    </a:pPr>
                    <a:r>
                      <a:rPr lang="en-US" sz="700"/>
                      <a:t>1,9</a:t>
                    </a:r>
                    <a:endParaRPr lang="en-US" sz="700"/>
                  </a:p>
                </c:rich>
              </c:tx>
              <c:numFmt formatCode="#,##0.0" sourceLinked="0"/>
              <c:spPr>
                <a:noFill/>
                <a:ln>
                  <a:noFill/>
                </a:ln>
                <a:effectLst/>
              </c:spPr>
              <c:txPr>
                <a:bodyPr rot="0" spcFirstLastPara="0" vertOverflow="ellipsis" vert="horz" wrap="square" lIns="38100" tIns="19050" rIns="38100" bIns="19050" anchor="ctr" anchorCtr="1">
                  <a:spAutoFit/>
                </a:bodyPr>
                <a:lstStyle/>
                <a:p>
                  <a:pPr>
                    <a:defRPr lang="en-US" sz="700" b="1" i="0" u="none" strike="noStrike" kern="1200" baseline="0">
                      <a:solidFill>
                        <a:sysClr val="windowText" lastClr="000000"/>
                      </a:solidFill>
                      <a:latin typeface="Aptos" pitchFamily="2" charset="0"/>
                      <a:ea typeface="Calibri" panose="020F0502020204030204"/>
                      <a:cs typeface="Segoe UI" panose="020B0502040204020203" pitchFamily="34" charset="0"/>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spAutoFit/>
              </a:bodyPr>
              <a:lstStyle/>
              <a:p>
                <a:pPr>
                  <a:defRPr lang="en-US" sz="700" b="0" i="0" u="none" strike="noStrike" kern="1200" baseline="0">
                    <a:solidFill>
                      <a:sysClr val="windowText" lastClr="000000"/>
                    </a:solidFill>
                    <a:latin typeface="Aptos" pitchFamily="2" charset="0"/>
                    <a:ea typeface="Calibri" panose="020F0502020204030204"/>
                    <a:cs typeface="Segoe UI" panose="020B0502040204020203" pitchFamily="3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Sheet1!$B$1:$I$1</c:f>
              <c:strCache>
                <c:ptCount val="5"/>
                <c:pt idx="0">
                  <c:v>Δ' τρίμηνο 
      2022</c:v>
                </c:pt>
                <c:pt idx="1">
                  <c:v>Α' τρίμηνο 
      2023</c:v>
                </c:pt>
                <c:pt idx="2">
                  <c:v>Β' τρίμηνο 
      2023</c:v>
                </c:pt>
                <c:pt idx="3">
                  <c:v>Γ' τρίμηνο 
      2023</c:v>
                </c:pt>
                <c:pt idx="4">
                  <c:v>Δ' τρίμηνο 
      2023</c:v>
                </c:pt>
              </c:strCache>
            </c:strRef>
          </c:cat>
          <c:val>
            <c:numRef>
              <c:f>Sheet1!$B$2:$I$2</c:f>
              <c:numCache>
                <c:formatCode>0.0</c:formatCode>
                <c:ptCount val="5"/>
                <c:pt idx="0">
                  <c:v>8.1</c:v>
                </c:pt>
                <c:pt idx="1">
                  <c:v>5</c:v>
                </c:pt>
                <c:pt idx="2">
                  <c:v>1.85</c:v>
                </c:pt>
                <c:pt idx="3">
                  <c:v>1.85</c:v>
                </c:pt>
                <c:pt idx="4">
                  <c:v>1.85</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0"/>
          <c:order val="1"/>
          <c:tx>
            <c:strRef>
              <c:f>Sheet1!$A$3</c:f>
              <c:strCache>
                <c:ptCount val="1"/>
                <c:pt idx="0">
                  <c:v>Ταμειακά διαθέσιμα &amp; αποθεματικά</c:v>
                </c:pt>
              </c:strCache>
            </c:strRef>
          </c:tx>
          <c:spPr>
            <a:solidFill>
              <a:srgbClr val="007B85"/>
            </a:solidFill>
            <a:ln>
              <a:solidFill>
                <a:srgbClr val="007B85"/>
              </a:solidFill>
            </a:ln>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spPr>
              <a:solidFill>
                <a:srgbClr val="FF7415"/>
              </a:solidFill>
              <a:ln>
                <a:solidFill>
                  <a:srgbClr val="FF7415"/>
                </a:solidFill>
              </a:ln>
            </c:spPr>
          </c:dPt>
          <c:dLbls>
            <c:dLbl>
              <c:idx val="0"/>
              <c:layout>
                <c:manualLayout>
                  <c:x val="0"/>
                  <c:y val="0.0190779014308426"/>
                </c:manualLayout>
              </c:layout>
              <c:tx>
                <c:rich>
                  <a:bodyPr rot="0" spcFirstLastPara="0" vertOverflow="ellipsis" vert="horz" wrap="square" lIns="38100" tIns="19050" rIns="38100" bIns="19050" anchor="ctr" anchorCtr="1"/>
                  <a:lstStyle/>
                  <a:p>
                    <a:pPr>
                      <a:defRPr lang="en-US" sz="800" b="0" i="0" u="none" strike="noStrike" kern="1200" baseline="0">
                        <a:solidFill>
                          <a:schemeClr val="tx1"/>
                        </a:solidFill>
                        <a:latin typeface="+mn-lt"/>
                        <a:ea typeface="Calibri" panose="020F0502020204030204"/>
                        <a:cs typeface="Calibri" panose="020F0502020204030204"/>
                      </a:defRPr>
                    </a:pPr>
                    <a:r>
                      <a:rPr lang="en-US"/>
                      <a:t>14,2</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65930569811353e-17"/>
                  <c:y val="0.0254372019077901"/>
                </c:manualLayout>
              </c:layout>
              <c:tx>
                <c:rich>
                  <a:bodyPr rot="0" spcFirstLastPara="0" vertOverflow="ellipsis" vert="horz" wrap="square" lIns="38100" tIns="19050" rIns="38100" bIns="19050" anchor="ctr" anchorCtr="1"/>
                  <a:lstStyle/>
                  <a:p>
                    <a:pPr>
                      <a:defRPr lang="en-US" sz="800" b="0" i="0" u="none" strike="noStrike" kern="1200" baseline="0">
                        <a:solidFill>
                          <a:schemeClr val="tx1"/>
                        </a:solidFill>
                        <a:latin typeface="+mn-lt"/>
                        <a:ea typeface="Calibri" panose="020F0502020204030204"/>
                        <a:cs typeface="Calibri" panose="020F0502020204030204"/>
                      </a:defRPr>
                    </a:pPr>
                    <a:r>
                      <a:rPr lang="en-US"/>
                      <a:t>9,9</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31861139622706e-17"/>
                  <c:y val="0.012718600953895"/>
                </c:manualLayout>
              </c:layout>
              <c:tx>
                <c:rich>
                  <a:bodyPr rot="0" spcFirstLastPara="0" vertOverflow="ellipsis" vert="horz" wrap="square" lIns="38100" tIns="19050" rIns="38100" bIns="19050" anchor="ctr" anchorCtr="1"/>
                  <a:lstStyle/>
                  <a:p>
                    <a:pPr>
                      <a:defRPr lang="en-US" sz="800" b="0" i="0" u="none" strike="noStrike" kern="1200" baseline="0">
                        <a:solidFill>
                          <a:schemeClr val="tx1"/>
                        </a:solidFill>
                        <a:latin typeface="+mn-lt"/>
                        <a:ea typeface="Calibri" panose="020F0502020204030204"/>
                        <a:cs typeface="Calibri" panose="020F0502020204030204"/>
                      </a:defRPr>
                    </a:pPr>
                    <a:r>
                      <a:rPr lang="en-US"/>
                      <a:t>7,6</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127186009538951"/>
                </c:manualLayout>
              </c:layout>
              <c:tx>
                <c:rich>
                  <a:bodyPr rot="0" spcFirstLastPara="0" vertOverflow="ellipsis" vert="horz" wrap="square" lIns="38100" tIns="19050" rIns="38100" bIns="19050" anchor="ctr" anchorCtr="1"/>
                  <a:lstStyle/>
                  <a:p>
                    <a:pPr>
                      <a:defRPr lang="en-US" sz="800" b="0" i="0" u="none" strike="noStrike" kern="1200" baseline="0">
                        <a:solidFill>
                          <a:schemeClr val="tx1"/>
                        </a:solidFill>
                        <a:latin typeface="+mn-lt"/>
                        <a:ea typeface="Calibri" panose="020F0502020204030204"/>
                        <a:cs typeface="Calibri" panose="020F0502020204030204"/>
                      </a:defRPr>
                    </a:pPr>
                    <a:r>
                      <a:rPr lang="en-US"/>
                      <a:t>8,4</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41494962830245"/>
                  <c:y val="0.0127186009538951"/>
                </c:manualLayout>
              </c:layout>
              <c:tx>
                <c:rich>
                  <a:bodyPr rot="0" spcFirstLastPara="0" vertOverflow="ellipsis" vert="horz" wrap="square" lIns="38100" tIns="19050" rIns="38100" bIns="19050" anchor="ctr" anchorCtr="1">
                    <a:spAutoFit/>
                  </a:bodyPr>
                  <a:lstStyle/>
                  <a:p>
                    <a:pPr>
                      <a:defRPr lang="en-US" sz="700" b="1" i="0" u="none" strike="noStrike" kern="1200" baseline="0">
                        <a:solidFill>
                          <a:sysClr val="windowText" lastClr="000000"/>
                        </a:solidFill>
                        <a:latin typeface="Aptos" pitchFamily="2" charset="0"/>
                        <a:ea typeface="Calibri" panose="020F0502020204030204"/>
                        <a:cs typeface="Segoe UI" panose="020B0502040204020203" pitchFamily="34" charset="0"/>
                      </a:defRPr>
                    </a:pPr>
                    <a:r>
                      <a:rPr lang="en-US" sz="700"/>
                      <a:t>9,0</a:t>
                    </a:r>
                    <a:endParaRPr lang="en-US" sz="700"/>
                  </a:p>
                </c:rich>
              </c:tx>
              <c:numFmt formatCode="General" sourceLinked="1"/>
              <c:spPr>
                <a:noFill/>
                <a:ln>
                  <a:noFill/>
                </a:ln>
                <a:effectLst/>
              </c:spPr>
              <c:txPr>
                <a:bodyPr rot="0" spcFirstLastPara="0" vertOverflow="ellipsis" vert="horz" wrap="square" lIns="38100" tIns="19050" rIns="38100" bIns="19050" anchor="ctr" anchorCtr="1">
                  <a:spAutoFit/>
                </a:bodyPr>
                <a:lstStyle/>
                <a:p>
                  <a:pPr>
                    <a:defRPr lang="en-US" sz="700" b="1" i="0" u="none" strike="noStrike" kern="1200" baseline="0">
                      <a:solidFill>
                        <a:sysClr val="windowText" lastClr="000000"/>
                      </a:solidFill>
                      <a:latin typeface="Aptos" pitchFamily="2" charset="0"/>
                      <a:ea typeface="Calibri" panose="020F0502020204030204"/>
                      <a:cs typeface="Segoe UI" panose="020B0502040204020203" pitchFamily="34" charset="0"/>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spAutoFit/>
              </a:bodyPr>
              <a:lstStyle/>
              <a:p>
                <a:pPr>
                  <a:defRPr lang="en-US" sz="700" b="0" i="0" u="none" strike="noStrike" kern="1200" baseline="0">
                    <a:solidFill>
                      <a:sysClr val="windowText" lastClr="000000"/>
                    </a:solidFill>
                    <a:latin typeface="Aptos" pitchFamily="2" charset="0"/>
                    <a:ea typeface="Calibri" panose="020F0502020204030204"/>
                    <a:cs typeface="Segoe UI" panose="020B0502040204020203" pitchFamily="3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Sheet1!$B$1:$I$1</c:f>
              <c:strCache>
                <c:ptCount val="5"/>
                <c:pt idx="0">
                  <c:v>Δ' τρίμηνο 
      2022</c:v>
                </c:pt>
                <c:pt idx="1">
                  <c:v>Α' τρίμηνο 
      2023</c:v>
                </c:pt>
                <c:pt idx="2">
                  <c:v>Β' τρίμηνο 
      2023</c:v>
                </c:pt>
                <c:pt idx="3">
                  <c:v>Γ' τρίμηνο 
      2023</c:v>
                </c:pt>
                <c:pt idx="4">
                  <c:v>Δ' τρίμηνο 
      2023</c:v>
                </c:pt>
              </c:strCache>
            </c:strRef>
          </c:cat>
          <c:val>
            <c:numRef>
              <c:f>Sheet1!$B$3:$I$3</c:f>
              <c:numCache>
                <c:formatCode>0.0</c:formatCode>
                <c:ptCount val="5"/>
                <c:pt idx="0">
                  <c:v>14.225871</c:v>
                </c:pt>
                <c:pt idx="1">
                  <c:v>9.94951621</c:v>
                </c:pt>
                <c:pt idx="2">
                  <c:v>7.55149297</c:v>
                </c:pt>
                <c:pt idx="3">
                  <c:v>8.3995434</c:v>
                </c:pt>
                <c:pt idx="4">
                  <c:v>9.01456586</c:v>
                </c:pt>
              </c:numCache>
            </c:numRef>
          </c:val>
        </c:ser>
        <c:ser>
          <c:idx val="1"/>
          <c:order val="2"/>
          <c:tx>
            <c:strRef>
              <c:f>Sheet1!$A$4</c:f>
              <c:strCache>
                <c:ptCount val="1"/>
                <c:pt idx="0">
                  <c:v>Καθαρή θέση στη διατραπεζική αγορά</c:v>
                </c:pt>
              </c:strCache>
            </c:strRef>
          </c:tx>
          <c:spPr>
            <a:solidFill>
              <a:srgbClr val="003841"/>
            </a:solidFill>
            <a:ln>
              <a:solidFill>
                <a:srgbClr val="003841"/>
              </a:solidFill>
            </a:ln>
          </c:spPr>
          <c:invertIfNegative val="0"/>
          <c:dPt>
            <c:idx val="4"/>
            <c:invertIfNegative val="0"/>
            <c:bubble3D val="0"/>
            <c:spPr>
              <a:solidFill>
                <a:srgbClr val="FF944B"/>
              </a:solidFill>
              <a:ln>
                <a:solidFill>
                  <a:srgbClr val="FF944B"/>
                </a:solidFill>
              </a:ln>
            </c:spPr>
          </c:dPt>
          <c:dLbls>
            <c:dLbl>
              <c:idx val="0"/>
              <c:layout>
                <c:manualLayout>
                  <c:x val="-0.00183318402564951"/>
                  <c:y val="0.0117571948975376"/>
                </c:manualLayout>
              </c:layout>
              <c:tx>
                <c:rich>
                  <a:bodyPr rot="0" spcFirstLastPara="0" vertOverflow="ellipsis" vert="horz" wrap="square" lIns="38100" tIns="19050" rIns="38100" bIns="19050" anchor="ctr" anchorCtr="1"/>
                  <a:lstStyle/>
                  <a:p>
                    <a:pPr>
                      <a:defRPr lang="en-US" sz="800" b="0" i="0" u="none" strike="noStrike" kern="1200" baseline="0">
                        <a:solidFill>
                          <a:schemeClr val="tx1"/>
                        </a:solidFill>
                        <a:latin typeface="+mn-lt"/>
                        <a:ea typeface="Calibri" panose="020F0502020204030204"/>
                        <a:cs typeface="Calibri" panose="020F0502020204030204"/>
                      </a:defRPr>
                    </a:pPr>
                    <a:r>
                      <a:rPr lang="en-US"/>
                      <a:t>1,2</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29536203184183"/>
                  <c:y val="0.0127186009538951"/>
                </c:manualLayout>
              </c:layout>
              <c:tx>
                <c:rich>
                  <a:bodyPr rot="0" spcFirstLastPara="0" vertOverflow="ellipsis" vert="horz" wrap="square" lIns="38100" tIns="19050" rIns="38100" bIns="19050" anchor="ctr" anchorCtr="1"/>
                  <a:lstStyle/>
                  <a:p>
                    <a:pPr>
                      <a:defRPr lang="en-US" sz="800" b="0" i="0" u="none" strike="noStrike" kern="1200" baseline="0">
                        <a:solidFill>
                          <a:schemeClr val="tx1"/>
                        </a:solidFill>
                        <a:latin typeface="+mn-lt"/>
                        <a:ea typeface="Calibri" panose="020F0502020204030204"/>
                        <a:cs typeface="Calibri" panose="020F0502020204030204"/>
                      </a:defRPr>
                    </a:pPr>
                    <a:r>
                      <a:rPr lang="en-US"/>
                      <a:t>0,8</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7272541531111"/>
                  <c:y val="0.0136800070102524"/>
                </c:manualLayout>
              </c:layout>
              <c:tx>
                <c:rich>
                  <a:bodyPr rot="0" spcFirstLastPara="0" vertOverflow="ellipsis" vert="horz" wrap="square" lIns="38100" tIns="19050" rIns="38100" bIns="19050" anchor="ctr" anchorCtr="1"/>
                  <a:lstStyle/>
                  <a:p>
                    <a:pPr>
                      <a:defRPr lang="en-US" sz="800" b="0" i="0" u="none" strike="noStrike" kern="1200" baseline="0">
                        <a:solidFill>
                          <a:schemeClr val="tx1"/>
                        </a:solidFill>
                        <a:latin typeface="+mn-lt"/>
                        <a:ea typeface="Calibri" panose="020F0502020204030204"/>
                        <a:cs typeface="Calibri" panose="020F0502020204030204"/>
                      </a:defRPr>
                    </a:pPr>
                    <a:r>
                      <a:rPr lang="en-US"/>
                      <a:t>1,2</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29536203184183"/>
                  <c:y val="0.0127186009538951"/>
                </c:manualLayout>
              </c:layout>
              <c:tx>
                <c:rich>
                  <a:bodyPr rot="0" spcFirstLastPara="0" vertOverflow="ellipsis" vert="horz" wrap="square" lIns="38100" tIns="19050" rIns="38100" bIns="19050" anchor="ctr" anchorCtr="1"/>
                  <a:lstStyle/>
                  <a:p>
                    <a:pPr>
                      <a:defRPr lang="en-US" sz="800" b="0" i="0" u="none" strike="noStrike" kern="1200" baseline="0">
                        <a:solidFill>
                          <a:schemeClr val="tx1"/>
                        </a:solidFill>
                        <a:latin typeface="+mn-lt"/>
                        <a:ea typeface="Calibri" panose="020F0502020204030204"/>
                        <a:cs typeface="Calibri" panose="020F0502020204030204"/>
                      </a:defRPr>
                    </a:pPr>
                    <a:r>
                      <a:rPr lang="en-US"/>
                      <a:t>0,8</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0863469910572556"/>
                  <c:y val="0.0127186009538951"/>
                </c:manualLayout>
              </c:layout>
              <c:tx>
                <c:rich>
                  <a:bodyPr rot="0" spcFirstLastPara="0" vertOverflow="ellipsis" vert="horz" wrap="square" lIns="38100" tIns="19050" rIns="38100" bIns="19050" anchor="ctr" anchorCtr="1">
                    <a:spAutoFit/>
                  </a:bodyPr>
                  <a:lstStyle/>
                  <a:p>
                    <a:pPr>
                      <a:defRPr lang="en-US" sz="700" b="1" i="0" u="none" strike="noStrike" kern="1200" baseline="0">
                        <a:solidFill>
                          <a:sysClr val="windowText" lastClr="000000"/>
                        </a:solidFill>
                        <a:latin typeface="Aptos" pitchFamily="2" charset="0"/>
                        <a:ea typeface="Calibri" panose="020F0502020204030204"/>
                        <a:cs typeface="Segoe UI" panose="020B0502040204020203" pitchFamily="34" charset="0"/>
                      </a:defRPr>
                    </a:pPr>
                    <a:r>
                      <a:rPr lang="en-US" sz="700"/>
                      <a:t>0,8</a:t>
                    </a:r>
                    <a:endParaRPr lang="en-US" sz="700"/>
                  </a:p>
                </c:rich>
              </c:tx>
              <c:numFmt formatCode="General" sourceLinked="1"/>
              <c:spPr>
                <a:noFill/>
                <a:ln>
                  <a:noFill/>
                </a:ln>
                <a:effectLst/>
              </c:spPr>
              <c:txPr>
                <a:bodyPr rot="0" spcFirstLastPara="0" vertOverflow="ellipsis" vert="horz" wrap="square" lIns="38100" tIns="19050" rIns="38100" bIns="19050" anchor="ctr" anchorCtr="1">
                  <a:spAutoFit/>
                </a:bodyPr>
                <a:lstStyle/>
                <a:p>
                  <a:pPr>
                    <a:defRPr lang="en-US" sz="700" b="1" i="0" u="none" strike="noStrike" kern="1200" baseline="0">
                      <a:solidFill>
                        <a:sysClr val="windowText" lastClr="000000"/>
                      </a:solidFill>
                      <a:latin typeface="Aptos" pitchFamily="2" charset="0"/>
                      <a:ea typeface="Calibri" panose="020F0502020204030204"/>
                      <a:cs typeface="Segoe UI" panose="020B0502040204020203" pitchFamily="34" charset="0"/>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spAutoFit/>
              </a:bodyPr>
              <a:lstStyle/>
              <a:p>
                <a:pPr>
                  <a:defRPr lang="en-US" sz="700" b="0" i="0" u="none" strike="noStrike" kern="1200" baseline="0">
                    <a:solidFill>
                      <a:sysClr val="windowText" lastClr="000000"/>
                    </a:solidFill>
                    <a:latin typeface="Aptos" pitchFamily="2" charset="0"/>
                    <a:ea typeface="Calibri" panose="020F0502020204030204"/>
                    <a:cs typeface="Segoe UI" panose="020B0502040204020203" pitchFamily="3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Sheet1!$B$1:$I$1</c:f>
              <c:strCache>
                <c:ptCount val="5"/>
                <c:pt idx="0">
                  <c:v>Δ' τρίμηνο 
      2022</c:v>
                </c:pt>
                <c:pt idx="1">
                  <c:v>Α' τρίμηνο 
      2023</c:v>
                </c:pt>
                <c:pt idx="2">
                  <c:v>Β' τρίμηνο 
      2023</c:v>
                </c:pt>
                <c:pt idx="3">
                  <c:v>Γ' τρίμηνο 
      2023</c:v>
                </c:pt>
                <c:pt idx="4">
                  <c:v>Δ' τρίμηνο 
      2023</c:v>
                </c:pt>
              </c:strCache>
            </c:strRef>
          </c:cat>
          <c:val>
            <c:numRef>
              <c:f>Sheet1!$B$4:$I$4</c:f>
              <c:numCache>
                <c:formatCode>0.0</c:formatCode>
                <c:ptCount val="5"/>
                <c:pt idx="0">
                  <c:v>1.18973313</c:v>
                </c:pt>
                <c:pt idx="1">
                  <c:v>0.797441900000001</c:v>
                </c:pt>
                <c:pt idx="2">
                  <c:v>1.21062558</c:v>
                </c:pt>
                <c:pt idx="3">
                  <c:v>0.81796427</c:v>
                </c:pt>
                <c:pt idx="4">
                  <c:v>0.84190788</c:v>
                </c:pt>
              </c:numCache>
            </c:numRef>
          </c:val>
        </c:ser>
        <c:dLbls>
          <c:showLegendKey val="0"/>
          <c:showVal val="0"/>
          <c:showCatName val="0"/>
          <c:showSerName val="0"/>
          <c:showPercent val="0"/>
          <c:showBubbleSize val="0"/>
        </c:dLbls>
        <c:gapWidth val="100"/>
        <c:overlap val="-40"/>
        <c:axId val="568928360"/>
        <c:axId val="568927184"/>
      </c:barChart>
      <c:catAx>
        <c:axId val="568928360"/>
        <c:scaling>
          <c:orientation val="minMax"/>
        </c:scaling>
        <c:delete val="0"/>
        <c:axPos val="b"/>
        <c:numFmt formatCode="General" sourceLinked="1"/>
        <c:majorTickMark val="none"/>
        <c:minorTickMark val="none"/>
        <c:tickLblPos val="nextTo"/>
        <c:spPr>
          <a:ln w="9526" cap="flat" cmpd="sng" algn="ctr">
            <a:solidFill>
              <a:srgbClr val="D9D9D9"/>
            </a:solidFill>
            <a:prstDash val="solid"/>
            <a:round/>
          </a:ln>
        </c:spPr>
        <c:txPr>
          <a:bodyPr rot="0" spcFirstLastPara="0" vertOverflow="ellipsis" vert="horz" wrap="square" anchor="ctr" anchorCtr="1"/>
          <a:lstStyle/>
          <a:p>
            <a:pPr algn="just">
              <a:defRPr lang="en-US" sz="600" b="0" i="0" u="none" strike="noStrike" kern="1200" baseline="0">
                <a:solidFill>
                  <a:sysClr val="windowText" lastClr="000000"/>
                </a:solidFill>
                <a:latin typeface="Aptos" pitchFamily="2" charset="0"/>
                <a:ea typeface="Calibri" panose="020F0502020204030204"/>
                <a:cs typeface="Segoe UI" panose="020B0502040204020203" pitchFamily="34" charset="0"/>
              </a:defRPr>
            </a:pPr>
          </a:p>
        </c:txPr>
        <c:crossAx val="568927184"/>
        <c:crosses val="autoZero"/>
        <c:auto val="1"/>
        <c:lblAlgn val="ctr"/>
        <c:lblOffset val="100"/>
        <c:noMultiLvlLbl val="0"/>
      </c:catAx>
      <c:valAx>
        <c:axId val="568927184"/>
        <c:scaling>
          <c:orientation val="minMax"/>
          <c:max val="24"/>
          <c:min val="0"/>
        </c:scaling>
        <c:delete val="1"/>
        <c:axPos val="l"/>
        <c:numFmt formatCode="0.0" sourceLinked="1"/>
        <c:majorTickMark val="out"/>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Calibri" panose="020F0502020204030204"/>
                <a:cs typeface="Calibri" panose="020F0502020204030204"/>
              </a:defRPr>
            </a:pPr>
          </a:p>
        </c:txPr>
        <c:crossAx val="568928360"/>
        <c:crosses val="autoZero"/>
        <c:crossBetween val="between"/>
      </c:valAx>
      <c:spPr>
        <a:noFill/>
        <a:ln w="25361">
          <a:noFill/>
        </a:ln>
      </c:spPr>
    </c:plotArea>
    <c:legend>
      <c:legendPos val="t"/>
      <c:layout>
        <c:manualLayout>
          <c:xMode val="edge"/>
          <c:yMode val="edge"/>
          <c:x val="0.031936127744511"/>
          <c:y val="0.0508744038155803"/>
          <c:w val="0.447205745988338"/>
          <c:h val="0.171723145099708"/>
        </c:manualLayout>
      </c:layout>
      <c:overlay val="0"/>
      <c:txPr>
        <a:bodyPr rot="0" spcFirstLastPara="0" vertOverflow="ellipsis" vert="horz" wrap="square" anchor="ctr" anchorCtr="1"/>
        <a:lstStyle/>
        <a:p>
          <a:pPr>
            <a:defRPr lang="en-US" sz="600" b="0" i="0" u="none" strike="noStrike" kern="1200" baseline="0">
              <a:solidFill>
                <a:sysClr val="windowText" lastClr="000000"/>
              </a:solidFill>
              <a:latin typeface="Aptos" pitchFamily="2" charset="0"/>
              <a:ea typeface="Calibri" panose="020F0502020204030204"/>
              <a:cs typeface="Segoe UI" panose="020B0502040204020203" pitchFamily="34" charset="0"/>
            </a:defRPr>
          </a:pPr>
        </a:p>
      </c:txPr>
    </c:legend>
    <c:plotVisOnly val="1"/>
    <c:dispBlanksAs val="zero"/>
    <c:showDLblsOverMax val="0"/>
  </c:chart>
  <c:spPr>
    <a:solidFill>
      <a:srgbClr val="F5F9F6"/>
    </a:solidFill>
    <a:ln w="9525" cap="flat" cmpd="sng" algn="ctr">
      <a:noFill/>
      <a:prstDash val="solid"/>
      <a:round/>
    </a:ln>
  </c:spPr>
  <c:txPr>
    <a:bodyPr/>
    <a:lstStyle/>
    <a:p>
      <a:pPr>
        <a:defRPr lang="en-US" sz="800" b="0" i="0" u="none" strike="noStrike" baseline="0">
          <a:solidFill>
            <a:schemeClr val="tx1"/>
          </a:solidFill>
          <a:latin typeface="+mn-lt"/>
          <a:ea typeface="Calibri" panose="020F0502020204030204"/>
          <a:cs typeface="Calibri" panose="020F0502020204030204"/>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64844094488189"/>
          <c:y val="0.106126085200888"/>
          <c:w val="0.701181102362205"/>
          <c:h val="0.759520997375328"/>
        </c:manualLayout>
      </c:layout>
      <c:barChart>
        <c:barDir val="col"/>
        <c:grouping val="stacked"/>
        <c:varyColors val="0"/>
        <c:ser>
          <c:idx val="0"/>
          <c:order val="0"/>
          <c:tx>
            <c:strRef>
              <c:f>Sheet1!$A$2</c:f>
              <c:strCache>
                <c:ptCount val="1"/>
                <c:pt idx="0">
                  <c:v>Ταμιευτηρίου </c:v>
                </c:pt>
              </c:strCache>
            </c:strRef>
          </c:tx>
          <c:spPr>
            <a:solidFill>
              <a:srgbClr val="003841"/>
            </a:solidFill>
            <a:ln w="3175">
              <a:solidFill>
                <a:srgbClr val="003841"/>
              </a:solidFill>
            </a:ln>
          </c:spPr>
          <c:invertIfNegative val="0"/>
          <c:dPt>
            <c:idx val="4"/>
            <c:invertIfNegative val="0"/>
            <c:bubble3D val="0"/>
            <c:spPr>
              <a:solidFill>
                <a:srgbClr val="FF7415"/>
              </a:solidFill>
              <a:ln w="3175">
                <a:solidFill>
                  <a:srgbClr val="FF7415"/>
                </a:solidFill>
              </a:ln>
            </c:spPr>
          </c:dPt>
          <c:dLbls>
            <c:dLbl>
              <c:idx val="0"/>
              <c:layout/>
              <c:tx>
                <c:rich>
                  <a:bodyPr rot="0" spcFirstLastPara="0" vertOverflow="ellipsis" vert="horz" wrap="square" lIns="38100" tIns="19050" rIns="38100" bIns="19050" anchor="ctr" anchorCtr="1"/>
                  <a:lstStyle/>
                  <a:p>
                    <a:pPr>
                      <a:defRPr lang="en-US" sz="1800" b="0" i="0" u="none" strike="noStrike" kern="1200" baseline="0">
                        <a:solidFill>
                          <a:schemeClr val="bg1"/>
                        </a:solidFill>
                        <a:latin typeface="Aptos" pitchFamily="2" charset="0"/>
                        <a:ea typeface="+mn-ea"/>
                        <a:cs typeface="Segoe UI" panose="020B0502040204020203" pitchFamily="34" charset="0"/>
                      </a:defRPr>
                    </a:pPr>
                    <a:r>
                      <a:rPr lang="en-US"/>
                      <a:t>31,0</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en-US" sz="1800" b="0" i="0" u="none" strike="noStrike" kern="1200" baseline="0">
                        <a:solidFill>
                          <a:schemeClr val="bg1"/>
                        </a:solidFill>
                        <a:latin typeface="Aptos" pitchFamily="2" charset="0"/>
                        <a:ea typeface="+mn-ea"/>
                        <a:cs typeface="Segoe UI" panose="020B0502040204020203" pitchFamily="34" charset="0"/>
                      </a:defRPr>
                    </a:pPr>
                    <a:r>
                      <a:rPr lang="en-US"/>
                      <a:t>30,2</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en-US" sz="1800" b="0" i="0" u="none" strike="noStrike" kern="1200" baseline="0">
                        <a:solidFill>
                          <a:schemeClr val="bg1"/>
                        </a:solidFill>
                        <a:latin typeface="Aptos" pitchFamily="2" charset="0"/>
                        <a:ea typeface="+mn-ea"/>
                        <a:cs typeface="Segoe UI" panose="020B0502040204020203" pitchFamily="34" charset="0"/>
                      </a:defRPr>
                    </a:pPr>
                    <a:r>
                      <a:rPr lang="en-US"/>
                      <a:t>29,7</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en-US" sz="1800" b="0" i="0" u="none" strike="noStrike" kern="1200" baseline="0">
                        <a:solidFill>
                          <a:schemeClr val="bg1"/>
                        </a:solidFill>
                        <a:latin typeface="Aptos" pitchFamily="2" charset="0"/>
                        <a:ea typeface="+mn-ea"/>
                        <a:cs typeface="Segoe UI" panose="020B0502040204020203" pitchFamily="34" charset="0"/>
                      </a:defRPr>
                    </a:pPr>
                    <a:r>
                      <a:rPr lang="en-US"/>
                      <a:t>29,6</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en-US" sz="700" b="1" i="0" u="none" strike="noStrike" kern="1200" baseline="0">
                        <a:solidFill>
                          <a:schemeClr val="bg1"/>
                        </a:solidFill>
                        <a:latin typeface="Aptos" pitchFamily="2" charset="0"/>
                        <a:ea typeface="+mn-ea"/>
                        <a:cs typeface="Segoe UI" panose="020B0502040204020203" pitchFamily="34" charset="0"/>
                      </a:defRPr>
                    </a:pPr>
                    <a:r>
                      <a:rPr lang="en-US" sz="700"/>
                      <a:t>30,0</a:t>
                    </a:r>
                    <a:endParaRPr lang="en-US" sz="700"/>
                  </a:p>
                </c:rich>
              </c:tx>
              <c:numFmt formatCode="#,##0.0" sourceLinked="0"/>
              <c:spPr>
                <a:noFill/>
                <a:ln>
                  <a:noFill/>
                </a:ln>
                <a:effectLst/>
              </c:spPr>
              <c:txPr>
                <a:bodyPr rot="0" spcFirstLastPara="0" vertOverflow="ellipsis" vert="horz" wrap="square" lIns="38100" tIns="19050" rIns="38100" bIns="19050" anchor="ctr" anchorCtr="1"/>
                <a:lstStyle/>
                <a:p>
                  <a:pPr>
                    <a:defRPr lang="en-US" sz="700" b="1" i="0" u="none" strike="noStrike" kern="1200" baseline="0">
                      <a:solidFill>
                        <a:schemeClr val="bg1"/>
                      </a:solidFill>
                      <a:latin typeface="Aptos" pitchFamily="2" charset="0"/>
                      <a:ea typeface="+mn-ea"/>
                      <a:cs typeface="Segoe UI" panose="020B0502040204020203" pitchFamily="34" charset="0"/>
                    </a:defRPr>
                  </a:pPr>
                </a:p>
              </c:txPr>
              <c:dLblPos val="ct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en-US" sz="700" b="0" i="0" u="none" strike="noStrike" kern="1200" baseline="0">
                    <a:solidFill>
                      <a:schemeClr val="bg1"/>
                    </a:solidFill>
                    <a:latin typeface="Aptos" pitchFamily="2" charset="0"/>
                    <a:ea typeface="+mn-ea"/>
                    <a:cs typeface="Segoe UI" panose="020B0502040204020203" pitchFamily="3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Sheet1!$AL$1:$AP$1</c:f>
              <c:strCache>
                <c:ptCount val="5"/>
                <c:pt idx="0">
                  <c:v>Δ' τρίμηνο
2022</c:v>
                </c:pt>
                <c:pt idx="1">
                  <c:v>Α' τρίμηνο
2023</c:v>
                </c:pt>
                <c:pt idx="2">
                  <c:v>Β' τρίμηνο
2023</c:v>
                </c:pt>
                <c:pt idx="3">
                  <c:v>Γ' τρίμηνο
2023</c:v>
                </c:pt>
                <c:pt idx="4">
                  <c:v>Δ' τρίμηνο
2023</c:v>
                </c:pt>
              </c:strCache>
            </c:strRef>
          </c:cat>
          <c:val>
            <c:numRef>
              <c:f>Sheet1!$X$2:$AP$2</c:f>
              <c:numCache>
                <c:formatCode>0.000</c:formatCode>
                <c:ptCount val="5"/>
                <c:pt idx="0">
                  <c:v>31.049</c:v>
                </c:pt>
                <c:pt idx="1">
                  <c:v>30.156</c:v>
                </c:pt>
                <c:pt idx="2">
                  <c:v>29.696</c:v>
                </c:pt>
                <c:pt idx="3">
                  <c:v>29.578</c:v>
                </c:pt>
                <c:pt idx="4">
                  <c:v>30.036043</c:v>
                </c:pt>
              </c:numCache>
            </c:numRef>
          </c:val>
        </c:ser>
        <c:ser>
          <c:idx val="2"/>
          <c:order val="1"/>
          <c:tx>
            <c:strRef>
              <c:f>Sheet1!$A$4</c:f>
              <c:strCache>
                <c:ptCount val="1"/>
                <c:pt idx="0">
                  <c:v>Όψεως &amp; λοιπές - Λιανική Τραπεζική </c:v>
                </c:pt>
              </c:strCache>
            </c:strRef>
          </c:tx>
          <c:spPr>
            <a:solidFill>
              <a:srgbClr val="007B85"/>
            </a:solidFill>
            <a:ln w="3175">
              <a:solidFill>
                <a:srgbClr val="007B85"/>
              </a:solidFill>
            </a:ln>
          </c:spPr>
          <c:invertIfNegative val="0"/>
          <c:dPt>
            <c:idx val="4"/>
            <c:invertIfNegative val="0"/>
            <c:bubble3D val="0"/>
            <c:spPr>
              <a:solidFill>
                <a:srgbClr val="FF944B"/>
              </a:solidFill>
              <a:ln w="3175">
                <a:solidFill>
                  <a:srgbClr val="FF944B"/>
                </a:solidFill>
              </a:ln>
            </c:spPr>
          </c:dPt>
          <c:dLbls>
            <c:dLbl>
              <c:idx val="0"/>
              <c:layout/>
              <c:tx>
                <c:rich>
                  <a:bodyPr rot="0" spcFirstLastPara="0" vertOverflow="ellipsis" vert="horz" wrap="square" lIns="38100" tIns="19050" rIns="38100" bIns="19050" anchor="ctr" anchorCtr="1"/>
                  <a:lstStyle/>
                  <a:p>
                    <a:pPr>
                      <a:defRPr lang="en-US" sz="1800" b="0" i="0" u="none" strike="noStrike" kern="1200" baseline="0">
                        <a:solidFill>
                          <a:schemeClr val="bg1"/>
                        </a:solidFill>
                        <a:latin typeface="Aptos" pitchFamily="2" charset="0"/>
                        <a:ea typeface="+mn-ea"/>
                        <a:cs typeface="Segoe UI" panose="020B0502040204020203" pitchFamily="34" charset="0"/>
                      </a:defRPr>
                    </a:pPr>
                    <a:r>
                      <a:rPr lang="en-US"/>
                      <a:t>5,9</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en-US" sz="1800" b="0" i="0" u="none" strike="noStrike" kern="1200" baseline="0">
                        <a:solidFill>
                          <a:schemeClr val="bg1"/>
                        </a:solidFill>
                        <a:latin typeface="Aptos" pitchFamily="2" charset="0"/>
                        <a:ea typeface="+mn-ea"/>
                        <a:cs typeface="Segoe UI" panose="020B0502040204020203" pitchFamily="34" charset="0"/>
                      </a:defRPr>
                    </a:pPr>
                    <a:r>
                      <a:rPr lang="en-US"/>
                      <a:t>5,6</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en-US" sz="1800" b="0" i="0" u="none" strike="noStrike" kern="1200" baseline="0">
                        <a:solidFill>
                          <a:schemeClr val="bg1"/>
                        </a:solidFill>
                        <a:latin typeface="Aptos" pitchFamily="2" charset="0"/>
                        <a:ea typeface="+mn-ea"/>
                        <a:cs typeface="Segoe UI" panose="020B0502040204020203" pitchFamily="34" charset="0"/>
                      </a:defRPr>
                    </a:pPr>
                    <a:r>
                      <a:rPr lang="en-US"/>
                      <a:t>5,9</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en-US" sz="1800" b="0" i="0" u="none" strike="noStrike" kern="1200" baseline="0">
                        <a:solidFill>
                          <a:schemeClr val="bg1"/>
                        </a:solidFill>
                        <a:latin typeface="Aptos" pitchFamily="2" charset="0"/>
                        <a:ea typeface="+mn-ea"/>
                        <a:cs typeface="Segoe UI" panose="020B0502040204020203" pitchFamily="34" charset="0"/>
                      </a:defRPr>
                    </a:pPr>
                    <a:r>
                      <a:rPr lang="en-US"/>
                      <a:t>6,3</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en-US" sz="700" b="1" i="0" u="none" strike="noStrike" kern="1200" baseline="0">
                        <a:solidFill>
                          <a:schemeClr val="bg1"/>
                        </a:solidFill>
                        <a:latin typeface="Aptos" pitchFamily="2" charset="0"/>
                        <a:ea typeface="+mn-ea"/>
                        <a:cs typeface="Segoe UI" panose="020B0502040204020203" pitchFamily="34" charset="0"/>
                      </a:defRPr>
                    </a:pPr>
                    <a:r>
                      <a:rPr lang="en-US" sz="700"/>
                      <a:t>6,2</a:t>
                    </a:r>
                    <a:endParaRPr lang="en-US" sz="700"/>
                  </a:p>
                </c:rich>
              </c:tx>
              <c:numFmt formatCode="#,##0.0" sourceLinked="0"/>
              <c:spPr>
                <a:noFill/>
                <a:ln>
                  <a:noFill/>
                </a:ln>
                <a:effectLst/>
              </c:spPr>
              <c:txPr>
                <a:bodyPr rot="0" spcFirstLastPara="0" vertOverflow="ellipsis" vert="horz" wrap="square" lIns="38100" tIns="19050" rIns="38100" bIns="19050" anchor="ctr" anchorCtr="1"/>
                <a:lstStyle/>
                <a:p>
                  <a:pPr>
                    <a:defRPr lang="en-US" sz="700" b="1" i="0" u="none" strike="noStrike" kern="1200" baseline="0">
                      <a:solidFill>
                        <a:schemeClr val="bg1"/>
                      </a:solidFill>
                      <a:latin typeface="Aptos" pitchFamily="2" charset="0"/>
                      <a:ea typeface="+mn-ea"/>
                      <a:cs typeface="Segoe UI" panose="020B0502040204020203" pitchFamily="34" charset="0"/>
                    </a:defRPr>
                  </a:pPr>
                </a:p>
              </c:txPr>
              <c:dLblPos val="ct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en-US" sz="700" b="0" i="0" u="none" strike="noStrike" kern="1200" baseline="0">
                    <a:solidFill>
                      <a:schemeClr val="bg1"/>
                    </a:solidFill>
                    <a:latin typeface="Aptos" pitchFamily="2" charset="0"/>
                    <a:ea typeface="+mn-ea"/>
                    <a:cs typeface="Segoe UI" panose="020B0502040204020203" pitchFamily="3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Sheet1!$AL$1:$AP$1</c:f>
              <c:strCache>
                <c:ptCount val="5"/>
                <c:pt idx="0">
                  <c:v>Δ' τρίμηνο
2022</c:v>
                </c:pt>
                <c:pt idx="1">
                  <c:v>Α' τρίμηνο
2023</c:v>
                </c:pt>
                <c:pt idx="2">
                  <c:v>Β' τρίμηνο
2023</c:v>
                </c:pt>
                <c:pt idx="3">
                  <c:v>Γ' τρίμηνο
2023</c:v>
                </c:pt>
                <c:pt idx="4">
                  <c:v>Δ' τρίμηνο
2023</c:v>
                </c:pt>
              </c:strCache>
            </c:strRef>
          </c:cat>
          <c:val>
            <c:numRef>
              <c:f>Sheet1!$X$4:$AP$4</c:f>
              <c:numCache>
                <c:formatCode>0.000</c:formatCode>
                <c:ptCount val="5"/>
                <c:pt idx="0">
                  <c:v>5.857</c:v>
                </c:pt>
                <c:pt idx="1">
                  <c:v>5.588</c:v>
                </c:pt>
                <c:pt idx="2">
                  <c:v>5.877</c:v>
                </c:pt>
                <c:pt idx="3">
                  <c:v>6.284</c:v>
                </c:pt>
                <c:pt idx="4">
                  <c:v>6.249</c:v>
                </c:pt>
              </c:numCache>
            </c:numRef>
          </c:val>
        </c:ser>
        <c:ser>
          <c:idx val="1"/>
          <c:order val="2"/>
          <c:tx>
            <c:strRef>
              <c:f>Sheet1!$A$3</c:f>
              <c:strCache>
                <c:ptCount val="1"/>
                <c:pt idx="0">
                  <c:v>Όψεως &amp; λοιπές - Εταιρική Τραπεζική </c:v>
                </c:pt>
              </c:strCache>
            </c:strRef>
          </c:tx>
          <c:spPr>
            <a:solidFill>
              <a:srgbClr val="00ADBF"/>
            </a:solidFill>
            <a:ln w="3175">
              <a:solidFill>
                <a:srgbClr val="00ADBF"/>
              </a:solidFill>
            </a:ln>
          </c:spPr>
          <c:invertIfNegative val="0"/>
          <c:dPt>
            <c:idx val="4"/>
            <c:invertIfNegative val="0"/>
            <c:bubble3D val="0"/>
            <c:spPr>
              <a:solidFill>
                <a:srgbClr val="FFBA8B"/>
              </a:solidFill>
              <a:ln w="3175">
                <a:solidFill>
                  <a:srgbClr val="FFBA8B"/>
                </a:solidFill>
              </a:ln>
            </c:spPr>
          </c:dPt>
          <c:dLbls>
            <c:dLbl>
              <c:idx val="0"/>
              <c:layout/>
              <c:tx>
                <c:rich>
                  <a:bodyPr rot="0" spcFirstLastPara="0" vertOverflow="ellipsis" vert="horz" wrap="square" lIns="38100" tIns="19050" rIns="38100" bIns="19050" anchor="ctr" anchorCtr="1"/>
                  <a:lstStyle/>
                  <a:p>
                    <a:pPr>
                      <a:defRPr lang="en-US" sz="1800" b="0" i="0" u="none" strike="noStrike" kern="1200" baseline="0">
                        <a:solidFill>
                          <a:schemeClr val="bg1"/>
                        </a:solidFill>
                        <a:latin typeface="Aptos" pitchFamily="2" charset="0"/>
                        <a:ea typeface="+mn-ea"/>
                        <a:cs typeface="Segoe UI" panose="020B0502040204020203" pitchFamily="34" charset="0"/>
                      </a:defRPr>
                    </a:pPr>
                    <a:r>
                      <a:rPr lang="en-US"/>
                      <a:t>9,8</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en-US" sz="1800" b="0" i="0" u="none" strike="noStrike" kern="1200" baseline="0">
                        <a:solidFill>
                          <a:schemeClr val="bg1"/>
                        </a:solidFill>
                        <a:latin typeface="Aptos" pitchFamily="2" charset="0"/>
                        <a:ea typeface="+mn-ea"/>
                        <a:cs typeface="Segoe UI" panose="020B0502040204020203" pitchFamily="34" charset="0"/>
                      </a:defRPr>
                    </a:pPr>
                    <a:r>
                      <a:rPr lang="en-US"/>
                      <a:t>8,8</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en-US" sz="1800" b="0" i="0" u="none" strike="noStrike" kern="1200" baseline="0">
                        <a:solidFill>
                          <a:schemeClr val="bg1"/>
                        </a:solidFill>
                        <a:latin typeface="Aptos" pitchFamily="2" charset="0"/>
                        <a:ea typeface="+mn-ea"/>
                        <a:cs typeface="Segoe UI" panose="020B0502040204020203" pitchFamily="34" charset="0"/>
                      </a:defRPr>
                    </a:pPr>
                    <a:r>
                      <a:rPr lang="en-US"/>
                      <a:t>8,6</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en-US" sz="1800" b="0" i="0" u="none" strike="noStrike" kern="1200" baseline="0">
                        <a:solidFill>
                          <a:schemeClr val="bg1"/>
                        </a:solidFill>
                        <a:latin typeface="Aptos" pitchFamily="2" charset="0"/>
                        <a:ea typeface="+mn-ea"/>
                        <a:cs typeface="Segoe UI" panose="020B0502040204020203" pitchFamily="34" charset="0"/>
                      </a:defRPr>
                    </a:pPr>
                    <a:r>
                      <a:rPr lang="en-US"/>
                      <a:t>8,4</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en-US" sz="700" b="1" i="0" u="none" strike="noStrike" kern="1200" baseline="0">
                        <a:solidFill>
                          <a:schemeClr val="bg1"/>
                        </a:solidFill>
                        <a:latin typeface="Aptos" pitchFamily="2" charset="0"/>
                        <a:ea typeface="+mn-ea"/>
                        <a:cs typeface="Segoe UI" panose="020B0502040204020203" pitchFamily="34" charset="0"/>
                      </a:defRPr>
                    </a:pPr>
                    <a:r>
                      <a:rPr lang="en-US" sz="700"/>
                      <a:t>8,3</a:t>
                    </a:r>
                    <a:endParaRPr lang="en-US" sz="700"/>
                  </a:p>
                </c:rich>
              </c:tx>
              <c:numFmt formatCode="#,##0.0" sourceLinked="0"/>
              <c:spPr>
                <a:noFill/>
                <a:ln>
                  <a:noFill/>
                </a:ln>
                <a:effectLst/>
              </c:spPr>
              <c:txPr>
                <a:bodyPr rot="0" spcFirstLastPara="0" vertOverflow="ellipsis" vert="horz" wrap="square" lIns="38100" tIns="19050" rIns="38100" bIns="19050" anchor="ctr" anchorCtr="1"/>
                <a:lstStyle/>
                <a:p>
                  <a:pPr>
                    <a:defRPr lang="en-US" sz="700" b="1" i="0" u="none" strike="noStrike" kern="1200" baseline="0">
                      <a:solidFill>
                        <a:schemeClr val="bg1"/>
                      </a:solidFill>
                      <a:latin typeface="Aptos" pitchFamily="2" charset="0"/>
                      <a:ea typeface="+mn-ea"/>
                      <a:cs typeface="Segoe UI" panose="020B0502040204020203" pitchFamily="34" charset="0"/>
                    </a:defRPr>
                  </a:pPr>
                </a:p>
              </c:txPr>
              <c:dLblPos val="ct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en-US" sz="700" b="0" i="0" u="none" strike="noStrike" kern="1200" baseline="0">
                    <a:solidFill>
                      <a:schemeClr val="bg1"/>
                    </a:solidFill>
                    <a:latin typeface="Aptos" pitchFamily="2" charset="0"/>
                    <a:ea typeface="+mn-ea"/>
                    <a:cs typeface="Segoe UI" panose="020B0502040204020203" pitchFamily="3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Sheet1!$AL$1:$AP$1</c:f>
              <c:strCache>
                <c:ptCount val="5"/>
                <c:pt idx="0">
                  <c:v>Δ' τρίμηνο
2022</c:v>
                </c:pt>
                <c:pt idx="1">
                  <c:v>Α' τρίμηνο
2023</c:v>
                </c:pt>
                <c:pt idx="2">
                  <c:v>Β' τρίμηνο
2023</c:v>
                </c:pt>
                <c:pt idx="3">
                  <c:v>Γ' τρίμηνο
2023</c:v>
                </c:pt>
                <c:pt idx="4">
                  <c:v>Δ' τρίμηνο
2023</c:v>
                </c:pt>
              </c:strCache>
            </c:strRef>
          </c:cat>
          <c:val>
            <c:numRef>
              <c:f>Sheet1!$X$3:$AP$3</c:f>
              <c:numCache>
                <c:formatCode>0.000</c:formatCode>
                <c:ptCount val="5"/>
                <c:pt idx="0">
                  <c:v>9.825</c:v>
                </c:pt>
                <c:pt idx="1">
                  <c:v>8.781</c:v>
                </c:pt>
                <c:pt idx="2">
                  <c:v>8.649</c:v>
                </c:pt>
                <c:pt idx="3">
                  <c:v>8.36</c:v>
                </c:pt>
                <c:pt idx="4">
                  <c:v>8.346178</c:v>
                </c:pt>
              </c:numCache>
            </c:numRef>
          </c:val>
        </c:ser>
        <c:ser>
          <c:idx val="3"/>
          <c:order val="3"/>
          <c:tx>
            <c:strRef>
              <c:f>Sheet1!$A$5</c:f>
              <c:strCache>
                <c:ptCount val="1"/>
                <c:pt idx="0">
                  <c:v>Προθεσμίας </c:v>
                </c:pt>
              </c:strCache>
            </c:strRef>
          </c:tx>
          <c:spPr>
            <a:solidFill>
              <a:srgbClr val="00CFE7"/>
            </a:solidFill>
            <a:ln w="6350">
              <a:solidFill>
                <a:srgbClr val="00CFE7"/>
              </a:solidFill>
            </a:ln>
          </c:spPr>
          <c:invertIfNegative val="0"/>
          <c:dPt>
            <c:idx val="4"/>
            <c:invertIfNegative val="0"/>
            <c:bubble3D val="0"/>
            <c:spPr>
              <a:solidFill>
                <a:srgbClr val="FFDAC1"/>
              </a:solidFill>
              <a:ln w="6350">
                <a:solidFill>
                  <a:srgbClr val="FFDAC1"/>
                </a:solidFill>
              </a:ln>
            </c:spPr>
          </c:dPt>
          <c:dLbls>
            <c:dLbl>
              <c:idx val="0"/>
              <c:layout/>
              <c:tx>
                <c:rich>
                  <a:bodyPr rot="0" spcFirstLastPara="0" vertOverflow="ellipsis" vert="horz" wrap="square" lIns="38100" tIns="19050" rIns="38100" bIns="19050" anchor="ctr" anchorCtr="0"/>
                  <a:lstStyle/>
                  <a:p>
                    <a:pPr>
                      <a:defRPr lang="en-US" sz="1800" b="0" i="0" u="none" strike="noStrike" kern="1200" baseline="0">
                        <a:solidFill>
                          <a:schemeClr val="bg1"/>
                        </a:solidFill>
                        <a:latin typeface="Aptos" pitchFamily="2" charset="0"/>
                        <a:ea typeface="+mn-ea"/>
                        <a:cs typeface="Segoe UI" panose="020B0502040204020203" pitchFamily="34" charset="0"/>
                      </a:defRPr>
                    </a:pPr>
                    <a:r>
                      <a:rPr lang="en-US"/>
                      <a:t>6,6</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0"/>
                  <a:lstStyle/>
                  <a:p>
                    <a:pPr>
                      <a:defRPr lang="en-US" sz="1800" b="0" i="0" u="none" strike="noStrike" kern="1200" baseline="0">
                        <a:solidFill>
                          <a:schemeClr val="bg1"/>
                        </a:solidFill>
                        <a:latin typeface="Aptos" pitchFamily="2" charset="0"/>
                        <a:ea typeface="+mn-ea"/>
                        <a:cs typeface="Segoe UI" panose="020B0502040204020203" pitchFamily="34" charset="0"/>
                      </a:defRPr>
                    </a:pPr>
                    <a:r>
                      <a:rPr lang="en-US"/>
                      <a:t>8,4</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0"/>
                  <a:lstStyle/>
                  <a:p>
                    <a:pPr>
                      <a:defRPr lang="en-US" sz="1800" b="0" i="0" u="none" strike="noStrike" kern="1200" baseline="0">
                        <a:solidFill>
                          <a:schemeClr val="bg1"/>
                        </a:solidFill>
                        <a:latin typeface="Aptos" pitchFamily="2" charset="0"/>
                        <a:ea typeface="+mn-ea"/>
                        <a:cs typeface="Segoe UI" panose="020B0502040204020203" pitchFamily="34" charset="0"/>
                      </a:defRPr>
                    </a:pPr>
                    <a:r>
                      <a:rPr lang="en-US"/>
                      <a:t>9,6</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0"/>
                  <a:lstStyle/>
                  <a:p>
                    <a:pPr>
                      <a:defRPr lang="en-US" sz="1800" b="0" i="0" u="none" strike="noStrike" kern="1200" baseline="0">
                        <a:solidFill>
                          <a:schemeClr val="bg1"/>
                        </a:solidFill>
                        <a:latin typeface="Aptos" pitchFamily="2" charset="0"/>
                        <a:ea typeface="+mn-ea"/>
                        <a:cs typeface="Segoe UI" panose="020B0502040204020203" pitchFamily="34" charset="0"/>
                      </a:defRPr>
                    </a:pPr>
                    <a:r>
                      <a:rPr lang="en-US"/>
                      <a:t>10,2</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0"/>
                  <a:lstStyle/>
                  <a:p>
                    <a:pPr algn="ctr">
                      <a:defRPr lang="en-US" sz="700" b="1" i="0" u="none" strike="noStrike" kern="1200" baseline="0">
                        <a:solidFill>
                          <a:schemeClr val="bg1"/>
                        </a:solidFill>
                        <a:latin typeface="Aptos" pitchFamily="2" charset="0"/>
                        <a:ea typeface="+mn-ea"/>
                        <a:cs typeface="Segoe UI" panose="020B0502040204020203" pitchFamily="34" charset="0"/>
                      </a:defRPr>
                    </a:pPr>
                    <a:r>
                      <a:rPr lang="en-US" sz="700"/>
                      <a:t>10,5</a:t>
                    </a:r>
                    <a:endParaRPr lang="en-US" sz="700"/>
                  </a:p>
                </c:rich>
              </c:tx>
              <c:numFmt formatCode="#,##0.0" sourceLinked="0"/>
              <c:spPr>
                <a:noFill/>
                <a:ln>
                  <a:noFill/>
                </a:ln>
                <a:effectLst/>
              </c:spPr>
              <c:txPr>
                <a:bodyPr rot="0" spcFirstLastPara="0" vertOverflow="ellipsis" vert="horz" wrap="square" lIns="38100" tIns="19050" rIns="38100" bIns="19050" anchor="ctr" anchorCtr="0"/>
                <a:lstStyle/>
                <a:p>
                  <a:pPr algn="ctr">
                    <a:defRPr lang="en-US" sz="700" b="1" i="0" u="none" strike="noStrike" kern="1200" baseline="0">
                      <a:solidFill>
                        <a:schemeClr val="bg1"/>
                      </a:solidFill>
                      <a:latin typeface="Aptos" pitchFamily="2" charset="0"/>
                      <a:ea typeface="+mn-ea"/>
                      <a:cs typeface="Segoe UI" panose="020B0502040204020203" pitchFamily="34" charset="0"/>
                    </a:defRPr>
                  </a:pPr>
                </a:p>
              </c:txPr>
              <c:dLblPos val="ct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0"/>
              <a:lstStyle/>
              <a:p>
                <a:pPr algn="ctr">
                  <a:defRPr lang="en-US" sz="700" b="0" i="0" u="none" strike="noStrike" kern="1200" baseline="0">
                    <a:solidFill>
                      <a:schemeClr val="bg1"/>
                    </a:solidFill>
                    <a:latin typeface="Aptos" pitchFamily="2" charset="0"/>
                    <a:ea typeface="+mn-ea"/>
                    <a:cs typeface="Segoe UI" panose="020B0502040204020203" pitchFamily="3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Sheet1!$AL$1:$AP$1</c:f>
              <c:strCache>
                <c:ptCount val="5"/>
                <c:pt idx="0">
                  <c:v>Δ' τρίμηνο
2022</c:v>
                </c:pt>
                <c:pt idx="1">
                  <c:v>Α' τρίμηνο
2023</c:v>
                </c:pt>
                <c:pt idx="2">
                  <c:v>Β' τρίμηνο
2023</c:v>
                </c:pt>
                <c:pt idx="3">
                  <c:v>Γ' τρίμηνο
2023</c:v>
                </c:pt>
                <c:pt idx="4">
                  <c:v>Δ' τρίμηνο
2023</c:v>
                </c:pt>
              </c:strCache>
            </c:strRef>
          </c:cat>
          <c:val>
            <c:numRef>
              <c:f>Sheet1!$X$5:$AP$5</c:f>
              <c:numCache>
                <c:formatCode>0.000</c:formatCode>
                <c:ptCount val="5"/>
                <c:pt idx="0">
                  <c:v>6.624</c:v>
                </c:pt>
                <c:pt idx="1">
                  <c:v>8.446</c:v>
                </c:pt>
                <c:pt idx="2">
                  <c:v>9.552</c:v>
                </c:pt>
                <c:pt idx="3">
                  <c:v>10.19</c:v>
                </c:pt>
                <c:pt idx="4">
                  <c:v>10.470763</c:v>
                </c:pt>
              </c:numCache>
            </c:numRef>
          </c:val>
        </c:ser>
        <c:ser>
          <c:idx val="6"/>
          <c:order val="4"/>
          <c:tx>
            <c:strRef>
              <c:f>Sheet1!$A$7</c:f>
              <c:strCache>
                <c:ptCount val="1"/>
                <c:pt idx="0">
                  <c:v/>
                </c:pt>
              </c:strCache>
            </c:strRef>
          </c:tx>
          <c:spPr>
            <a:noFill/>
            <a:ln>
              <a:noFill/>
            </a:ln>
          </c:spPr>
          <c:invertIfNegative val="0"/>
          <c:dLbls>
            <c:dLbl>
              <c:idx val="0"/>
              <c:layout>
                <c:manualLayout>
                  <c:x val="0"/>
                  <c:y val="0.00527357157278414"/>
                </c:manualLayout>
              </c:layout>
              <c:tx>
                <c:rich>
                  <a:bodyPr rot="0" spcFirstLastPara="0" vertOverflow="ellipsis" vert="horz" wrap="square" lIns="38100" tIns="19050" rIns="38100" bIns="19050" anchor="ctr" anchorCtr="1"/>
                  <a:lstStyle/>
                  <a:p>
                    <a:pPr>
                      <a:defRPr lang="en-US" sz="1800" b="0" i="0" u="none" strike="noStrike" kern="1200" baseline="0">
                        <a:solidFill>
                          <a:schemeClr val="tx1"/>
                        </a:solidFill>
                        <a:latin typeface="Aptos" pitchFamily="2" charset="0"/>
                        <a:ea typeface="+mn-ea"/>
                        <a:cs typeface="+mn-cs"/>
                      </a:defRPr>
                    </a:pPr>
                    <a:r>
                      <a:rPr lang="en-US"/>
                      <a:t>53,4</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16838279830406"/>
                </c:manualLayout>
              </c:layout>
              <c:tx>
                <c:rich>
                  <a:bodyPr rot="0" spcFirstLastPara="0" vertOverflow="ellipsis" vert="horz" wrap="square" lIns="38100" tIns="19050" rIns="38100" bIns="19050" anchor="ctr" anchorCtr="1"/>
                  <a:lstStyle/>
                  <a:p>
                    <a:pPr>
                      <a:defRPr lang="en-US" sz="1800" b="0" i="0" u="none" strike="noStrike" kern="1200" baseline="0">
                        <a:solidFill>
                          <a:schemeClr val="tx1"/>
                        </a:solidFill>
                        <a:latin typeface="Aptos" pitchFamily="2" charset="0"/>
                        <a:ea typeface="+mn-ea"/>
                        <a:cs typeface="+mn-cs"/>
                      </a:defRPr>
                    </a:pPr>
                    <a:r>
                      <a:rPr lang="en-US"/>
                      <a:t>53,0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33324861901952e-17"/>
                  <c:y val="0.0116838279830406"/>
                </c:manualLayout>
              </c:layout>
              <c:tx>
                <c:rich>
                  <a:bodyPr rot="0" spcFirstLastPara="0" vertOverflow="ellipsis" vert="horz" wrap="square" lIns="38100" tIns="19050" rIns="38100" bIns="19050" anchor="ctr" anchorCtr="1"/>
                  <a:lstStyle/>
                  <a:p>
                    <a:pPr>
                      <a:defRPr lang="en-US" sz="1800" b="0" i="0" u="none" strike="noStrike" kern="1200" baseline="0">
                        <a:solidFill>
                          <a:schemeClr val="tx1"/>
                        </a:solidFill>
                        <a:latin typeface="Aptos" pitchFamily="2" charset="0"/>
                        <a:ea typeface="+mn-ea"/>
                        <a:cs typeface="+mn-cs"/>
                      </a:defRPr>
                    </a:pPr>
                    <a:r>
                      <a:rPr lang="en-US"/>
                      <a:t>53,8</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0527407631738337"/>
                </c:manualLayout>
              </c:layout>
              <c:tx>
                <c:rich>
                  <a:bodyPr rot="0" spcFirstLastPara="0" vertOverflow="ellipsis" vert="horz" wrap="square" lIns="38100" tIns="19050" rIns="38100" bIns="19050" anchor="ctr" anchorCtr="1"/>
                  <a:lstStyle/>
                  <a:p>
                    <a:pPr>
                      <a:defRPr lang="en-US" sz="1800" b="0" i="0" u="none" strike="noStrike" kern="1200" baseline="0">
                        <a:solidFill>
                          <a:schemeClr val="tx1"/>
                        </a:solidFill>
                        <a:latin typeface="Aptos" pitchFamily="2" charset="0"/>
                        <a:ea typeface="+mn-ea"/>
                        <a:cs typeface="+mn-cs"/>
                      </a:defRPr>
                    </a:pPr>
                    <a:r>
                      <a:rPr lang="en-US"/>
                      <a:t>54,4</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7.33324861901952e-17"/>
                  <c:y val="0.0052740763173834"/>
                </c:manualLayout>
              </c:layout>
              <c:tx>
                <c:rich>
                  <a:bodyPr rot="0" spcFirstLastPara="0" vertOverflow="ellipsis" vert="horz" wrap="square" lIns="38100" tIns="19050" rIns="38100" bIns="19050" anchor="ctr" anchorCtr="1"/>
                  <a:lstStyle/>
                  <a:p>
                    <a:pPr>
                      <a:defRPr lang="en-US" sz="1800" b="0" i="0" u="none" strike="noStrike" kern="1200" baseline="0">
                        <a:solidFill>
                          <a:schemeClr val="tx1"/>
                        </a:solidFill>
                        <a:latin typeface="Aptos" pitchFamily="2" charset="0"/>
                        <a:ea typeface="+mn-ea"/>
                        <a:cs typeface="+mn-cs"/>
                      </a:defRPr>
                    </a:pPr>
                    <a:r>
                      <a:rPr lang="en-US"/>
                      <a:t>55,1</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spAutoFit/>
              </a:bodyPr>
              <a:lstStyle/>
              <a:p>
                <a:pPr>
                  <a:defRPr lang="en-US" sz="700" b="0" i="0" u="none" strike="noStrike" kern="1200" baseline="0">
                    <a:solidFill>
                      <a:schemeClr val="tx1"/>
                    </a:solidFill>
                    <a:latin typeface="Aptos" pitchFamily="2" charset="0"/>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val>
            <c:numRef>
              <c:f>Sheet1!$AL$7:$AP$7</c:f>
              <c:numCache>
                <c:formatCode>0.000</c:formatCode>
                <c:ptCount val="5"/>
                <c:pt idx="0">
                  <c:v>10</c:v>
                </c:pt>
                <c:pt idx="1">
                  <c:v>10</c:v>
                </c:pt>
                <c:pt idx="2">
                  <c:v>10</c:v>
                </c:pt>
                <c:pt idx="3">
                  <c:v>10</c:v>
                </c:pt>
                <c:pt idx="4">
                  <c:v>10</c:v>
                </c:pt>
              </c:numCache>
            </c:numRef>
          </c:val>
        </c:ser>
        <c:ser>
          <c:idx val="5"/>
          <c:order val="5"/>
          <c:tx>
            <c:strRef>
              <c:f>Sheet1!$A$6</c:f>
              <c:strCache>
                <c:ptCount val="1"/>
                <c:pt idx="0">
                  <c:v>Διεθνείς καταθέσεις</c:v>
                </c:pt>
              </c:strCache>
            </c:strRef>
          </c:tx>
          <c:spPr>
            <a:solidFill>
              <a:schemeClr val="bg1">
                <a:lumMod val="85000"/>
              </a:schemeClr>
            </a:solidFill>
            <a:ln>
              <a:solidFill>
                <a:schemeClr val="bg1">
                  <a:lumMod val="85000"/>
                </a:schemeClr>
              </a:solidFill>
            </a:ln>
          </c:spPr>
          <c:invertIfNegative val="0"/>
          <c:dLbls>
            <c:dLbl>
              <c:idx val="0"/>
              <c:layout>
                <c:manualLayout>
                  <c:x val="-9.16656077377439e-18"/>
                  <c:y val="-0.0384615384615385"/>
                </c:manualLayout>
              </c:layout>
              <c:tx>
                <c:rich>
                  <a:bodyPr rot="0" spcFirstLastPara="0" vertOverflow="ellipsis" vert="horz" wrap="square" lIns="38100" tIns="19050" rIns="38100" bIns="19050" anchor="ctr" anchorCtr="1"/>
                  <a:lstStyle/>
                  <a:p>
                    <a:pPr>
                      <a:defRPr lang="en-US" sz="1800" b="0" i="0" u="none" strike="noStrike" kern="1200" baseline="0">
                        <a:solidFill>
                          <a:sysClr val="windowText" lastClr="000000"/>
                        </a:solidFill>
                        <a:latin typeface="Aptos" pitchFamily="2" charset="0"/>
                        <a:ea typeface="+mn-ea"/>
                        <a:cs typeface="+mn-cs"/>
                      </a:defRPr>
                    </a:pPr>
                    <a:r>
                      <a:rPr lang="en-US"/>
                      <a:t>1,8</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384615384615385"/>
                </c:manualLayout>
              </c:layout>
              <c:tx>
                <c:rich>
                  <a:bodyPr rot="0" spcFirstLastPara="0" vertOverflow="ellipsis" vert="horz" wrap="square" lIns="38100" tIns="19050" rIns="38100" bIns="19050" anchor="ctr" anchorCtr="1"/>
                  <a:lstStyle/>
                  <a:p>
                    <a:pPr>
                      <a:defRPr lang="en-US" sz="1800" b="0" i="0" u="none" strike="noStrike" kern="1200" baseline="0">
                        <a:solidFill>
                          <a:sysClr val="windowText" lastClr="000000"/>
                        </a:solidFill>
                        <a:latin typeface="Aptos" pitchFamily="2" charset="0"/>
                        <a:ea typeface="+mn-ea"/>
                        <a:cs typeface="+mn-cs"/>
                      </a:defRPr>
                    </a:pPr>
                    <a:r>
                      <a:rPr lang="en-US"/>
                      <a:t>1,8</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32051282051282"/>
                </c:manualLayout>
              </c:layout>
              <c:tx>
                <c:rich>
                  <a:bodyPr rot="0" spcFirstLastPara="0" vertOverflow="ellipsis" vert="horz" wrap="square" lIns="38100" tIns="19050" rIns="38100" bIns="19050" anchor="ctr" anchorCtr="1"/>
                  <a:lstStyle/>
                  <a:p>
                    <a:pPr>
                      <a:defRPr lang="en-US" sz="1800" b="0" i="0" u="none" strike="noStrike" kern="1200" baseline="0">
                        <a:solidFill>
                          <a:sysClr val="windowText" lastClr="000000"/>
                        </a:solidFill>
                        <a:latin typeface="Aptos" pitchFamily="2" charset="0"/>
                        <a:ea typeface="+mn-ea"/>
                        <a:cs typeface="+mn-cs"/>
                      </a:defRPr>
                    </a:pPr>
                    <a:r>
                      <a:rPr lang="en-US"/>
                      <a:t>1,9</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384615384615385"/>
                </c:manualLayout>
              </c:layout>
              <c:tx>
                <c:rich>
                  <a:bodyPr rot="0" spcFirstLastPara="0" vertOverflow="ellipsis" vert="horz" wrap="square" lIns="38100" tIns="19050" rIns="38100" bIns="19050" anchor="ctr" anchorCtr="1"/>
                  <a:lstStyle/>
                  <a:p>
                    <a:pPr>
                      <a:defRPr lang="en-US" sz="1800" b="0" i="0" u="none" strike="noStrike" kern="1200" baseline="0">
                        <a:solidFill>
                          <a:sysClr val="windowText" lastClr="000000"/>
                        </a:solidFill>
                        <a:latin typeface="Aptos" pitchFamily="2" charset="0"/>
                        <a:ea typeface="+mn-ea"/>
                        <a:cs typeface="+mn-cs"/>
                      </a:defRPr>
                    </a:pPr>
                    <a:r>
                      <a:rPr lang="en-US"/>
                      <a:t>1,9</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7.33324861901952e-17"/>
                  <c:y val="-0.0384615384615385"/>
                </c:manualLayout>
              </c:layout>
              <c:tx>
                <c:rich>
                  <a:bodyPr rot="0" spcFirstLastPara="0" vertOverflow="ellipsis" vert="horz" wrap="square" lIns="38100" tIns="19050" rIns="38100" bIns="19050" anchor="ctr" anchorCtr="1"/>
                  <a:lstStyle/>
                  <a:p>
                    <a:pPr>
                      <a:defRPr lang="en-US" sz="1800" b="0" i="0" u="none" strike="noStrike" kern="1200" baseline="0">
                        <a:solidFill>
                          <a:sysClr val="windowText" lastClr="000000"/>
                        </a:solidFill>
                        <a:latin typeface="Aptos" pitchFamily="2" charset="0"/>
                        <a:ea typeface="+mn-ea"/>
                        <a:cs typeface="+mn-cs"/>
                      </a:defRPr>
                    </a:pPr>
                    <a:r>
                      <a:rPr lang="en-US"/>
                      <a:t>2,0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spAutoFit/>
              </a:bodyPr>
              <a:lstStyle/>
              <a:p>
                <a:pPr>
                  <a:defRPr lang="en-US" sz="700" b="0" i="0" u="none" strike="noStrike" kern="1200" baseline="0">
                    <a:solidFill>
                      <a:sysClr val="windowText" lastClr="000000"/>
                    </a:solidFill>
                    <a:latin typeface="Aptos" pitchFamily="2" charset="0"/>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Sheet1!$AL$1:$AP$1</c:f>
              <c:strCache>
                <c:ptCount val="5"/>
                <c:pt idx="0">
                  <c:v>Δ' τρίμηνο
2022</c:v>
                </c:pt>
                <c:pt idx="1">
                  <c:v>Α' τρίμηνο
2023</c:v>
                </c:pt>
                <c:pt idx="2">
                  <c:v>Β' τρίμηνο
2023</c:v>
                </c:pt>
                <c:pt idx="3">
                  <c:v>Γ' τρίμηνο
2023</c:v>
                </c:pt>
                <c:pt idx="4">
                  <c:v>Δ' τρίμηνο
2023</c:v>
                </c:pt>
              </c:strCache>
            </c:strRef>
          </c:cat>
          <c:val>
            <c:numRef>
              <c:f>Sheet1!$AL$6:$AP$6</c:f>
              <c:numCache>
                <c:formatCode>0.000</c:formatCode>
                <c:ptCount val="5"/>
                <c:pt idx="0">
                  <c:v>1.83742189</c:v>
                </c:pt>
                <c:pt idx="1">
                  <c:v>1.80380781</c:v>
                </c:pt>
                <c:pt idx="2">
                  <c:v>1.89720203</c:v>
                </c:pt>
                <c:pt idx="3">
                  <c:v>1.88037032</c:v>
                </c:pt>
                <c:pt idx="4">
                  <c:v>2.0238156</c:v>
                </c:pt>
              </c:numCache>
            </c:numRef>
          </c:val>
        </c:ser>
        <c:ser>
          <c:idx val="4"/>
          <c:order val="6"/>
          <c:tx>
            <c:strRef>
              <c:f>Sheet1!$A$8</c:f>
              <c:strCache>
                <c:ptCount val="1"/>
                <c:pt idx="0">
                  <c:v>Σύνολο καταθέσεων</c:v>
                </c:pt>
              </c:strCache>
            </c:strRef>
          </c:tx>
          <c:spPr>
            <a:noFill/>
          </c:spPr>
          <c:invertIfNegative val="0"/>
          <c:dLbls>
            <c:dLbl>
              <c:idx val="0"/>
              <c:layout>
                <c:manualLayout>
                  <c:x val="-0.00556"/>
                  <c:y val="0.0478583686654553"/>
                </c:manualLayout>
              </c:layout>
              <c:tx>
                <c:rich>
                  <a:bodyPr rot="0" spcFirstLastPara="0" vertOverflow="ellipsis" vert="horz" wrap="square" lIns="38100" tIns="19050" rIns="38100" bIns="19050" anchor="ctr" anchorCtr="0"/>
                  <a:lstStyle/>
                  <a:p>
                    <a:pPr>
                      <a:defRPr lang="en-US" sz="1800" b="0" i="0" u="none" strike="noStrike" kern="1200" baseline="0">
                        <a:solidFill>
                          <a:sysClr val="windowText" lastClr="000000"/>
                        </a:solidFill>
                        <a:latin typeface="Aptos" pitchFamily="2" charset="0"/>
                        <a:ea typeface="+mn-ea"/>
                        <a:cs typeface="Segoe UI" panose="020B0502040204020203" pitchFamily="34" charset="0"/>
                      </a:defRPr>
                    </a:pPr>
                    <a:r>
                      <a:rPr lang="en-US"/>
                      <a:t>55,2</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56"/>
                  <c:y val="0.0455143347466182"/>
                </c:manualLayout>
              </c:layout>
              <c:tx>
                <c:rich>
                  <a:bodyPr rot="0" spcFirstLastPara="0" vertOverflow="ellipsis" vert="horz" wrap="square" lIns="38100" tIns="19050" rIns="38100" bIns="19050" anchor="ctr" anchorCtr="0"/>
                  <a:lstStyle/>
                  <a:p>
                    <a:pPr>
                      <a:defRPr lang="en-US" sz="1800" b="0" i="0" u="none" strike="noStrike" kern="1200" baseline="0">
                        <a:solidFill>
                          <a:sysClr val="windowText" lastClr="000000"/>
                        </a:solidFill>
                        <a:latin typeface="Aptos" pitchFamily="2" charset="0"/>
                        <a:ea typeface="+mn-ea"/>
                        <a:cs typeface="Segoe UI" panose="020B0502040204020203" pitchFamily="34" charset="0"/>
                      </a:defRPr>
                    </a:pPr>
                    <a:r>
                      <a:rPr lang="en-US"/>
                      <a:t>54,8</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56"/>
                  <c:y val="0.043196042802342"/>
                </c:manualLayout>
              </c:layout>
              <c:tx>
                <c:rich>
                  <a:bodyPr rot="0" spcFirstLastPara="0" vertOverflow="ellipsis" vert="horz" wrap="square" lIns="38100" tIns="19050" rIns="38100" bIns="19050" anchor="ctr" anchorCtr="0"/>
                  <a:lstStyle/>
                  <a:p>
                    <a:pPr>
                      <a:defRPr lang="en-US" sz="1800" b="0" i="0" u="none" strike="noStrike" kern="1200" baseline="0">
                        <a:solidFill>
                          <a:sysClr val="windowText" lastClr="000000"/>
                        </a:solidFill>
                        <a:latin typeface="Aptos" pitchFamily="2" charset="0"/>
                        <a:ea typeface="+mn-ea"/>
                        <a:cs typeface="Segoe UI" panose="020B0502040204020203" pitchFamily="34" charset="0"/>
                      </a:defRPr>
                    </a:pPr>
                    <a:r>
                      <a:rPr lang="en-US"/>
                      <a:t>55,7</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44"/>
                  <c:y val="0.0435579446799919"/>
                </c:manualLayout>
              </c:layout>
              <c:tx>
                <c:rich>
                  <a:bodyPr rot="0" spcFirstLastPara="0" vertOverflow="ellipsis" vert="horz" wrap="square" lIns="38100" tIns="19050" rIns="38100" bIns="19050" anchor="ctr" anchorCtr="0"/>
                  <a:lstStyle/>
                  <a:p>
                    <a:pPr>
                      <a:defRPr lang="en-US" sz="1800" b="0" i="0" u="none" strike="noStrike" kern="1200" baseline="0">
                        <a:solidFill>
                          <a:sysClr val="windowText" lastClr="000000"/>
                        </a:solidFill>
                        <a:latin typeface="Aptos" pitchFamily="2" charset="0"/>
                        <a:ea typeface="+mn-ea"/>
                        <a:cs typeface="Segoe UI" panose="020B0502040204020203" pitchFamily="34" charset="0"/>
                      </a:defRPr>
                    </a:pPr>
                    <a:r>
                      <a:rPr lang="en-US"/>
                      <a:t>56,3</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36000000000007"/>
                  <c:y val="0.0418524126791843"/>
                </c:manualLayout>
              </c:layout>
              <c:tx>
                <c:rich>
                  <a:bodyPr rot="0" spcFirstLastPara="0" vertOverflow="ellipsis" vert="horz" wrap="square" lIns="38100" tIns="19050" rIns="38100" bIns="19050" anchor="ctr" anchorCtr="0">
                    <a:spAutoFit/>
                  </a:bodyPr>
                  <a:lstStyle/>
                  <a:p>
                    <a:pPr algn="ctr">
                      <a:defRPr lang="en-US" sz="700" b="1" i="0" u="none" strike="noStrike" kern="1200" baseline="0">
                        <a:solidFill>
                          <a:sysClr val="windowText" lastClr="000000"/>
                        </a:solidFill>
                        <a:latin typeface="Aptos" pitchFamily="2" charset="0"/>
                        <a:ea typeface="+mn-ea"/>
                        <a:cs typeface="Segoe UI" panose="020B0502040204020203" pitchFamily="34" charset="0"/>
                      </a:defRPr>
                    </a:pPr>
                    <a:r>
                      <a:rPr lang="en-US" sz="700"/>
                      <a:t>57,1</a:t>
                    </a:r>
                    <a:endParaRPr lang="en-US" sz="700"/>
                  </a:p>
                </c:rich>
              </c:tx>
              <c:numFmt formatCode="#,##0.0" sourceLinked="0"/>
              <c:spPr>
                <a:noFill/>
                <a:ln>
                  <a:noFill/>
                </a:ln>
                <a:effectLst/>
              </c:spPr>
              <c:txPr>
                <a:bodyPr rot="0" spcFirstLastPara="0" vertOverflow="ellipsis" vert="horz" wrap="square" lIns="38100" tIns="19050" rIns="38100" bIns="19050" anchor="ctr" anchorCtr="0">
                  <a:spAutoFit/>
                </a:bodyPr>
                <a:lstStyle/>
                <a:p>
                  <a:pPr algn="ctr">
                    <a:defRPr lang="en-US" sz="700" b="1" i="0" u="none" strike="noStrike" kern="1200" baseline="0">
                      <a:solidFill>
                        <a:sysClr val="windowText" lastClr="000000"/>
                      </a:solidFill>
                      <a:latin typeface="Aptos" pitchFamily="2" charset="0"/>
                      <a:ea typeface="+mn-ea"/>
                      <a:cs typeface="Segoe UI" panose="020B0502040204020203" pitchFamily="34" charset="0"/>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0">
                <a:spAutoFit/>
              </a:bodyPr>
              <a:lstStyle/>
              <a:p>
                <a:pPr algn="ctr">
                  <a:defRPr lang="en-US" sz="700" b="0" i="0" u="none" strike="noStrike" kern="1200" baseline="0">
                    <a:solidFill>
                      <a:sysClr val="windowText" lastClr="000000"/>
                    </a:solidFill>
                    <a:latin typeface="Aptos" pitchFamily="2" charset="0"/>
                    <a:ea typeface="+mn-ea"/>
                    <a:cs typeface="Segoe UI" panose="020B0502040204020203" pitchFamily="34" charset="0"/>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Sheet1!$AL$1:$AP$1</c:f>
              <c:strCache>
                <c:ptCount val="5"/>
                <c:pt idx="0">
                  <c:v>Δ' τρίμηνο
2022</c:v>
                </c:pt>
                <c:pt idx="1">
                  <c:v>Α' τρίμηνο
2023</c:v>
                </c:pt>
                <c:pt idx="2">
                  <c:v>Β' τρίμηνο
2023</c:v>
                </c:pt>
                <c:pt idx="3">
                  <c:v>Γ' τρίμηνο
2023</c:v>
                </c:pt>
                <c:pt idx="4">
                  <c:v>Δ' τρίμηνο
2023</c:v>
                </c:pt>
              </c:strCache>
            </c:strRef>
          </c:cat>
          <c:val>
            <c:numRef>
              <c:f>Sheet1!$X$8:$AP$8</c:f>
              <c:numCache>
                <c:formatCode>0.000</c:formatCode>
                <c:ptCount val="5"/>
                <c:pt idx="0">
                  <c:v>55.19242189</c:v>
                </c:pt>
                <c:pt idx="1">
                  <c:v>54.77480781</c:v>
                </c:pt>
                <c:pt idx="2">
                  <c:v>55.67120203</c:v>
                </c:pt>
                <c:pt idx="3">
                  <c:v>56.29237032</c:v>
                </c:pt>
                <c:pt idx="4">
                  <c:v>57.1257996</c:v>
                </c:pt>
              </c:numCache>
            </c:numRef>
          </c:val>
        </c:ser>
        <c:dLbls>
          <c:showLegendKey val="0"/>
          <c:showVal val="0"/>
          <c:showCatName val="0"/>
          <c:showSerName val="0"/>
          <c:showPercent val="0"/>
          <c:showBubbleSize val="0"/>
        </c:dLbls>
        <c:gapWidth val="90"/>
        <c:overlap val="100"/>
        <c:axId val="563082064"/>
        <c:axId val="563087552"/>
      </c:barChart>
      <c:catAx>
        <c:axId val="563082064"/>
        <c:scaling>
          <c:orientation val="minMax"/>
        </c:scaling>
        <c:delete val="0"/>
        <c:axPos val="b"/>
        <c:numFmt formatCode="General" sourceLinked="1"/>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1"/>
          <a:lstStyle/>
          <a:p>
            <a:pPr algn="ctr">
              <a:defRPr lang="el-GR" sz="600" b="0" i="0" u="none" strike="noStrike" kern="1200" baseline="0">
                <a:solidFill>
                  <a:sysClr val="windowText" lastClr="000000"/>
                </a:solidFill>
                <a:latin typeface="Aptos" pitchFamily="2" charset="0"/>
                <a:ea typeface="+mn-ea"/>
                <a:cs typeface="Segoe UI" panose="020B0502040204020203" pitchFamily="34" charset="0"/>
              </a:defRPr>
            </a:pPr>
          </a:p>
        </c:txPr>
        <c:crossAx val="563087552"/>
        <c:crosses val="autoZero"/>
        <c:auto val="1"/>
        <c:lblAlgn val="ctr"/>
        <c:lblOffset val="100"/>
        <c:noMultiLvlLbl val="0"/>
      </c:catAx>
      <c:valAx>
        <c:axId val="563087552"/>
        <c:scaling>
          <c:orientation val="minMax"/>
          <c:max val="78"/>
          <c:min val="0"/>
        </c:scaling>
        <c:delete val="1"/>
        <c:axPos val="l"/>
        <c:numFmt formatCode="0.000" sourceLinked="1"/>
        <c:majorTickMark val="out"/>
        <c:minorTickMark val="none"/>
        <c:tickLblPos val="nextTo"/>
        <c:txPr>
          <a:bodyPr rot="-60000000" spcFirstLastPara="0" vertOverflow="ellipsis" vert="horz" wrap="square" anchor="ctr" anchorCtr="1"/>
          <a:lstStyle/>
          <a:p>
            <a:pPr>
              <a:defRPr lang="en-US" sz="1800" b="0" i="0" u="none" strike="noStrike" kern="1200" baseline="0">
                <a:solidFill>
                  <a:schemeClr val="tx1"/>
                </a:solidFill>
                <a:latin typeface="+mn-lt"/>
                <a:ea typeface="+mn-ea"/>
                <a:cs typeface="+mn-cs"/>
              </a:defRPr>
            </a:pPr>
          </a:p>
        </c:txPr>
        <c:crossAx val="563082064"/>
        <c:crosses val="autoZero"/>
        <c:crossBetween val="between"/>
      </c:valAx>
      <c:spPr>
        <a:noFill/>
        <a:ln w="25375">
          <a:noFill/>
        </a:ln>
      </c:spPr>
    </c:plotArea>
    <c:legend>
      <c:legendPos val="r"/>
      <c:legendEntry>
        <c:idx val="0"/>
        <c:delete val="1"/>
      </c:legendEntry>
      <c:legendEntry>
        <c:idx val="1"/>
        <c:delete val="1"/>
      </c:legendEntry>
      <c:layout>
        <c:manualLayout>
          <c:xMode val="edge"/>
          <c:yMode val="edge"/>
          <c:x val="0.749893858267716"/>
          <c:y val="0.212815465374521"/>
          <c:w val="0.222106141732283"/>
          <c:h val="0.663072885120129"/>
        </c:manualLayout>
      </c:layout>
      <c:overlay val="0"/>
      <c:txPr>
        <a:bodyPr rot="0" spcFirstLastPara="0" vertOverflow="ellipsis" vert="horz" wrap="square" anchor="ctr" anchorCtr="1"/>
        <a:lstStyle/>
        <a:p>
          <a:pPr>
            <a:defRPr lang="en-US" sz="500" b="0" i="0" u="none" strike="noStrike" kern="1200" baseline="0">
              <a:solidFill>
                <a:sysClr val="windowText" lastClr="000000"/>
              </a:solidFill>
              <a:latin typeface="Aptos" pitchFamily="2" charset="0"/>
              <a:ea typeface="+mn-ea"/>
              <a:cs typeface="Segoe UI" panose="020B0502040204020203" pitchFamily="34" charset="0"/>
            </a:defRPr>
          </a:pPr>
        </a:p>
      </c:txPr>
    </c:legend>
    <c:plotVisOnly val="1"/>
    <c:dispBlanksAs val="gap"/>
    <c:showDLblsOverMax val="0"/>
  </c:chart>
  <c:spPr>
    <a:solidFill>
      <a:srgbClr val="F5F9F6"/>
    </a:solidFill>
    <a:ln w="6350" cap="flat" cmpd="sng" algn="ctr">
      <a:noFill/>
      <a:prstDash val="solid"/>
      <a:round/>
    </a:ln>
  </c:spPr>
  <c:txPr>
    <a:bodyPr/>
    <a:lstStyle/>
    <a:p>
      <a:pPr>
        <a:defRPr lang="en-US" sz="1800"/>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917815061331"/>
          <c:y val="0.0744267711821865"/>
          <c:w val="0.580220704456142"/>
          <c:h val="0.806407153311164"/>
        </c:manualLayout>
      </c:layout>
      <c:barChart>
        <c:barDir val="col"/>
        <c:grouping val="stacked"/>
        <c:varyColors val="0"/>
        <c:ser>
          <c:idx val="0"/>
          <c:order val="0"/>
          <c:tx>
            <c:strRef>
              <c:f>Sheet1!$A$2</c:f>
              <c:strCache>
                <c:ptCount val="1"/>
                <c:pt idx="0">
                  <c:v>core PPI</c:v>
                </c:pt>
              </c:strCache>
            </c:strRef>
          </c:tx>
          <c:spPr>
            <a:solidFill>
              <a:srgbClr val="008080"/>
            </a:solidFill>
            <a:ln>
              <a:noFill/>
            </a:ln>
            <a:effectLst/>
          </c:spPr>
          <c:invertIfNegative val="0"/>
          <c:dPt>
            <c:idx val="0"/>
            <c:invertIfNegative val="0"/>
            <c:bubble3D val="0"/>
            <c:spPr>
              <a:solidFill>
                <a:schemeClr val="accent2"/>
              </a:solidFill>
              <a:ln>
                <a:noFill/>
              </a:ln>
              <a:effectLst/>
            </c:spPr>
          </c:dPt>
          <c:dPt>
            <c:idx val="1"/>
            <c:invertIfNegative val="0"/>
            <c:bubble3D val="0"/>
            <c:spPr>
              <a:solidFill>
                <a:srgbClr val="FF7415"/>
              </a:solidFill>
              <a:ln>
                <a:solidFill>
                  <a:srgbClr val="FF7415"/>
                </a:solidFill>
              </a:ln>
              <a:effectLst/>
            </c:spPr>
          </c:dPt>
          <c:dLbls>
            <c:dLbl>
              <c:idx val="1"/>
              <c:layout/>
              <c:tx>
                <c:rich>
                  <a:bodyPr rot="0" spcFirstLastPara="0" vertOverflow="ellipsis" vert="horz" wrap="square" lIns="38100" tIns="19050" rIns="38100" bIns="19050" anchor="ctr" anchorCtr="1">
                    <a:spAutoFit/>
                  </a:bodyPr>
                  <a:lstStyle/>
                  <a:p>
                    <a:pPr>
                      <a:defRPr lang="en-US" sz="700" b="1" i="0" u="none" strike="noStrike" kern="1200" baseline="0">
                        <a:solidFill>
                          <a:schemeClr val="bg1"/>
                        </a:solidFill>
                        <a:latin typeface="Aptos" pitchFamily="2" charset="0"/>
                        <a:ea typeface="+mn-ea"/>
                        <a:cs typeface="+mn-cs"/>
                      </a:defRPr>
                    </a:pPr>
                    <a:r>
                      <a:rPr lang="en-US"/>
                      <a:t>1.745</a:t>
                    </a:r>
                    <a:endParaRPr lang="en-US"/>
                  </a:p>
                </c:rich>
              </c:tx>
              <c:numFmt formatCode="#,##0" sourceLinked="0"/>
              <c:spPr>
                <a:noFill/>
                <a:ln>
                  <a:noFill/>
                </a:ln>
                <a:effectLst/>
              </c:spPr>
              <c:txPr>
                <a:bodyPr rot="0" spcFirstLastPara="0" vertOverflow="ellipsis" vert="horz" wrap="square" lIns="38100" tIns="19050" rIns="38100" bIns="19050" anchor="ctr" anchorCtr="1">
                  <a:spAutoFit/>
                </a:bodyPr>
                <a:lstStyle/>
                <a:p>
                  <a:pPr>
                    <a:defRPr lang="en-US" sz="700" b="1" i="0" u="none" strike="noStrike" kern="1200" baseline="0">
                      <a:solidFill>
                        <a:schemeClr val="bg1"/>
                      </a:solidFill>
                      <a:latin typeface="Aptos" pitchFamily="2" charset="0"/>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rot="0" spcFirstLastPara="0" vertOverflow="ellipsis" vert="horz" wrap="square" lIns="38100" tIns="19050" rIns="38100" bIns="19050" anchor="ctr" anchorCtr="1">
                <a:spAutoFit/>
              </a:bodyPr>
              <a:lstStyle/>
              <a:p>
                <a:pPr>
                  <a:defRPr lang="en-US" sz="700" b="0" i="0" u="none" strike="noStrike" kern="1200" baseline="0">
                    <a:solidFill>
                      <a:schemeClr val="tx1"/>
                    </a:solidFill>
                    <a:latin typeface="Aptos" pitchFamily="2" charset="0"/>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Sheet1!$B$1:$E$1</c:f>
              <c:strCache>
                <c:ptCount val="3"/>
                <c:pt idx="0">
                  <c:v>Οικονομικό 
έτος 2022</c:v>
                </c:pt>
                <c:pt idx="1">
                  <c:v>Οικονομικό 
έτος 2023</c:v>
                </c:pt>
                <c:pt idx="2">
                  <c:v>Column1</c:v>
                </c:pt>
              </c:strCache>
            </c:strRef>
          </c:cat>
          <c:val>
            <c:numRef>
              <c:f>Sheet1!$B$2:$D$2</c:f>
              <c:numCache>
                <c:formatCode>0</c:formatCode>
                <c:ptCount val="2"/>
                <c:pt idx="0">
                  <c:v>871</c:v>
                </c:pt>
                <c:pt idx="1">
                  <c:v>1744.7</c:v>
                </c:pt>
              </c:numCache>
            </c:numRef>
          </c:val>
        </c:ser>
        <c:ser>
          <c:idx val="1"/>
          <c:order val="1"/>
          <c:tx>
            <c:strRef>
              <c:f>Sheet1!$A$3</c:f>
              <c:strCache>
                <c:ptCount val="1"/>
                <c:pt idx="0">
                  <c:v>non core income</c:v>
                </c:pt>
              </c:strCache>
            </c:strRef>
          </c:tx>
          <c:spPr>
            <a:noFill/>
            <a:ln>
              <a:solidFill>
                <a:srgbClr val="7F7F7F"/>
              </a:solidFill>
              <a:prstDash val="sysDot"/>
            </a:ln>
            <a:effectLst/>
          </c:spPr>
          <c:invertIfNegative val="0"/>
          <c:dPt>
            <c:idx val="0"/>
            <c:invertIfNegative val="0"/>
            <c:bubble3D val="0"/>
          </c:dPt>
          <c:dPt>
            <c:idx val="1"/>
            <c:invertIfNegative val="0"/>
            <c:bubble3D val="0"/>
          </c:dPt>
          <c:dLbls>
            <c:dLbl>
              <c:idx val="1"/>
              <c:layout/>
              <c:numFmt formatCode="General" sourceLinked="1"/>
              <c:spPr>
                <a:noFill/>
                <a:ln>
                  <a:noFill/>
                </a:ln>
                <a:effectLst/>
              </c:spPr>
              <c:txPr>
                <a:bodyPr rot="0" spcFirstLastPara="0" vertOverflow="ellipsis" vert="horz" wrap="square" lIns="38100" tIns="19050" rIns="38100" bIns="19050" anchor="ctr" anchorCtr="1">
                  <a:spAutoFit/>
                </a:bodyPr>
                <a:lstStyle/>
                <a:p>
                  <a:pPr>
                    <a:defRPr lang="en-US" sz="700" b="1" i="0" u="none" strike="noStrike" kern="1200" baseline="0">
                      <a:solidFill>
                        <a:schemeClr val="tx1"/>
                      </a:solidFill>
                      <a:latin typeface="Aptos" pitchFamily="2" charset="0"/>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spAutoFit/>
              </a:bodyPr>
              <a:lstStyle/>
              <a:p>
                <a:pPr>
                  <a:defRPr lang="en-US" sz="700" b="0" i="0" u="none" strike="noStrike" kern="1200" baseline="0">
                    <a:solidFill>
                      <a:schemeClr val="tx1"/>
                    </a:solidFill>
                    <a:latin typeface="Aptos" pitchFamily="2" charset="0"/>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Sheet1!$B$1:$E$1</c:f>
              <c:strCache>
                <c:ptCount val="3"/>
                <c:pt idx="0">
                  <c:v>Οικονομικό 
έτος 2022</c:v>
                </c:pt>
                <c:pt idx="1">
                  <c:v>Οικονομικό 
έτος 2023</c:v>
                </c:pt>
                <c:pt idx="2">
                  <c:v>Column1</c:v>
                </c:pt>
              </c:strCache>
            </c:strRef>
          </c:cat>
          <c:val>
            <c:numRef>
              <c:f>Sheet1!$B$3:$D$3</c:f>
              <c:numCache>
                <c:formatCode>0</c:formatCode>
                <c:ptCount val="2"/>
                <c:pt idx="0">
                  <c:v>309.2</c:v>
                </c:pt>
                <c:pt idx="1">
                  <c:v>81.2</c:v>
                </c:pt>
              </c:numCache>
            </c:numRef>
          </c:val>
        </c:ser>
        <c:ser>
          <c:idx val="2"/>
          <c:order val="2"/>
          <c:tx>
            <c:strRef>
              <c:f>Sheet1!$A$2:$A$4</c:f>
              <c:strCache>
                <c:ptCount val="1"/>
                <c:pt idx="0">
                  <c:v>core PPI non core income CoR underlying</c:v>
                </c:pt>
              </c:strCache>
            </c:strRef>
          </c:tx>
          <c:spPr>
            <a:solidFill>
              <a:schemeClr val="accent3"/>
            </a:solidFill>
            <a:ln>
              <a:noFill/>
            </a:ln>
          </c:spPr>
          <c:invertIfNegative val="0"/>
          <c:dPt>
            <c:idx val="1"/>
            <c:invertIfNegative val="0"/>
            <c:bubble3D val="0"/>
            <c:spPr>
              <a:solidFill>
                <a:srgbClr val="FF7415">
                  <a:alpha val="50000"/>
                </a:srgbClr>
              </a:solidFill>
              <a:ln>
                <a:solidFill>
                  <a:srgbClr val="FFAA71"/>
                </a:solidFill>
              </a:ln>
            </c:spPr>
          </c:dPt>
          <c:dLbls>
            <c:dLbl>
              <c:idx val="1"/>
              <c:layout/>
              <c:numFmt formatCode="General" sourceLinked="1"/>
              <c:spPr>
                <a:noFill/>
                <a:ln>
                  <a:noFill/>
                </a:ln>
                <a:effectLst/>
              </c:spPr>
              <c:txPr>
                <a:bodyPr rot="0" spcFirstLastPara="0" vertOverflow="ellipsis" vert="horz" wrap="square" lIns="38100" tIns="19050" rIns="38100" bIns="19050" anchor="ctr" anchorCtr="1">
                  <a:spAutoFit/>
                </a:bodyPr>
                <a:lstStyle/>
                <a:p>
                  <a:pPr>
                    <a:defRPr lang="en-US" sz="700" b="1" i="0" u="none" strike="noStrike" kern="1200" baseline="0">
                      <a:solidFill>
                        <a:schemeClr val="bg1"/>
                      </a:solidFill>
                      <a:latin typeface="Aptos" pitchFamily="2" charset="0"/>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spAutoFit/>
              </a:bodyPr>
              <a:lstStyle/>
              <a:p>
                <a:pPr>
                  <a:defRPr lang="en-US" sz="700" b="0" i="0" u="none" strike="noStrike" kern="1200" baseline="0">
                    <a:solidFill>
                      <a:schemeClr val="tx1"/>
                    </a:solidFill>
                    <a:latin typeface="Aptos" pitchFamily="2" charset="0"/>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Sheet1!$B$1:$E$1</c:f>
              <c:strCache>
                <c:ptCount val="3"/>
                <c:pt idx="0">
                  <c:v>Οικονομικό 
έτος 2022</c:v>
                </c:pt>
                <c:pt idx="1">
                  <c:v>Οικονομικό 
έτος 2023</c:v>
                </c:pt>
                <c:pt idx="2">
                  <c:v>Column1</c:v>
                </c:pt>
              </c:strCache>
            </c:strRef>
          </c:cat>
          <c:val>
            <c:numRef>
              <c:f>Sheet1!$B$4:$D$4</c:f>
              <c:numCache>
                <c:formatCode>0</c:formatCode>
                <c:ptCount val="2"/>
                <c:pt idx="0">
                  <c:v>-206.9</c:v>
                </c:pt>
                <c:pt idx="1">
                  <c:v>-189.4</c:v>
                </c:pt>
              </c:numCache>
            </c:numRef>
          </c:val>
        </c:ser>
        <c:ser>
          <c:idx val="3"/>
          <c:order val="3"/>
          <c:tx>
            <c:strRef>
              <c:f>Sheet1!$A$5</c:f>
              <c:strCache>
                <c:ptCount val="1"/>
                <c:pt idx="0">
                  <c:v>other impairments</c:v>
                </c:pt>
              </c:strCache>
            </c:strRef>
          </c:tx>
          <c:spPr>
            <a:solidFill>
              <a:schemeClr val="accent4"/>
            </a:solidFill>
            <a:ln>
              <a:noFill/>
              <a:prstDash val="solid"/>
            </a:ln>
          </c:spPr>
          <c:invertIfNegative val="0"/>
          <c:dPt>
            <c:idx val="0"/>
            <c:invertIfNegative val="0"/>
            <c:bubble3D val="0"/>
          </c:dPt>
          <c:dPt>
            <c:idx val="1"/>
            <c:invertIfNegative val="0"/>
            <c:bubble3D val="0"/>
            <c:spPr>
              <a:solidFill>
                <a:srgbClr val="FF7415">
                  <a:alpha val="25000"/>
                </a:srgbClr>
              </a:solidFill>
              <a:ln>
                <a:solidFill>
                  <a:srgbClr val="FFBA8B"/>
                </a:solidFill>
                <a:prstDash val="solid"/>
              </a:ln>
            </c:spPr>
          </c:dPt>
          <c:dLbls>
            <c:dLbl>
              <c:idx val="1"/>
              <c:layout/>
              <c:numFmt formatCode="General" sourceLinked="1"/>
              <c:spPr>
                <a:noFill/>
                <a:ln>
                  <a:noFill/>
                </a:ln>
                <a:effectLst/>
              </c:spPr>
              <c:txPr>
                <a:bodyPr rot="0" spcFirstLastPara="0" vertOverflow="ellipsis" vert="horz" wrap="square" lIns="38100" tIns="19050" rIns="38100" bIns="19050" anchor="ctr" anchorCtr="1">
                  <a:spAutoFit/>
                </a:bodyPr>
                <a:lstStyle/>
                <a:p>
                  <a:pPr>
                    <a:defRPr lang="en-US" sz="700" b="1" i="0" u="none" strike="noStrike" kern="1200" baseline="0">
                      <a:solidFill>
                        <a:schemeClr val="tx1"/>
                      </a:solidFill>
                      <a:latin typeface="Aptos" pitchFamily="2" charset="0"/>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spAutoFit/>
              </a:bodyPr>
              <a:lstStyle/>
              <a:p>
                <a:pPr>
                  <a:defRPr lang="en-US" sz="700" b="0" i="0" u="none" strike="noStrike" kern="1200" baseline="0">
                    <a:solidFill>
                      <a:schemeClr val="tx1"/>
                    </a:solidFill>
                    <a:latin typeface="Aptos" pitchFamily="2" charset="0"/>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Sheet1!$B$1:$E$1</c:f>
              <c:strCache>
                <c:ptCount val="3"/>
                <c:pt idx="0">
                  <c:v>Οικονομικό 
έτος 2022</c:v>
                </c:pt>
                <c:pt idx="1">
                  <c:v>Οικονομικό 
έτος 2023</c:v>
                </c:pt>
                <c:pt idx="2">
                  <c:v>Column1</c:v>
                </c:pt>
              </c:strCache>
            </c:strRef>
          </c:cat>
          <c:val>
            <c:numRef>
              <c:f>Sheet1!$B$5:$D$5</c:f>
              <c:numCache>
                <c:formatCode>0</c:formatCode>
                <c:ptCount val="2"/>
                <c:pt idx="0">
                  <c:v>-65.6</c:v>
                </c:pt>
                <c:pt idx="1">
                  <c:v>-34.29</c:v>
                </c:pt>
              </c:numCache>
            </c:numRef>
          </c:val>
        </c:ser>
        <c:ser>
          <c:idx val="4"/>
          <c:order val="4"/>
          <c:tx>
            <c:strRef>
              <c:f>Sheet1!$A$6</c:f>
              <c:strCache>
                <c:ptCount val="1"/>
                <c:pt idx="0">
                  <c:v/>
                </c:pt>
              </c:strCache>
            </c:strRef>
          </c:tx>
          <c:spPr>
            <a:solidFill>
              <a:schemeClr val="bg1">
                <a:lumMod val="85000"/>
              </a:schemeClr>
            </a:solidFill>
            <a:ln>
              <a:solidFill>
                <a:schemeClr val="bg1">
                  <a:lumMod val="85000"/>
                </a:schemeClr>
              </a:solidFill>
            </a:ln>
          </c:spPr>
          <c:invertIfNegative val="0"/>
          <c:dLbls>
            <c:dLbl>
              <c:idx val="0"/>
              <c:delete val="1"/>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Sheet1!$B$1:$E$1</c:f>
              <c:strCache>
                <c:ptCount val="3"/>
                <c:pt idx="0">
                  <c:v>Οικονομικό 
έτος 2022</c:v>
                </c:pt>
                <c:pt idx="1">
                  <c:v>Οικονομικό 
έτος 2023</c:v>
                </c:pt>
                <c:pt idx="2">
                  <c:v>Column1</c:v>
                </c:pt>
              </c:strCache>
            </c:strRef>
          </c:cat>
          <c:val>
            <c:numRef>
              <c:f>Sheet1!$B$6:$D$6</c:f>
              <c:numCache>
                <c:formatCode>General</c:formatCode>
                <c:ptCount val="2"/>
              </c:numCache>
            </c:numRef>
          </c:val>
        </c:ser>
        <c:dLbls>
          <c:showLegendKey val="0"/>
          <c:showVal val="0"/>
          <c:showCatName val="0"/>
          <c:showSerName val="0"/>
          <c:showPercent val="0"/>
          <c:showBubbleSize val="0"/>
        </c:dLbls>
        <c:gapWidth val="200"/>
        <c:overlap val="100"/>
        <c:axId val="561010448"/>
        <c:axId val="564205080"/>
      </c:barChart>
      <c:catAx>
        <c:axId val="561010448"/>
        <c:scaling>
          <c:orientation val="minMax"/>
        </c:scaling>
        <c:delete val="0"/>
        <c:axPos val="b"/>
        <c:numFmt formatCode="General" sourceLinked="1"/>
        <c:majorTickMark val="none"/>
        <c:minorTickMark val="none"/>
        <c:tickLblPos val="low"/>
        <c:spPr>
          <a:noFill/>
          <a:ln w="9525" cap="flat" cmpd="sng" algn="ctr">
            <a:solidFill>
              <a:srgbClr val="D9D9D9"/>
            </a:solidFill>
            <a:prstDash val="solid"/>
            <a:round/>
          </a:ln>
          <a:effectLst/>
        </c:spPr>
        <c:txPr>
          <a:bodyPr rot="-60000000" spcFirstLastPara="1" vertOverflow="ellipsis" vert="horz" wrap="square" anchor="ctr" anchorCtr="1"/>
          <a:lstStyle/>
          <a:p>
            <a:pPr>
              <a:defRPr lang="en-US" sz="600" b="0" i="0" u="none" strike="noStrike" kern="1200" baseline="0">
                <a:solidFill>
                  <a:sysClr val="windowText" lastClr="000000"/>
                </a:solidFill>
                <a:latin typeface="Aptos" pitchFamily="2" charset="0"/>
                <a:ea typeface="+mn-ea"/>
                <a:cs typeface="+mn-cs"/>
              </a:defRPr>
            </a:pPr>
          </a:p>
        </c:txPr>
        <c:crossAx val="564205080"/>
        <c:crosses val="autoZero"/>
        <c:auto val="1"/>
        <c:lblAlgn val="ctr"/>
        <c:lblOffset val="100"/>
        <c:noMultiLvlLbl val="0"/>
      </c:catAx>
      <c:valAx>
        <c:axId val="564205080"/>
        <c:scaling>
          <c:orientation val="minMax"/>
          <c:max val="2100"/>
          <c:min val="-260"/>
        </c:scaling>
        <c:delete val="1"/>
        <c:axPos val="l"/>
        <c:numFmt formatCode="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61010448"/>
        <c:crosses val="autoZero"/>
        <c:crossBetween val="between"/>
      </c:valAx>
      <c:spPr>
        <a:solidFill>
          <a:srgbClr val="F5F9F6"/>
        </a:solidFill>
        <a:ln>
          <a:noFill/>
        </a:ln>
        <a:effectLst/>
      </c:spPr>
    </c:plotArea>
    <c:plotVisOnly val="1"/>
    <c:dispBlanksAs val="gap"/>
    <c:showDLblsOverMax val="0"/>
  </c:chart>
  <c:spPr>
    <a:solidFill>
      <a:srgbClr val="F5F9F6"/>
    </a:solidFill>
    <a:ln w="6350" cap="flat" cmpd="sng" algn="ctr">
      <a:noFill/>
      <a:prstDash val="solid"/>
      <a:round/>
    </a:ln>
    <a:effectLst/>
  </c:spPr>
  <c:txPr>
    <a:bodyPr/>
    <a:lstStyle/>
    <a:p>
      <a:pPr>
        <a:defRPr lang="en-US"/>
      </a:pPr>
    </a:p>
  </c:txPr>
  <c:externalData r:id="rId1">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67213835839581"/>
          <c:y val="0.148218704733707"/>
          <c:w val="0.960827456420618"/>
          <c:h val="0.683186243370611"/>
        </c:manualLayout>
      </c:layout>
      <c:barChart>
        <c:barDir val="col"/>
        <c:grouping val="stacked"/>
        <c:varyColors val="0"/>
        <c:ser>
          <c:idx val="0"/>
          <c:order val="0"/>
          <c:tx>
            <c:strRef>
              <c:f>Sheet1!$B$1</c:f>
              <c:strCache>
                <c:ptCount val="1"/>
                <c:pt idx="0">
                  <c:v>Στήλη1</c:v>
                </c:pt>
              </c:strCache>
            </c:strRef>
          </c:tx>
          <c:spPr>
            <a:solidFill>
              <a:srgbClr val="F6FAF6"/>
            </a:solidFill>
            <a:ln>
              <a:noFill/>
            </a:ln>
            <a:effectLst/>
          </c:spPr>
          <c:invertIfNegative val="0"/>
          <c:dLbls>
            <c:dLbl>
              <c:idx val="1"/>
              <c:delete val="1"/>
            </c:dLbl>
            <c:spPr>
              <a:noFill/>
              <a:ln>
                <a:noFill/>
              </a:ln>
              <a:effectLst/>
            </c:spPr>
            <c:txPr>
              <a:bodyPr rot="0" spcFirstLastPara="1" vertOverflow="ellipsis" vert="horz" wrap="square" lIns="38100" tIns="19050" rIns="38100" bIns="19050" anchor="ctr" anchorCtr="1"/>
              <a:lstStyle/>
              <a:p>
                <a:pPr>
                  <a:defRPr lang="en-US" sz="800" b="0" i="0" u="none" strike="noStrike" kern="1200" baseline="0">
                    <a:solidFill>
                      <a:schemeClr val="bg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Οικονομικό 
έτος 2022</c:v>
                </c:pt>
                <c:pt idx="1">
                  <c:v>Μη οργανική 
μεταβολή</c:v>
                </c:pt>
                <c:pt idx="2">
                  <c:v>Οργανική 
μεταβολή</c:v>
                </c:pt>
                <c:pt idx="3">
                  <c:v>Οικονομικό 
έτος 2023</c:v>
                </c:pt>
              </c:strCache>
            </c:strRef>
          </c:cat>
          <c:val>
            <c:numRef>
              <c:f>Sheet1!$B$2:$B$5</c:f>
              <c:numCache>
                <c:formatCode>General</c:formatCode>
                <c:ptCount val="4"/>
                <c:pt idx="1" c:formatCode="0.0">
                  <c:v>1.075</c:v>
                </c:pt>
                <c:pt idx="2" c:formatCode="0.0">
                  <c:v>1.075</c:v>
                </c:pt>
              </c:numCache>
            </c:numRef>
          </c:val>
        </c:ser>
        <c:ser>
          <c:idx val="1"/>
          <c:order val="1"/>
          <c:tx>
            <c:strRef>
              <c:f>Sheet1!$C$1</c:f>
              <c:strCache>
                <c:ptCount val="1"/>
                <c:pt idx="0">
                  <c:v>Net NPEs</c:v>
                </c:pt>
              </c:strCache>
            </c:strRef>
          </c:tx>
          <c:spPr>
            <a:solidFill>
              <a:srgbClr val="008080"/>
            </a:solidFill>
            <a:ln>
              <a:solidFill>
                <a:schemeClr val="accent1"/>
              </a:solidFill>
            </a:ln>
            <a:effectLst/>
          </c:spPr>
          <c:invertIfNegative val="0"/>
          <c:dPt>
            <c:idx val="0"/>
            <c:invertIfNegative val="0"/>
            <c:bubble3D val="0"/>
            <c:spPr>
              <a:solidFill>
                <a:srgbClr val="003841"/>
              </a:solidFill>
              <a:ln>
                <a:solidFill>
                  <a:srgbClr val="003841"/>
                </a:solidFill>
              </a:ln>
              <a:effectLst/>
            </c:spPr>
          </c:dPt>
          <c:dPt>
            <c:idx val="1"/>
            <c:invertIfNegative val="0"/>
            <c:bubble3D val="0"/>
            <c:spPr>
              <a:pattFill prst="ltDnDiag">
                <a:fgClr>
                  <a:srgbClr val="008080"/>
                </a:fgClr>
                <a:bgClr>
                  <a:schemeClr val="bg1"/>
                </a:bgClr>
              </a:pattFill>
              <a:ln>
                <a:solidFill>
                  <a:srgbClr val="007B85"/>
                </a:solidFill>
              </a:ln>
              <a:effectLst/>
            </c:spPr>
          </c:dPt>
          <c:dPt>
            <c:idx val="2"/>
            <c:invertIfNegative val="0"/>
            <c:bubble3D val="0"/>
            <c:spPr>
              <a:solidFill>
                <a:srgbClr val="007B85"/>
              </a:solidFill>
              <a:ln>
                <a:solidFill>
                  <a:srgbClr val="007B85"/>
                </a:solidFill>
              </a:ln>
              <a:effectLst/>
            </c:spPr>
          </c:dPt>
          <c:dPt>
            <c:idx val="3"/>
            <c:invertIfNegative val="0"/>
            <c:bubble3D val="0"/>
            <c:spPr>
              <a:solidFill>
                <a:srgbClr val="FF7415"/>
              </a:solidFill>
              <a:ln>
                <a:solidFill>
                  <a:srgbClr val="FF7415"/>
                </a:solidFill>
              </a:ln>
              <a:effectLst/>
            </c:spPr>
          </c:dPt>
          <c:dLbls>
            <c:dLbl>
              <c:idx val="0"/>
              <c:delete val="1"/>
            </c:dLbl>
            <c:dLbl>
              <c:idx val="1"/>
              <c:layout>
                <c:manualLayout>
                  <c:x val="0.000541691036318434"/>
                  <c:y val="-0.132102910213146"/>
                </c:manualLayout>
              </c:layout>
              <c:tx>
                <c:rich>
                  <a:bodyPr rot="0" spcFirstLastPara="1" vertOverflow="ellipsis" vert="horz" wrap="square" lIns="38100" tIns="19050" rIns="38100" bIns="19050" anchor="ctr" anchorCtr="1"/>
                  <a:lstStyle/>
                  <a:p>
                    <a:pPr>
                      <a:defRPr lang="en-US" sz="700" b="0" i="0" u="none" strike="noStrike" kern="1200" baseline="0">
                        <a:solidFill>
                          <a:sysClr val="windowText" lastClr="000000"/>
                        </a:solidFill>
                        <a:latin typeface="Aptos" pitchFamily="2" charset="0"/>
                        <a:ea typeface="+mn-ea"/>
                        <a:cs typeface="+mn-cs"/>
                      </a:defRPr>
                    </a:pPr>
                    <a:r>
                      <a:rPr lang="en-US"/>
                      <a:t>-0,7</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delete val="1"/>
            </c:dLbl>
            <c:dLbl>
              <c:idx val="3"/>
              <c:delete val="1"/>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ysClr val="windowText" lastClr="000000"/>
                    </a:solidFill>
                    <a:latin typeface="Aptos" pitchFamily="2" charset="0"/>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Οικονομικό 
έτος 2022</c:v>
                </c:pt>
                <c:pt idx="1">
                  <c:v>Μη οργανική 
μεταβολή</c:v>
                </c:pt>
                <c:pt idx="2">
                  <c:v>Οργανική 
μεταβολή</c:v>
                </c:pt>
                <c:pt idx="3">
                  <c:v>Οικονομικό 
έτος 2023</c:v>
                </c:pt>
              </c:strCache>
            </c:strRef>
          </c:cat>
          <c:val>
            <c:numRef>
              <c:f>Sheet1!$C$2:$C$5</c:f>
              <c:numCache>
                <c:formatCode>0.0</c:formatCode>
                <c:ptCount val="4"/>
                <c:pt idx="0">
                  <c:v>1.8</c:v>
                </c:pt>
                <c:pt idx="1">
                  <c:v>0.7</c:v>
                </c:pt>
                <c:pt idx="2">
                  <c:v>0.21</c:v>
                </c:pt>
                <c:pt idx="3">
                  <c:v>1.285</c:v>
                </c:pt>
              </c:numCache>
            </c:numRef>
          </c:val>
        </c:ser>
        <c:ser>
          <c:idx val="2"/>
          <c:order val="2"/>
          <c:tx>
            <c:strRef>
              <c:f>Sheet1!$D$1</c:f>
              <c:strCache>
                <c:ptCount val="1"/>
                <c:pt idx="0">
                  <c:v>LLAs</c:v>
                </c:pt>
              </c:strCache>
            </c:strRef>
          </c:tx>
          <c:spPr>
            <a:solidFill>
              <a:srgbClr val="008080"/>
            </a:solidFill>
            <a:ln>
              <a:solidFill>
                <a:srgbClr val="008080"/>
              </a:solidFill>
            </a:ln>
            <a:effectLst/>
          </c:spPr>
          <c:invertIfNegative val="0"/>
          <c:dLbls>
            <c:dLbl>
              <c:idx val="1"/>
              <c:layout/>
              <c:numFmt formatCode="General" sourceLinked="1"/>
              <c:spPr>
                <a:noFill/>
                <a:ln>
                  <a:noFill/>
                </a:ln>
                <a:effectLst/>
              </c:spPr>
              <c:txPr>
                <a:bodyPr rot="0" spcFirstLastPara="1" vertOverflow="ellipsis" vert="horz" wrap="square" lIns="38100" tIns="19050" rIns="38100" bIns="19050" anchor="ctr" anchorCtr="0">
                  <a:spAutoFit/>
                </a:bodyPr>
                <a:lstStyle/>
                <a:p>
                  <a:pPr algn="ctr">
                    <a:defRPr lang="en-US" sz="800" b="0" i="0" u="none" strike="noStrike" kern="1200" baseline="0">
                      <a:solidFill>
                        <a:schemeClr val="bg1"/>
                      </a:solidFill>
                      <a:latin typeface="+mj-lt"/>
                      <a:ea typeface="+mn-ea"/>
                      <a:cs typeface="+mn-cs"/>
                    </a:defRPr>
                  </a:pPr>
                </a:p>
              </c:txPr>
              <c:dLblPos val="inBase"/>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1" vertOverflow="ellipsis" vert="horz" wrap="square" lIns="38100" tIns="19050" rIns="38100" bIns="19050" anchor="ctr" anchorCtr="0">
                  <a:spAutoFit/>
                </a:bodyPr>
                <a:lstStyle/>
                <a:p>
                  <a:pPr algn="ctr">
                    <a:defRPr lang="el-GR" sz="1200" b="1" i="1" u="none" strike="noStrike" kern="1200" baseline="0">
                      <a:solidFill>
                        <a:schemeClr val="bg1"/>
                      </a:solidFill>
                      <a:latin typeface="+mj-lt"/>
                      <a:ea typeface="+mn-ea"/>
                      <a:cs typeface="+mn-cs"/>
                    </a:defRPr>
                  </a:pPr>
                </a:p>
              </c:txPr>
              <c:dLblPos val="inBase"/>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bg1"/>
                    </a:solidFill>
                    <a:latin typeface="+mj-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Οικονομικό 
έτος 2022</c:v>
                </c:pt>
                <c:pt idx="1">
                  <c:v>Μη οργανική 
μεταβολή</c:v>
                </c:pt>
                <c:pt idx="2">
                  <c:v>Οργανική 
μεταβολή</c:v>
                </c:pt>
                <c:pt idx="3">
                  <c:v>Οικονομικό 
έτος 2023</c:v>
                </c:pt>
              </c:strCache>
            </c:strRef>
          </c:cat>
          <c:val>
            <c:numRef>
              <c:f>Sheet1!$D$2:$D$5</c:f>
              <c:numCache>
                <c:formatCode>General</c:formatCode>
                <c:ptCount val="4"/>
              </c:numCache>
            </c:numRef>
          </c:val>
        </c:ser>
        <c:ser>
          <c:idx val="3"/>
          <c:order val="3"/>
          <c:tx>
            <c:strRef>
              <c:f>Sheet1!$E$1</c:f>
              <c:strCache>
                <c:ptCount val="1"/>
                <c:pt idx="0">
                  <c:v>Gross NPEs</c:v>
                </c:pt>
              </c:strCache>
            </c:strRef>
          </c:tx>
          <c:spPr>
            <a:solidFill>
              <a:srgbClr val="F6FAF6"/>
            </a:solidFill>
            <a:ln>
              <a:solidFill>
                <a:schemeClr val="bg1"/>
              </a:solidFill>
            </a:ln>
            <a:effectLst/>
          </c:spPr>
          <c:invertIfNegative val="0"/>
          <c:dPt>
            <c:idx val="0"/>
            <c:invertIfNegative val="0"/>
            <c:bubble3D val="0"/>
            <c:spPr>
              <a:noFill/>
              <a:ln>
                <a:noFill/>
              </a:ln>
              <a:effectLst/>
            </c:spPr>
          </c:dPt>
          <c:dPt>
            <c:idx val="1"/>
            <c:invertIfNegative val="0"/>
            <c:bubble3D val="0"/>
            <c:spPr>
              <a:noFill/>
              <a:ln>
                <a:noFill/>
              </a:ln>
              <a:effectLst/>
            </c:spPr>
          </c:dPt>
          <c:dPt>
            <c:idx val="2"/>
            <c:invertIfNegative val="0"/>
            <c:bubble3D val="0"/>
            <c:spPr>
              <a:noFill/>
              <a:ln>
                <a:noFill/>
              </a:ln>
              <a:effectLst/>
            </c:spPr>
          </c:dPt>
          <c:dPt>
            <c:idx val="3"/>
            <c:invertIfNegative val="0"/>
            <c:bubble3D val="0"/>
            <c:spPr>
              <a:noFill/>
              <a:ln>
                <a:noFill/>
              </a:ln>
              <a:effectLst/>
            </c:spPr>
          </c:dPt>
          <c:dLbls>
            <c:dLbl>
              <c:idx val="0"/>
              <c:layout/>
              <c:tx>
                <c:rich>
                  <a:bodyPr rot="0" spcFirstLastPara="1" vertOverflow="ellipsis" vert="horz" wrap="square" lIns="38100" tIns="19050" rIns="38100" bIns="19050" anchor="ctr" anchorCtr="0">
                    <a:spAutoFit/>
                  </a:bodyPr>
                  <a:lstStyle/>
                  <a:p>
                    <a:pPr algn="ctr" defTabSz="913130" rtl="0" fontAlgn="base">
                      <a:spcBef>
                        <a:spcPct val="0"/>
                      </a:spcBef>
                      <a:spcAft>
                        <a:spcPct val="0"/>
                      </a:spcAft>
                      <a:defRPr lang="el-GR" sz="800" b="1" i="0" u="none" strike="noStrike" kern="1200" baseline="0">
                        <a:solidFill>
                          <a:sysClr val="windowText" lastClr="000000"/>
                        </a:solidFill>
                        <a:latin typeface="Aptos" pitchFamily="2" charset="0"/>
                        <a:ea typeface="+mn-ea"/>
                        <a:cs typeface="+mn-cs"/>
                      </a:defRPr>
                    </a:pPr>
                    <a:r>
                      <a:rPr lang="en-US"/>
                      <a:t>1,8</a:t>
                    </a:r>
                    <a:endParaRPr lang="en-US"/>
                  </a:p>
                </c:rich>
              </c:tx>
              <c:numFmt formatCode="General" sourceLinked="1"/>
              <c:spPr>
                <a:noFill/>
                <a:ln>
                  <a:noFill/>
                </a:ln>
                <a:effectLst/>
              </c:spPr>
              <c:txPr>
                <a:bodyPr rot="0" spcFirstLastPara="1" vertOverflow="ellipsis" vert="horz" wrap="square" lIns="38100" tIns="19050" rIns="38100" bIns="19050" anchor="ctr" anchorCtr="0">
                  <a:spAutoFit/>
                </a:bodyPr>
                <a:lstStyle/>
                <a:p>
                  <a:pPr algn="ctr">
                    <a:defRPr lang="el-GR" sz="800" b="1" i="0" u="none" strike="noStrike" kern="1200" baseline="0">
                      <a:solidFill>
                        <a:sysClr val="windowText" lastClr="000000"/>
                      </a:solidFill>
                      <a:latin typeface="Aptos" pitchFamily="2" charset="0"/>
                      <a:ea typeface="+mn-ea"/>
                      <a:cs typeface="+mn-cs"/>
                    </a:defRPr>
                  </a:pPr>
                </a:p>
              </c:txPr>
              <c:dLblPos val="inBase"/>
              <c:showLegendKey val="0"/>
              <c:showVal val="1"/>
              <c:showCatName val="0"/>
              <c:showSerName val="0"/>
              <c:showPercent val="0"/>
              <c:showBubbleSize val="0"/>
              <c:extLst>
                <c:ext xmlns:c15="http://schemas.microsoft.com/office/drawing/2012/chart" uri="{CE6537A1-D6FC-4f65-9D91-7224C49458BB}"/>
              </c:extLst>
            </c:dLbl>
            <c:dLbl>
              <c:idx val="1"/>
              <c:delete val="1"/>
            </c:dLbl>
            <c:dLbl>
              <c:idx val="2"/>
              <c:layout/>
              <c:tx>
                <c:rich>
                  <a:bodyPr rot="0" spcFirstLastPara="1" vertOverflow="ellipsis" vert="horz" wrap="square" lIns="38100" tIns="19050" rIns="38100" bIns="19050" anchor="ctr" anchorCtr="0"/>
                  <a:lstStyle/>
                  <a:p>
                    <a:pPr>
                      <a:defRPr lang="en-US" sz="700" b="0" i="0" u="none" strike="noStrike" kern="1200" baseline="0">
                        <a:solidFill>
                          <a:sysClr val="windowText" lastClr="000000"/>
                        </a:solidFill>
                        <a:latin typeface="Aptos" pitchFamily="2" charset="0"/>
                        <a:ea typeface="+mn-ea"/>
                        <a:cs typeface="+mn-cs"/>
                      </a:defRPr>
                    </a:pPr>
                    <a:r>
                      <a:rPr lang="en-US"/>
                      <a:t>0,2</a:t>
                    </a:r>
                    <a:endParaRPr lang="en-US"/>
                  </a:p>
                </c:rich>
              </c:tx>
              <c:dLblPos val="inBase"/>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0">
                    <a:spAutoFit/>
                  </a:bodyPr>
                  <a:lstStyle/>
                  <a:p>
                    <a:pPr algn="ctr" defTabSz="913130" rtl="0" fontAlgn="base">
                      <a:spcBef>
                        <a:spcPct val="0"/>
                      </a:spcBef>
                      <a:spcAft>
                        <a:spcPct val="0"/>
                      </a:spcAft>
                      <a:defRPr lang="el-GR" sz="800" b="1" i="0" u="none" strike="noStrike" kern="1200" baseline="0">
                        <a:solidFill>
                          <a:sysClr val="windowText" lastClr="000000"/>
                        </a:solidFill>
                        <a:latin typeface="Aptos" pitchFamily="2" charset="0"/>
                        <a:ea typeface="+mn-ea"/>
                        <a:cs typeface="+mn-cs"/>
                      </a:defRPr>
                    </a:pPr>
                    <a:r>
                      <a:rPr lang="en-US"/>
                      <a:t>1,3</a:t>
                    </a:r>
                    <a:endParaRPr lang="en-US"/>
                  </a:p>
                </c:rich>
              </c:tx>
              <c:numFmt formatCode="General" sourceLinked="1"/>
              <c:spPr>
                <a:noFill/>
                <a:ln>
                  <a:noFill/>
                </a:ln>
                <a:effectLst/>
              </c:spPr>
              <c:txPr>
                <a:bodyPr rot="0" spcFirstLastPara="1" vertOverflow="ellipsis" vert="horz" wrap="square" lIns="38100" tIns="19050" rIns="38100" bIns="19050" anchor="ctr" anchorCtr="0">
                  <a:spAutoFit/>
                </a:bodyPr>
                <a:lstStyle/>
                <a:p>
                  <a:pPr algn="ctr">
                    <a:defRPr lang="el-GR" sz="800" b="1" i="0" u="none" strike="noStrike" kern="1200" baseline="0">
                      <a:solidFill>
                        <a:sysClr val="windowText" lastClr="000000"/>
                      </a:solidFill>
                      <a:latin typeface="Aptos" pitchFamily="2" charset="0"/>
                      <a:ea typeface="+mn-ea"/>
                      <a:cs typeface="+mn-cs"/>
                    </a:defRPr>
                  </a:pPr>
                </a:p>
              </c:txPr>
              <c:dLblPos val="inBase"/>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0">
                <a:spAutoFit/>
              </a:bodyPr>
              <a:lstStyle/>
              <a:p>
                <a:pPr algn="ctr">
                  <a:defRPr lang="el-GR" sz="800" b="0" i="0" u="none" strike="noStrike" kern="1200" baseline="0">
                    <a:solidFill>
                      <a:sysClr val="windowText" lastClr="000000"/>
                    </a:solidFill>
                    <a:latin typeface="Aptos" pitchFamily="2" charset="0"/>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Οικονομικό 
έτος 2022</c:v>
                </c:pt>
                <c:pt idx="1">
                  <c:v>Μη οργανική 
μεταβολή</c:v>
                </c:pt>
                <c:pt idx="2">
                  <c:v>Οργανική 
μεταβολή</c:v>
                </c:pt>
                <c:pt idx="3">
                  <c:v>Οικονομικό 
έτος 2023</c:v>
                </c:pt>
              </c:strCache>
            </c:strRef>
          </c:cat>
          <c:val>
            <c:numRef>
              <c:f>Sheet1!$E$2:$E$5</c:f>
              <c:numCache>
                <c:formatCode>0.0</c:formatCode>
                <c:ptCount val="4"/>
                <c:pt idx="0">
                  <c:v>1.775</c:v>
                </c:pt>
                <c:pt idx="1">
                  <c:v>0.7</c:v>
                </c:pt>
                <c:pt idx="2">
                  <c:v>0.21</c:v>
                </c:pt>
                <c:pt idx="3">
                  <c:v>1.285</c:v>
                </c:pt>
              </c:numCache>
            </c:numRef>
          </c:val>
        </c:ser>
        <c:dLbls>
          <c:showLegendKey val="0"/>
          <c:showVal val="0"/>
          <c:showCatName val="0"/>
          <c:showSerName val="0"/>
          <c:showPercent val="0"/>
          <c:showBubbleSize val="0"/>
        </c:dLbls>
        <c:gapWidth val="160"/>
        <c:overlap val="100"/>
        <c:axId val="593585680"/>
        <c:axId val="593583720"/>
      </c:barChart>
      <c:catAx>
        <c:axId val="593585680"/>
        <c:scaling>
          <c:orientation val="minMax"/>
        </c:scaling>
        <c:delete val="0"/>
        <c:axPos val="b"/>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0"/>
          <a:lstStyle/>
          <a:p>
            <a:pPr>
              <a:defRPr lang="en-US" sz="600" b="0" i="0" u="none" strike="noStrike" kern="1200" baseline="0">
                <a:solidFill>
                  <a:sysClr val="windowText" lastClr="000000"/>
                </a:solidFill>
                <a:latin typeface="Aptos" pitchFamily="2" charset="0"/>
                <a:ea typeface="+mn-ea"/>
                <a:cs typeface="+mn-cs"/>
              </a:defRPr>
            </a:pPr>
          </a:p>
        </c:txPr>
        <c:crossAx val="593583720"/>
        <c:crosses val="autoZero"/>
        <c:auto val="1"/>
        <c:lblAlgn val="ctr"/>
        <c:lblOffset val="100"/>
        <c:noMultiLvlLbl val="0"/>
      </c:catAx>
      <c:valAx>
        <c:axId val="593583720"/>
        <c:scaling>
          <c:orientation val="minMax"/>
          <c:max val="3"/>
        </c:scaling>
        <c:delete val="1"/>
        <c:axPos val="l"/>
        <c:numFmt formatCode="0.0" sourceLinked="1"/>
        <c:majorTickMark val="out"/>
        <c:minorTickMark val="none"/>
        <c:tickLblPos val="nextTo"/>
        <c:txPr>
          <a:bodyPr rot="-60000000" spcFirstLastPara="0"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p>
        </c:txPr>
        <c:crossAx val="593585680"/>
        <c:crosses val="autoZero"/>
        <c:crossBetween val="between"/>
      </c:valAx>
      <c:spPr>
        <a:noFill/>
        <a:ln>
          <a:noFill/>
        </a:ln>
        <a:effectLst/>
      </c:spPr>
    </c:plotArea>
    <c:plotVisOnly val="1"/>
    <c:dispBlanksAs val="gap"/>
    <c:showDLblsOverMax val="0"/>
  </c:chart>
  <c:spPr>
    <a:solidFill>
      <a:srgbClr val="F5F9F6"/>
    </a:solidFill>
    <a:ln w="12700" cap="flat" cmpd="sng" algn="ctr">
      <a:noFill/>
      <a:prstDash val="dash"/>
      <a:round/>
    </a:ln>
    <a:effectLst/>
  </c:spPr>
  <c:txPr>
    <a:bodyPr/>
    <a:lstStyle/>
    <a:p>
      <a:pPr>
        <a:defRPr lang="en-US" sz="7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66137138580201"/>
          <c:y val="0.146786798825763"/>
          <c:w val="0.906495769593509"/>
          <c:h val="0.678136728236073"/>
        </c:manualLayout>
      </c:layout>
      <c:barChart>
        <c:barDir val="col"/>
        <c:grouping val="clustered"/>
        <c:varyColors val="0"/>
        <c:ser>
          <c:idx val="1"/>
          <c:order val="0"/>
          <c:tx>
            <c:strRef>
              <c:f>Sheet1!$A$2</c:f>
              <c:strCache>
                <c:ptCount val="1"/>
                <c:pt idx="0">
                  <c:v>net Stage 3 over CET1</c:v>
                </c:pt>
              </c:strCache>
            </c:strRef>
          </c:tx>
          <c:spPr>
            <a:solidFill>
              <a:schemeClr val="accent1"/>
            </a:solidFill>
            <a:ln w="9525">
              <a:solidFill>
                <a:srgbClr val="FF7415"/>
              </a:solidFill>
            </a:ln>
          </c:spPr>
          <c:invertIfNegative val="0"/>
          <c:dPt>
            <c:idx val="0"/>
            <c:invertIfNegative val="0"/>
            <c:bubble3D val="0"/>
            <c:spPr>
              <a:solidFill>
                <a:schemeClr val="accent1"/>
              </a:solidFill>
              <a:ln w="9525">
                <a:solidFill>
                  <a:srgbClr val="003841"/>
                </a:solidFill>
              </a:ln>
            </c:spPr>
          </c:dPt>
          <c:dPt>
            <c:idx val="1"/>
            <c:invertIfNegative val="0"/>
            <c:bubble3D val="0"/>
            <c:spPr>
              <a:solidFill>
                <a:srgbClr val="FF7415"/>
              </a:solidFill>
              <a:ln w="9525">
                <a:solidFill>
                  <a:srgbClr val="FF7415"/>
                </a:solidFill>
              </a:ln>
            </c:spPr>
          </c:dPt>
          <c:dLbls>
            <c:dLbl>
              <c:idx val="0"/>
              <c:layout/>
              <c:tx>
                <c:rich>
                  <a:bodyPr rot="0" spcFirstLastPara="0" vertOverflow="ellipsis" vert="horz" wrap="square" lIns="38100" tIns="19050" rIns="38100" bIns="19050" anchor="ctr" anchorCtr="1"/>
                  <a:lstStyle/>
                  <a:p>
                    <a:pPr>
                      <a:defRPr lang="en-US" sz="1800" b="0" i="0" u="none" strike="noStrike" kern="1200" baseline="0">
                        <a:solidFill>
                          <a:sysClr val="windowText" lastClr="000000"/>
                        </a:solidFill>
                        <a:latin typeface="Aptos" pitchFamily="2" charset="0"/>
                        <a:ea typeface="+mn-ea"/>
                        <a:cs typeface="+mn-cs"/>
                      </a:defRPr>
                    </a:pPr>
                    <a:r>
                      <a:rPr lang="en-US"/>
                      <a:t>3,8%</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0">
                    <a:spAutoFit/>
                  </a:bodyPr>
                  <a:lstStyle/>
                  <a:p>
                    <a:pPr algn="ctr" rtl="0">
                      <a:defRPr lang="el-GR" sz="800" b="1" i="0" u="none" strike="noStrike" kern="1200" baseline="0">
                        <a:solidFill>
                          <a:sysClr val="windowText" lastClr="000000"/>
                        </a:solidFill>
                        <a:latin typeface="Aptos" pitchFamily="2" charset="0"/>
                        <a:ea typeface="+mn-ea"/>
                        <a:cs typeface="+mn-cs"/>
                      </a:defRPr>
                    </a:pPr>
                    <a:r>
                      <a:rPr lang="en-US"/>
                      <a:t>2,4%</a:t>
                    </a:r>
                    <a:endParaRPr lang="en-US"/>
                  </a:p>
                </c:rich>
              </c:tx>
              <c:numFmt formatCode="General" sourceLinked="1"/>
              <c:spPr>
                <a:noFill/>
                <a:ln>
                  <a:noFill/>
                </a:ln>
                <a:effectLst/>
              </c:spPr>
              <c:txPr>
                <a:bodyPr rot="0" spcFirstLastPara="0" vertOverflow="ellipsis" vert="horz" wrap="square" lIns="38100" tIns="19050" rIns="38100" bIns="19050" anchor="ctr" anchorCtr="0">
                  <a:spAutoFit/>
                </a:bodyPr>
                <a:lstStyle/>
                <a:p>
                  <a:pPr algn="ctr">
                    <a:defRPr lang="el-GR" sz="800" b="1" i="0" u="none" strike="noStrike" kern="1200" baseline="0">
                      <a:solidFill>
                        <a:sysClr val="windowText" lastClr="000000"/>
                      </a:solidFill>
                      <a:latin typeface="Aptos" pitchFamily="2" charset="0"/>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spAutoFit/>
              </a:bodyPr>
              <a:lstStyle/>
              <a:p>
                <a:pPr>
                  <a:defRPr lang="en-US" sz="800" b="0" i="0" u="none" strike="noStrike" kern="1200" baseline="0">
                    <a:solidFill>
                      <a:sysClr val="windowText" lastClr="000000"/>
                    </a:solidFill>
                    <a:latin typeface="Aptos" pitchFamily="2" charset="0"/>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Sheet1!$B$1:$D$1</c:f>
              <c:strCache>
                <c:ptCount val="2"/>
                <c:pt idx="0">
                  <c:v>Οικονομικό 
έτος 2022</c:v>
                </c:pt>
                <c:pt idx="1">
                  <c:v>Οικονομικό 
έτος 2023</c:v>
                </c:pt>
              </c:strCache>
            </c:strRef>
          </c:cat>
          <c:val>
            <c:numRef>
              <c:f>Sheet1!$B$2:$D$2</c:f>
              <c:numCache>
                <c:formatCode>0.0%</c:formatCode>
                <c:ptCount val="2"/>
                <c:pt idx="0">
                  <c:v>0.0382</c:v>
                </c:pt>
                <c:pt idx="1">
                  <c:v>0.0243</c:v>
                </c:pt>
              </c:numCache>
            </c:numRef>
          </c:val>
        </c:ser>
        <c:dLbls>
          <c:showLegendKey val="0"/>
          <c:showVal val="0"/>
          <c:showCatName val="0"/>
          <c:showSerName val="0"/>
          <c:showPercent val="0"/>
          <c:showBubbleSize val="0"/>
        </c:dLbls>
        <c:gapWidth val="350"/>
        <c:overlap val="100"/>
        <c:axId val="593581368"/>
        <c:axId val="593582544"/>
      </c:barChart>
      <c:catAx>
        <c:axId val="593581368"/>
        <c:scaling>
          <c:orientation val="minMax"/>
        </c:scaling>
        <c:delete val="0"/>
        <c:axPos val="b"/>
        <c:numFmt formatCode="General" sourceLinked="1"/>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1"/>
          <a:lstStyle/>
          <a:p>
            <a:pPr algn="ctr">
              <a:defRPr lang="en-US" sz="600" b="0" i="0" u="none" strike="noStrike" kern="1200" baseline="0">
                <a:solidFill>
                  <a:sysClr val="windowText" lastClr="000000"/>
                </a:solidFill>
                <a:latin typeface="Aptos" pitchFamily="2" charset="0"/>
                <a:ea typeface="+mn-ea"/>
                <a:cs typeface="+mn-cs"/>
              </a:defRPr>
            </a:pPr>
          </a:p>
        </c:txPr>
        <c:crossAx val="593582544"/>
        <c:crosses val="autoZero"/>
        <c:auto val="1"/>
        <c:lblAlgn val="ctr"/>
        <c:lblOffset val="100"/>
        <c:noMultiLvlLbl val="0"/>
      </c:catAx>
      <c:valAx>
        <c:axId val="593582544"/>
        <c:scaling>
          <c:orientation val="minMax"/>
          <c:max val="0.07"/>
          <c:min val="0.01"/>
        </c:scaling>
        <c:delete val="1"/>
        <c:axPos val="l"/>
        <c:numFmt formatCode="0.0%" sourceLinked="1"/>
        <c:majorTickMark val="out"/>
        <c:minorTickMark val="none"/>
        <c:tickLblPos val="nextTo"/>
        <c:txPr>
          <a:bodyPr rot="-60000000" spcFirstLastPara="0" vertOverflow="ellipsis" vert="horz" wrap="square" anchor="ctr" anchorCtr="1"/>
          <a:lstStyle/>
          <a:p>
            <a:pPr>
              <a:defRPr lang="en-US" sz="1800" b="0" i="0" u="none" strike="noStrike" kern="1200" baseline="0">
                <a:solidFill>
                  <a:schemeClr val="tx1"/>
                </a:solidFill>
                <a:latin typeface="+mn-lt"/>
                <a:ea typeface="+mn-ea"/>
                <a:cs typeface="+mn-cs"/>
              </a:defRPr>
            </a:pPr>
          </a:p>
        </c:txPr>
        <c:crossAx val="593581368"/>
        <c:crosses val="autoZero"/>
        <c:crossBetween val="between"/>
      </c:valAx>
      <c:spPr>
        <a:noFill/>
        <a:ln w="25404">
          <a:noFill/>
        </a:ln>
      </c:spPr>
    </c:plotArea>
    <c:plotVisOnly val="1"/>
    <c:dispBlanksAs val="gap"/>
    <c:showDLblsOverMax val="0"/>
  </c:chart>
  <c:spPr>
    <a:solidFill>
      <a:srgbClr val="F5F9F6"/>
    </a:solidFill>
    <a:ln w="6350" cap="flat" cmpd="sng" algn="ctr">
      <a:noFill/>
      <a:prstDash val="solid"/>
      <a:round/>
    </a:ln>
  </c:spPr>
  <c:txPr>
    <a:bodyPr/>
    <a:lstStyle/>
    <a:p>
      <a:pPr>
        <a:defRPr lang="en-US" sz="1800"/>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209249444780941"/>
          <c:y val="0.0306107280225834"/>
          <c:w val="0.964019679926513"/>
          <c:h val="0.813526274111372"/>
        </c:manualLayout>
      </c:layout>
      <c:barChart>
        <c:barDir val="col"/>
        <c:grouping val="stacked"/>
        <c:varyColors val="0"/>
        <c:ser>
          <c:idx val="1"/>
          <c:order val="0"/>
          <c:tx>
            <c:strRef>
              <c:f>Sheet1!$A$2</c:f>
              <c:strCache>
                <c:ptCount val="1"/>
                <c:pt idx="0">
                  <c:v>Uncovered</c:v>
                </c:pt>
              </c:strCache>
            </c:strRef>
          </c:tx>
          <c:spPr>
            <a:solidFill>
              <a:srgbClr val="003841"/>
            </a:solidFill>
            <a:ln>
              <a:solidFill>
                <a:srgbClr val="003841"/>
              </a:solidFill>
            </a:ln>
          </c:spPr>
          <c:invertIfNegative val="0"/>
          <c:dPt>
            <c:idx val="0"/>
            <c:invertIfNegative val="0"/>
            <c:bubble3D val="0"/>
            <c:spPr>
              <a:solidFill>
                <a:srgbClr val="00ADBF"/>
              </a:solidFill>
              <a:ln>
                <a:solidFill>
                  <a:srgbClr val="00ADBF"/>
                </a:solidFill>
              </a:ln>
            </c:spPr>
          </c:dPt>
          <c:dPt>
            <c:idx val="1"/>
            <c:invertIfNegative val="0"/>
            <c:bubble3D val="0"/>
            <c:spPr>
              <a:solidFill>
                <a:srgbClr val="00ADBF"/>
              </a:solidFill>
              <a:ln>
                <a:solidFill>
                  <a:srgbClr val="00ADBF"/>
                </a:solidFill>
              </a:ln>
            </c:spPr>
          </c:dPt>
          <c:dPt>
            <c:idx val="2"/>
            <c:invertIfNegative val="0"/>
            <c:bubble3D val="0"/>
          </c:dPt>
          <c:dPt>
            <c:idx val="3"/>
            <c:invertIfNegative val="0"/>
            <c:bubble3D val="0"/>
            <c:spPr>
              <a:solidFill>
                <a:srgbClr val="FF7415"/>
              </a:solidFill>
              <a:ln>
                <a:solidFill>
                  <a:srgbClr val="FF7415"/>
                </a:solidFill>
              </a:ln>
            </c:spPr>
          </c:dPt>
          <c:dLbls>
            <c:dLbl>
              <c:idx val="0"/>
              <c:layout/>
              <c:tx>
                <c:rich>
                  <a:bodyPr rot="0" spcFirstLastPara="0" vertOverflow="ellipsis" vert="horz" wrap="square" lIns="38100" tIns="19050" rIns="38100" bIns="19050" anchor="ctr" anchorCtr="1"/>
                  <a:lstStyle/>
                  <a:p>
                    <a:pPr>
                      <a:defRPr lang="en-US" sz="1795" b="1" i="0" u="none" strike="noStrike" kern="1200" baseline="0">
                        <a:solidFill>
                          <a:schemeClr val="bg1"/>
                        </a:solidFill>
                        <a:latin typeface="Aptos" pitchFamily="2" charset="0"/>
                        <a:ea typeface="+mn-ea"/>
                        <a:cs typeface="Segoe UI" panose="020B0502040204020203" pitchFamily="34" charset="0"/>
                      </a:defRPr>
                    </a:pPr>
                    <a:r>
                      <a:rPr lang="en-US" sz="700" dirty="0"/>
                      <a:t>82%</a:t>
                    </a:r>
                    <a:endParaRPr lang="en-US" sz="700" dirty="0"/>
                  </a:p>
                </c:rich>
              </c:tx>
              <c:dLblPos val="ctr"/>
              <c:showLegendKey val="0"/>
              <c:showVal val="0"/>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en-US" sz="1795" b="1" i="0" u="none" strike="noStrike" kern="1200" baseline="0">
                        <a:solidFill>
                          <a:schemeClr val="bg1"/>
                        </a:solidFill>
                        <a:latin typeface="Aptos" pitchFamily="2" charset="0"/>
                        <a:ea typeface="+mn-ea"/>
                        <a:cs typeface="Segoe UI" panose="020B0502040204020203" pitchFamily="34" charset="0"/>
                      </a:defRPr>
                    </a:pPr>
                    <a:r>
                      <a:rPr lang="en-US" sz="700" dirty="0"/>
                      <a:t>91%</a:t>
                    </a:r>
                    <a:endParaRPr lang="en-US" sz="700" dirty="0"/>
                  </a:p>
                </c:rich>
              </c:tx>
              <c:dLblPos val="ctr"/>
              <c:showLegendKey val="0"/>
              <c:showVal val="0"/>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en-US" sz="1795" b="1" i="0" u="none" strike="noStrike" kern="1200" baseline="0">
                        <a:solidFill>
                          <a:schemeClr val="bg1"/>
                        </a:solidFill>
                        <a:latin typeface="Aptos" pitchFamily="2" charset="0"/>
                        <a:ea typeface="+mn-ea"/>
                        <a:cs typeface="Segoe UI" panose="020B0502040204020203" pitchFamily="34" charset="0"/>
                      </a:defRPr>
                    </a:pPr>
                    <a:r>
                      <a:rPr lang="en-US" sz="800" b="1" dirty="0">
                        <a:solidFill>
                          <a:schemeClr val="bg1"/>
                        </a:solidFill>
                        <a:latin typeface="Aptos" pitchFamily="2" charset="0"/>
                      </a:rPr>
                      <a:t>87,2%</a:t>
                    </a:r>
                    <a:endParaRPr lang="en-US" sz="800" b="1" dirty="0">
                      <a:solidFill>
                        <a:schemeClr val="bg1"/>
                      </a:solidFill>
                      <a:latin typeface="Aptos" pitchFamily="2" charset="0"/>
                    </a:endParaRPr>
                  </a:p>
                </c:rich>
              </c:tx>
              <c:dLblPos val="ctr"/>
              <c:showLegendKey val="0"/>
              <c:showVal val="0"/>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en-US" sz="1795" b="1" i="0" u="none" strike="noStrike" kern="1200" baseline="0">
                        <a:solidFill>
                          <a:schemeClr val="bg1"/>
                        </a:solidFill>
                        <a:latin typeface="Aptos" pitchFamily="2" charset="0"/>
                        <a:ea typeface="+mn-ea"/>
                        <a:cs typeface="Segoe UI" panose="020B0502040204020203" pitchFamily="34" charset="0"/>
                      </a:defRPr>
                    </a:pPr>
                    <a:r>
                      <a:rPr lang="en-US" sz="800" b="1" dirty="0">
                        <a:solidFill>
                          <a:schemeClr val="bg1"/>
                        </a:solidFill>
                        <a:latin typeface="Aptos" pitchFamily="2" charset="0"/>
                      </a:rPr>
                      <a:t>87,5%</a:t>
                    </a:r>
                    <a:endParaRPr lang="en-US" sz="800" b="1" dirty="0">
                      <a:solidFill>
                        <a:schemeClr val="bg1"/>
                      </a:solidFill>
                      <a:latin typeface="Aptos" pitchFamily="2" charset="0"/>
                    </a:endParaRPr>
                  </a:p>
                </c:rich>
              </c:tx>
              <c:dLblPos val="ctr"/>
              <c:showLegendKey val="0"/>
              <c:showVal val="0"/>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el-GR" sz="800" b="1" i="0" u="none" strike="noStrike" kern="1200" baseline="0">
                    <a:solidFill>
                      <a:schemeClr val="bg1"/>
                    </a:solidFill>
                    <a:latin typeface="Aptos" pitchFamily="2" charset="0"/>
                    <a:ea typeface="+mn-ea"/>
                    <a:cs typeface="Segoe UI" panose="020B0502040204020203" pitchFamily="3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Sheet1!$B$1:$E$1</c:f>
              <c:strCache>
                <c:ptCount val="4"/>
                <c:pt idx="0">
                  <c:v>Λιανική 
Τραπεζική</c:v>
                </c:pt>
                <c:pt idx="1">
                  <c:v>Εταιρική 
Τραπεζική </c:v>
                </c:pt>
                <c:pt idx="2">
                  <c:v>Ελλάδα</c:v>
                </c:pt>
                <c:pt idx="3">
                  <c:v>Όμιλος</c:v>
                </c:pt>
              </c:strCache>
            </c:strRef>
          </c:cat>
          <c:val>
            <c:numRef>
              <c:f>Sheet1!$B$2:$E$2</c:f>
              <c:numCache>
                <c:formatCode>0.0%</c:formatCode>
                <c:ptCount val="4"/>
                <c:pt idx="0">
                  <c:v>0.0427572383401368</c:v>
                </c:pt>
                <c:pt idx="1">
                  <c:v>0.0276111176733578</c:v>
                </c:pt>
                <c:pt idx="2">
                  <c:v>0.0321233108051822</c:v>
                </c:pt>
                <c:pt idx="3">
                  <c:v>0.0327803253785982</c:v>
                </c:pt>
              </c:numCache>
            </c:numRef>
          </c:val>
        </c:ser>
        <c:ser>
          <c:idx val="0"/>
          <c:order val="1"/>
          <c:tx>
            <c:strRef>
              <c:f>Sheet1!$A$3</c:f>
              <c:strCache>
                <c:ptCount val="1"/>
                <c:pt idx="0">
                  <c:v>Covered</c:v>
                </c:pt>
              </c:strCache>
            </c:strRef>
          </c:tx>
          <c:spPr>
            <a:noFill/>
            <a:ln>
              <a:solidFill>
                <a:srgbClr val="00ADBF"/>
              </a:solidFill>
            </a:ln>
          </c:spPr>
          <c:invertIfNegative val="0"/>
          <c:dPt>
            <c:idx val="0"/>
            <c:invertIfNegative val="0"/>
            <c:bubble3D val="0"/>
            <c:spPr>
              <a:solidFill>
                <a:srgbClr val="00CFE7"/>
              </a:solidFill>
              <a:ln>
                <a:solidFill>
                  <a:srgbClr val="00ADBF"/>
                </a:solidFill>
              </a:ln>
            </c:spPr>
          </c:dPt>
          <c:dPt>
            <c:idx val="1"/>
            <c:invertIfNegative val="0"/>
            <c:bubble3D val="0"/>
            <c:spPr>
              <a:solidFill>
                <a:srgbClr val="00CFE7"/>
              </a:solidFill>
              <a:ln>
                <a:solidFill>
                  <a:srgbClr val="00ADBF"/>
                </a:solidFill>
              </a:ln>
            </c:spPr>
          </c:dPt>
          <c:dPt>
            <c:idx val="2"/>
            <c:invertIfNegative val="0"/>
            <c:bubble3D val="0"/>
            <c:spPr>
              <a:solidFill>
                <a:srgbClr val="007B85"/>
              </a:solidFill>
              <a:ln>
                <a:solidFill>
                  <a:srgbClr val="003841"/>
                </a:solidFill>
              </a:ln>
            </c:spPr>
          </c:dPt>
          <c:dPt>
            <c:idx val="3"/>
            <c:invertIfNegative val="0"/>
            <c:bubble3D val="0"/>
            <c:spPr>
              <a:solidFill>
                <a:srgbClr val="FFBA8B"/>
              </a:solidFill>
              <a:ln>
                <a:solidFill>
                  <a:srgbClr val="FF7415"/>
                </a:solidFill>
              </a:ln>
            </c:spPr>
          </c:dPt>
          <c:dLbls>
            <c:delete val="1"/>
          </c:dLbls>
          <c:cat>
            <c:strRef>
              <c:f>Sheet1!$B$1:$E$1</c:f>
              <c:strCache>
                <c:ptCount val="4"/>
                <c:pt idx="0">
                  <c:v>Λιανική 
Τραπεζική</c:v>
                </c:pt>
                <c:pt idx="1">
                  <c:v>Εταιρική 
Τραπεζική </c:v>
                </c:pt>
                <c:pt idx="2">
                  <c:v>Ελλάδα</c:v>
                </c:pt>
                <c:pt idx="3">
                  <c:v>Όμιλος</c:v>
                </c:pt>
              </c:strCache>
            </c:strRef>
          </c:cat>
          <c:val>
            <c:numRef>
              <c:f>Sheet1!$B$3:$E$3</c:f>
              <c:numCache>
                <c:formatCode>0.0%</c:formatCode>
                <c:ptCount val="4"/>
                <c:pt idx="0">
                  <c:v>0.00928405337558252</c:v>
                </c:pt>
                <c:pt idx="1">
                  <c:v>0.00277144608030359</c:v>
                </c:pt>
                <c:pt idx="2">
                  <c:v>0.0047124550278307</c:v>
                </c:pt>
                <c:pt idx="3">
                  <c:v>0.00467678602446894</c:v>
                </c:pt>
              </c:numCache>
            </c:numRef>
          </c:val>
        </c:ser>
        <c:ser>
          <c:idx val="2"/>
          <c:order val="2"/>
          <c:tx>
            <c:strRef>
              <c:f>Sheet1!$A$4</c:f>
              <c:strCache>
                <c:ptCount val="1"/>
                <c:pt idx="0">
                  <c:v>NPEs</c:v>
                </c:pt>
              </c:strCache>
            </c:strRef>
          </c:tx>
          <c:spPr>
            <a:noFill/>
          </c:spPr>
          <c:invertIfNegative val="0"/>
          <c:dLbls>
            <c:dLbl>
              <c:idx val="0"/>
              <c:layout/>
              <c:tx>
                <c:rich>
                  <a:bodyPr rot="0" spcFirstLastPara="0" vertOverflow="ellipsis" vert="horz" wrap="square" lIns="38100" tIns="19050" rIns="38100" bIns="19050" anchor="ctr" anchorCtr="1"/>
                  <a:lstStyle/>
                  <a:p>
                    <a:pPr>
                      <a:defRPr lang="el-GR" sz="800" b="0" i="0" u="none" strike="noStrike" kern="1200" baseline="0">
                        <a:solidFill>
                          <a:sysClr val="windowText" lastClr="000000"/>
                        </a:solidFill>
                        <a:latin typeface="Aptos" pitchFamily="2" charset="0"/>
                        <a:ea typeface="Segoe UI" panose="020B0502040204020203" pitchFamily="34" charset="0"/>
                        <a:cs typeface="Segoe UI" panose="020B0502040204020203" pitchFamily="34" charset="0"/>
                      </a:defRPr>
                    </a:pPr>
                    <a:r>
                      <a:rPr lang="en-US"/>
                      <a:t>5,2%</a:t>
                    </a:r>
                    <a:endParaRPr lang="en-US"/>
                  </a:p>
                </c:rich>
              </c:tx>
              <c:numFmt formatCode="0.0%" sourceLinked="0"/>
              <c:spPr>
                <a:noFill/>
                <a:ln>
                  <a:noFill/>
                </a:ln>
                <a:effectLst/>
              </c:spPr>
              <c:txPr>
                <a:bodyPr rot="0" spcFirstLastPara="0" vertOverflow="ellipsis" vert="horz" wrap="square" lIns="38100" tIns="19050" rIns="38100" bIns="19050" anchor="ctr" anchorCtr="1"/>
                <a:lstStyle/>
                <a:p>
                  <a:pPr>
                    <a:defRPr lang="el-GR" sz="800" b="0" i="0" u="none" strike="noStrike" kern="1200" baseline="0">
                      <a:solidFill>
                        <a:sysClr val="windowText" lastClr="000000"/>
                      </a:solidFill>
                      <a:latin typeface="Aptos" pitchFamily="2" charset="0"/>
                      <a:ea typeface="Segoe UI" panose="020B0502040204020203" pitchFamily="34" charset="0"/>
                      <a:cs typeface="Segoe UI" panose="020B0502040204020203" pitchFamily="34" charset="0"/>
                    </a:defRPr>
                  </a:pPr>
                </a:p>
              </c:txPr>
              <c:dLblPos val="inBase"/>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el-GR" sz="800" b="0" i="0" u="none" strike="noStrike" kern="1200" baseline="0">
                        <a:solidFill>
                          <a:sysClr val="windowText" lastClr="000000"/>
                        </a:solidFill>
                        <a:latin typeface="Aptos" pitchFamily="2" charset="0"/>
                        <a:ea typeface="Segoe UI" panose="020B0502040204020203" pitchFamily="34" charset="0"/>
                        <a:cs typeface="Segoe UI" panose="020B0502040204020203" pitchFamily="34" charset="0"/>
                      </a:defRPr>
                    </a:pPr>
                    <a:r>
                      <a:rPr lang="en-US"/>
                      <a:t>3,0%</a:t>
                    </a:r>
                    <a:endParaRPr lang="en-US"/>
                  </a:p>
                </c:rich>
              </c:tx>
              <c:numFmt formatCode="0.0%" sourceLinked="0"/>
              <c:spPr>
                <a:noFill/>
                <a:ln>
                  <a:noFill/>
                </a:ln>
                <a:effectLst/>
              </c:spPr>
              <c:txPr>
                <a:bodyPr rot="0" spcFirstLastPara="0" vertOverflow="ellipsis" vert="horz" wrap="square" lIns="38100" tIns="19050" rIns="38100" bIns="19050" anchor="ctr" anchorCtr="1"/>
                <a:lstStyle/>
                <a:p>
                  <a:pPr>
                    <a:defRPr lang="el-GR" sz="800" b="0" i="0" u="none" strike="noStrike" kern="1200" baseline="0">
                      <a:solidFill>
                        <a:sysClr val="windowText" lastClr="000000"/>
                      </a:solidFill>
                      <a:latin typeface="Aptos" pitchFamily="2" charset="0"/>
                      <a:ea typeface="Segoe UI" panose="020B0502040204020203" pitchFamily="34" charset="0"/>
                      <a:cs typeface="Segoe UI" panose="020B0502040204020203" pitchFamily="34" charset="0"/>
                    </a:defRPr>
                  </a:pPr>
                </a:p>
              </c:txPr>
              <c:dLblPos val="inBase"/>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el-GR" sz="800" b="1" i="0" u="none" strike="noStrike" kern="1200" baseline="0">
                        <a:solidFill>
                          <a:sysClr val="windowText" lastClr="000000"/>
                        </a:solidFill>
                        <a:latin typeface="Aptos" pitchFamily="2" charset="0"/>
                        <a:ea typeface="Segoe UI" panose="020B0502040204020203" pitchFamily="34" charset="0"/>
                        <a:cs typeface="Segoe UI" panose="020B0502040204020203" pitchFamily="34" charset="0"/>
                      </a:defRPr>
                    </a:pPr>
                    <a:r>
                      <a:rPr lang="en-US"/>
                      <a:t>3,7%</a:t>
                    </a:r>
                    <a:endParaRPr lang="en-US"/>
                  </a:p>
                </c:rich>
              </c:tx>
              <c:numFmt formatCode="0.0%" sourceLinked="0"/>
              <c:spPr>
                <a:noFill/>
                <a:ln>
                  <a:noFill/>
                </a:ln>
                <a:effectLst/>
              </c:spPr>
              <c:txPr>
                <a:bodyPr rot="0" spcFirstLastPara="0" vertOverflow="ellipsis" vert="horz" wrap="square" lIns="38100" tIns="19050" rIns="38100" bIns="19050" anchor="ctr" anchorCtr="1"/>
                <a:lstStyle/>
                <a:p>
                  <a:pPr>
                    <a:defRPr lang="el-GR" sz="800" b="1" i="0" u="none" strike="noStrike" kern="1200" baseline="0">
                      <a:solidFill>
                        <a:sysClr val="windowText" lastClr="000000"/>
                      </a:solidFill>
                      <a:latin typeface="Aptos" pitchFamily="2" charset="0"/>
                      <a:ea typeface="Segoe UI" panose="020B0502040204020203" pitchFamily="34" charset="0"/>
                      <a:cs typeface="Segoe UI" panose="020B0502040204020203" pitchFamily="34" charset="0"/>
                    </a:defRPr>
                  </a:pPr>
                </a:p>
              </c:txPr>
              <c:dLblPos val="inBase"/>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el-GR" sz="800" b="1" i="0" u="none" strike="noStrike" kern="1200" baseline="0">
                        <a:solidFill>
                          <a:sysClr val="windowText" lastClr="000000"/>
                        </a:solidFill>
                        <a:latin typeface="Aptos" pitchFamily="2" charset="0"/>
                        <a:ea typeface="Segoe UI" panose="020B0502040204020203" pitchFamily="34" charset="0"/>
                        <a:cs typeface="Segoe UI" panose="020B0502040204020203" pitchFamily="34" charset="0"/>
                      </a:defRPr>
                    </a:pPr>
                    <a:r>
                      <a:rPr lang="en-US"/>
                      <a:t>3,7%</a:t>
                    </a:r>
                    <a:endParaRPr lang="en-US"/>
                  </a:p>
                </c:rich>
              </c:tx>
              <c:numFmt formatCode="0.0%" sourceLinked="0"/>
              <c:spPr>
                <a:noFill/>
                <a:ln>
                  <a:noFill/>
                </a:ln>
                <a:effectLst/>
              </c:spPr>
              <c:txPr>
                <a:bodyPr rot="0" spcFirstLastPara="0" vertOverflow="ellipsis" vert="horz" wrap="square" lIns="38100" tIns="19050" rIns="38100" bIns="19050" anchor="ctr" anchorCtr="1"/>
                <a:lstStyle/>
                <a:p>
                  <a:pPr>
                    <a:defRPr lang="el-GR" sz="800" b="1" i="0" u="none" strike="noStrike" kern="1200" baseline="0">
                      <a:solidFill>
                        <a:sysClr val="windowText" lastClr="000000"/>
                      </a:solidFill>
                      <a:latin typeface="Aptos" pitchFamily="2" charset="0"/>
                      <a:ea typeface="Segoe UI" panose="020B0502040204020203" pitchFamily="34" charset="0"/>
                      <a:cs typeface="Segoe UI" panose="020B0502040204020203" pitchFamily="34" charset="0"/>
                    </a:defRPr>
                  </a:pPr>
                </a:p>
              </c:txPr>
              <c:dLblPos val="inBase"/>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rot="0" spcFirstLastPara="0" vertOverflow="ellipsis" vert="horz" wrap="square" lIns="38100" tIns="19050" rIns="38100" bIns="19050" anchor="ctr" anchorCtr="1"/>
              <a:lstStyle/>
              <a:p>
                <a:pPr>
                  <a:defRPr lang="el-GR" sz="800" b="0" i="0" u="none" strike="noStrike" kern="1200" baseline="0">
                    <a:solidFill>
                      <a:sysClr val="windowText" lastClr="000000"/>
                    </a:solidFill>
                    <a:latin typeface="Aptos" pitchFamily="2" charset="0"/>
                    <a:ea typeface="Segoe UI" panose="020B0502040204020203" pitchFamily="34" charset="0"/>
                    <a:cs typeface="Segoe UI" panose="020B0502040204020203" pitchFamily="34" charset="0"/>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Sheet1!$B$1:$E$1</c:f>
              <c:strCache>
                <c:ptCount val="4"/>
                <c:pt idx="0">
                  <c:v>Λιανική 
Τραπεζική</c:v>
                </c:pt>
                <c:pt idx="1">
                  <c:v>Εταιρική 
Τραπεζική </c:v>
                </c:pt>
                <c:pt idx="2">
                  <c:v>Ελλάδα</c:v>
                </c:pt>
                <c:pt idx="3">
                  <c:v>Όμιλος</c:v>
                </c:pt>
              </c:strCache>
            </c:strRef>
          </c:cat>
          <c:val>
            <c:numRef>
              <c:f>Sheet1!$B$4:$E$4</c:f>
              <c:numCache>
                <c:formatCode>0%</c:formatCode>
                <c:ptCount val="4"/>
                <c:pt idx="0">
                  <c:v>0.0520412917157193</c:v>
                </c:pt>
                <c:pt idx="1">
                  <c:v>0.0303825637536614</c:v>
                </c:pt>
                <c:pt idx="2" c:formatCode="0.0%">
                  <c:v>0.0368357658330129</c:v>
                </c:pt>
                <c:pt idx="3" c:formatCode="0.0%">
                  <c:v>0.0374571114030672</c:v>
                </c:pt>
              </c:numCache>
            </c:numRef>
          </c:val>
        </c:ser>
        <c:dLbls>
          <c:showLegendKey val="0"/>
          <c:showVal val="0"/>
          <c:showCatName val="0"/>
          <c:showSerName val="0"/>
          <c:showPercent val="0"/>
          <c:showBubbleSize val="0"/>
        </c:dLbls>
        <c:gapWidth val="160"/>
        <c:overlap val="100"/>
        <c:axId val="385332512"/>
        <c:axId val="385332904"/>
      </c:barChart>
      <c:catAx>
        <c:axId val="385332512"/>
        <c:scaling>
          <c:orientation val="minMax"/>
        </c:scaling>
        <c:delete val="0"/>
        <c:axPos val="b"/>
        <c:numFmt formatCode="General" sourceLinked="1"/>
        <c:majorTickMark val="none"/>
        <c:minorTickMark val="none"/>
        <c:tickLblPos val="nextTo"/>
        <c:spPr>
          <a:ln w="9525" cap="flat" cmpd="sng" algn="ctr">
            <a:solidFill>
              <a:srgbClr val="D9D9D9"/>
            </a:solidFill>
            <a:prstDash val="solid"/>
            <a:round/>
          </a:ln>
        </c:spPr>
        <c:txPr>
          <a:bodyPr rot="-60000000" spcFirstLastPara="0" vertOverflow="ellipsis" vert="horz" wrap="square" anchor="ctr" anchorCtr="1"/>
          <a:lstStyle/>
          <a:p>
            <a:pPr>
              <a:defRPr lang="el-GR" sz="600" b="0" i="0" u="none" strike="noStrike" kern="1200" baseline="0">
                <a:solidFill>
                  <a:sysClr val="windowText" lastClr="000000"/>
                </a:solidFill>
                <a:latin typeface="Aptos" pitchFamily="2" charset="0"/>
                <a:ea typeface="Segoe UI" panose="020B0502040204020203" pitchFamily="34" charset="0"/>
                <a:cs typeface="Segoe UI" panose="020B0502040204020203" pitchFamily="34" charset="0"/>
              </a:defRPr>
            </a:pPr>
          </a:p>
        </c:txPr>
        <c:crossAx val="385332904"/>
        <c:crosses val="autoZero"/>
        <c:auto val="1"/>
        <c:lblAlgn val="ctr"/>
        <c:lblOffset val="100"/>
        <c:noMultiLvlLbl val="0"/>
      </c:catAx>
      <c:valAx>
        <c:axId val="385332904"/>
        <c:scaling>
          <c:orientation val="minMax"/>
          <c:max val="0.07"/>
          <c:min val="0"/>
        </c:scaling>
        <c:delete val="1"/>
        <c:axPos val="l"/>
        <c:numFmt formatCode="0.0%" sourceLinked="1"/>
        <c:majorTickMark val="out"/>
        <c:minorTickMark val="none"/>
        <c:tickLblPos val="nextTo"/>
        <c:txPr>
          <a:bodyPr rot="-60000000" spcFirstLastPara="0" vertOverflow="ellipsis" vert="horz" wrap="square" anchor="ctr" anchorCtr="1"/>
          <a:lstStyle/>
          <a:p>
            <a:pPr>
              <a:defRPr lang="en-US" sz="1795" b="0" i="0" u="none" strike="noStrike" kern="1200" baseline="0">
                <a:solidFill>
                  <a:schemeClr val="tx1"/>
                </a:solidFill>
                <a:latin typeface="+mn-lt"/>
                <a:ea typeface="+mn-ea"/>
                <a:cs typeface="+mn-cs"/>
              </a:defRPr>
            </a:pPr>
          </a:p>
        </c:txPr>
        <c:crossAx val="385332512"/>
        <c:crosses val="autoZero"/>
        <c:crossBetween val="between"/>
      </c:valAx>
      <c:spPr>
        <a:noFill/>
        <a:ln w="25400">
          <a:noFill/>
        </a:ln>
      </c:spPr>
    </c:plotArea>
    <c:plotVisOnly val="1"/>
    <c:dispBlanksAs val="gap"/>
    <c:showDLblsOverMax val="0"/>
  </c:chart>
  <c:spPr>
    <a:solidFill>
      <a:srgbClr val="F5F9F6"/>
    </a:solidFill>
    <a:ln w="9525" cap="flat" cmpd="sng" algn="ctr">
      <a:noFill/>
      <a:prstDash val="solid"/>
      <a:round/>
    </a:ln>
  </c:spPr>
  <c:txPr>
    <a:bodyPr/>
    <a:lstStyle/>
    <a:p>
      <a:pPr>
        <a:defRPr lang="en-US" sz="1795"/>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1163102755337"/>
          <c:y val="0.13296975331958"/>
          <c:w val="0.710281381940936"/>
          <c:h val="0.698211930150798"/>
        </c:manualLayout>
      </c:layout>
      <c:barChart>
        <c:barDir val="col"/>
        <c:grouping val="stacked"/>
        <c:varyColors val="0"/>
        <c:ser>
          <c:idx val="0"/>
          <c:order val="0"/>
          <c:tx>
            <c:strRef>
              <c:f>Sheet1!$A$2</c:f>
              <c:strCache>
                <c:ptCount val="1"/>
                <c:pt idx="0">
                  <c:v>ΜΕΑ &gt;90 ημερών (Ελλάδα)</c:v>
                </c:pt>
              </c:strCache>
            </c:strRef>
          </c:tx>
          <c:spPr>
            <a:solidFill>
              <a:schemeClr val="accent1"/>
            </a:solidFill>
            <a:ln>
              <a:noFill/>
            </a:ln>
            <a:effectLst/>
          </c:spPr>
          <c:invertIfNegative val="0"/>
          <c:dPt>
            <c:idx val="4"/>
            <c:invertIfNegative val="0"/>
            <c:bubble3D val="0"/>
            <c:spPr>
              <a:solidFill>
                <a:srgbClr val="FF7415"/>
              </a:solidFill>
              <a:ln>
                <a:solidFill>
                  <a:srgbClr val="FF7415"/>
                </a:solidFill>
              </a:ln>
              <a:effectLst/>
            </c:spPr>
          </c:dPt>
          <c:dLbls>
            <c:dLbl>
              <c:idx val="0"/>
              <c:layout/>
              <c:tx>
                <c:rich>
                  <a:bodyPr rot="0" spcFirstLastPara="1" vertOverflow="ellipsis" vert="horz" wrap="square" lIns="38100" tIns="19050" rIns="38100" bIns="19050" anchor="ctr" anchorCtr="1"/>
                  <a:lstStyle/>
                  <a:p>
                    <a:pPr>
                      <a:defRPr lang="en-US" sz="800" b="0" i="0" u="none" strike="noStrike" kern="1200" baseline="0">
                        <a:solidFill>
                          <a:schemeClr val="bg1"/>
                        </a:solidFill>
                        <a:latin typeface="+mn-lt"/>
                        <a:ea typeface="+mn-ea"/>
                        <a:cs typeface="+mn-cs"/>
                      </a:defRPr>
                    </a:pPr>
                    <a:r>
                      <a:rPr lang="en-US"/>
                      <a:t>0,9</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US" sz="800" b="0" i="0" u="none" strike="noStrike" kern="1200" baseline="0">
                        <a:solidFill>
                          <a:schemeClr val="bg1"/>
                        </a:solidFill>
                        <a:latin typeface="+mn-lt"/>
                        <a:ea typeface="+mn-ea"/>
                        <a:cs typeface="+mn-cs"/>
                      </a:defRPr>
                    </a:pPr>
                    <a:r>
                      <a:rPr lang="en-US"/>
                      <a:t>1,0</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a:defRPr lang="en-US" sz="800" b="0" i="0" u="none" strike="noStrike" kern="1200" baseline="0">
                        <a:solidFill>
                          <a:schemeClr val="bg1"/>
                        </a:solidFill>
                        <a:latin typeface="+mn-lt"/>
                        <a:ea typeface="+mn-ea"/>
                        <a:cs typeface="+mn-cs"/>
                      </a:defRPr>
                    </a:pPr>
                    <a:r>
                      <a:rPr lang="en-US"/>
                      <a:t>0,9</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pPr>
                      <a:defRPr lang="en-US" sz="800" b="0" i="0" u="none" strike="noStrike" kern="1200" baseline="0">
                        <a:solidFill>
                          <a:schemeClr val="bg1"/>
                        </a:solidFill>
                        <a:latin typeface="+mn-lt"/>
                        <a:ea typeface="+mn-ea"/>
                        <a:cs typeface="+mn-cs"/>
                      </a:defRPr>
                    </a:pPr>
                    <a:r>
                      <a:rPr lang="en-US"/>
                      <a:t>0,5</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1.17600469963106e-16"/>
                  <c:y val="0"/>
                </c:manualLayout>
              </c:layout>
              <c:tx>
                <c:rich>
                  <a:bodyPr rot="0" spcFirstLastPara="1" vertOverflow="ellipsis" vert="horz" wrap="square" lIns="38100" tIns="19050" rIns="38100" bIns="19050" anchor="ctr" anchorCtr="1">
                    <a:spAutoFit/>
                  </a:bodyPr>
                  <a:lstStyle/>
                  <a:p>
                    <a:pPr>
                      <a:defRPr lang="en-US" sz="800" b="1" i="0" u="none" strike="noStrike" kern="1200" baseline="0">
                        <a:solidFill>
                          <a:schemeClr val="bg1"/>
                        </a:solidFill>
                        <a:latin typeface="+mn-lt"/>
                        <a:ea typeface="+mn-ea"/>
                        <a:cs typeface="+mn-cs"/>
                      </a:defRPr>
                    </a:pPr>
                    <a:r>
                      <a:rPr lang="en-US"/>
                      <a:t>0,5</a:t>
                    </a:r>
                    <a:endParaRPr lang="en-US"/>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lang="en-US" sz="800" b="1" i="0" u="none" strike="noStrike" kern="1200" baseline="0">
                      <a:solidFill>
                        <a:schemeClr val="bg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bg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Sheet1!$B$1:$AJ$1</c:f>
              <c:strCache>
                <c:ptCount val="5"/>
                <c:pt idx="0">
                  <c:v>Δ' τρίμηνο
2022</c:v>
                </c:pt>
                <c:pt idx="1">
                  <c:v>Α' τρίμηνο
2023</c:v>
                </c:pt>
                <c:pt idx="2">
                  <c:v>Β' τρίμηνο
2023</c:v>
                </c:pt>
                <c:pt idx="3">
                  <c:v>Γ' τρίμηνο
2023</c:v>
                </c:pt>
                <c:pt idx="4">
                  <c:v>Δ' τρίμηνο
2023</c:v>
                </c:pt>
              </c:strCache>
            </c:strRef>
          </c:cat>
          <c:val>
            <c:numRef>
              <c:f>Sheet1!$B$2:$AJ$2</c:f>
              <c:numCache>
                <c:formatCode>0.000</c:formatCode>
                <c:ptCount val="5"/>
                <c:pt idx="0">
                  <c:v>0.942</c:v>
                </c:pt>
                <c:pt idx="1">
                  <c:v>0.988</c:v>
                </c:pt>
                <c:pt idx="2">
                  <c:v>0.899</c:v>
                </c:pt>
                <c:pt idx="3">
                  <c:v>0.543</c:v>
                </c:pt>
                <c:pt idx="4">
                  <c:v>0.496</c:v>
                </c:pt>
              </c:numCache>
            </c:numRef>
          </c:val>
        </c:ser>
        <c:ser>
          <c:idx val="1"/>
          <c:order val="1"/>
          <c:tx>
            <c:strRef>
              <c:f>Sheet1!$A$3</c:f>
              <c:strCache>
                <c:ptCount val="1"/>
                <c:pt idx="0">
                  <c:v>Ρυθμισμένα ΜΕΑ (FNPEs) &gt;30 ημερών &amp; λοιπά απομειωμένα ανοίγματα</c:v>
                </c:pt>
              </c:strCache>
            </c:strRef>
          </c:tx>
          <c:spPr>
            <a:solidFill>
              <a:schemeClr val="accent2"/>
            </a:solidFill>
            <a:ln>
              <a:noFill/>
            </a:ln>
            <a:effectLst/>
          </c:spPr>
          <c:invertIfNegative val="0"/>
          <c:dPt>
            <c:idx val="4"/>
            <c:invertIfNegative val="0"/>
            <c:bubble3D val="0"/>
            <c:spPr>
              <a:solidFill>
                <a:srgbClr val="FF9147"/>
              </a:solidFill>
              <a:ln>
                <a:solidFill>
                  <a:srgbClr val="FF9147"/>
                </a:solidFill>
              </a:ln>
              <a:effectLst/>
            </c:spPr>
          </c:dPt>
          <c:dLbls>
            <c:dLbl>
              <c:idx val="0"/>
              <c:layout>
                <c:manualLayout>
                  <c:x val="0.000883085405535404"/>
                  <c:y val="0.00749057521942289"/>
                </c:manualLayout>
              </c:layout>
              <c:tx>
                <c:rich>
                  <a:bodyPr rot="0" spcFirstLastPara="1" vertOverflow="ellipsis" vert="horz" wrap="square" lIns="38100" tIns="19050" rIns="38100" bIns="19050" anchor="ctr" anchorCtr="1"/>
                  <a:lstStyle/>
                  <a:p>
                    <a:pPr>
                      <a:defRPr lang="en-US" sz="800" b="0" i="0" u="none" strike="noStrike" kern="1200" baseline="0">
                        <a:solidFill>
                          <a:schemeClr val="bg1"/>
                        </a:solidFill>
                        <a:latin typeface="+mn-lt"/>
                        <a:ea typeface="+mn-ea"/>
                        <a:cs typeface="+mn-cs"/>
                      </a:defRPr>
                    </a:pPr>
                    <a:r>
                      <a:rPr lang="en-US"/>
                      <a:t>0,2</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32435356556299"/>
                  <c:y val="-6.82543616811198e-17"/>
                </c:manualLayout>
              </c:layout>
              <c:tx>
                <c:rich>
                  <a:bodyPr rot="0" spcFirstLastPara="1" vertOverflow="ellipsis" vert="horz" wrap="square" lIns="38100" tIns="19050" rIns="38100" bIns="19050" anchor="ctr" anchorCtr="1"/>
                  <a:lstStyle/>
                  <a:p>
                    <a:pPr>
                      <a:defRPr lang="en-US" sz="800" b="0" i="0" u="none" strike="noStrike" kern="1200" baseline="0">
                        <a:solidFill>
                          <a:schemeClr val="bg1"/>
                        </a:solidFill>
                        <a:latin typeface="+mn-lt"/>
                        <a:ea typeface="+mn-ea"/>
                        <a:cs typeface="+mn-cs"/>
                      </a:defRPr>
                    </a:pPr>
                    <a:r>
                      <a:rPr lang="en-US"/>
                      <a:t>0,2</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72105970248664"/>
                  <c:y val="-6.82543616811198e-17"/>
                </c:manualLayout>
              </c:layout>
              <c:tx>
                <c:rich>
                  <a:bodyPr rot="0" spcFirstLastPara="1" vertOverflow="ellipsis" vert="horz" wrap="square" lIns="38100" tIns="19050" rIns="38100" bIns="19050" anchor="ctr" anchorCtr="1"/>
                  <a:lstStyle/>
                  <a:p>
                    <a:pPr>
                      <a:defRPr lang="en-US" sz="800" b="0" i="0" u="none" strike="noStrike" kern="1200" baseline="0">
                        <a:solidFill>
                          <a:schemeClr val="bg1"/>
                        </a:solidFill>
                        <a:latin typeface="+mn-lt"/>
                        <a:ea typeface="+mn-ea"/>
                        <a:cs typeface="+mn-cs"/>
                      </a:defRPr>
                    </a:pPr>
                    <a:r>
                      <a:rPr lang="en-US"/>
                      <a:t>0,2</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77331866939368"/>
                  <c:y val="0"/>
                </c:manualLayout>
              </c:layout>
              <c:tx>
                <c:rich>
                  <a:bodyPr rot="0" spcFirstLastPara="1" vertOverflow="ellipsis" vert="horz" wrap="square" lIns="38100" tIns="19050" rIns="38100" bIns="19050" anchor="ctr" anchorCtr="1"/>
                  <a:lstStyle/>
                  <a:p>
                    <a:pPr>
                      <a:defRPr lang="en-US" sz="800" b="0" i="0" u="none" strike="noStrike" kern="1200" baseline="0">
                        <a:solidFill>
                          <a:schemeClr val="bg1"/>
                        </a:solidFill>
                        <a:latin typeface="+mn-lt"/>
                        <a:ea typeface="+mn-ea"/>
                        <a:cs typeface="+mn-cs"/>
                      </a:defRPr>
                    </a:pPr>
                    <a:r>
                      <a:rPr lang="en-US"/>
                      <a:t>0,1</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0327501872251678"/>
                  <c:y val="0"/>
                </c:manualLayout>
              </c:layout>
              <c:tx>
                <c:rich>
                  <a:bodyPr rot="0" spcFirstLastPara="1" vertOverflow="ellipsis" vert="horz" wrap="square" lIns="38100" tIns="19050" rIns="38100" bIns="19050" anchor="ctr" anchorCtr="1">
                    <a:spAutoFit/>
                  </a:bodyPr>
                  <a:lstStyle/>
                  <a:p>
                    <a:pPr>
                      <a:defRPr lang="en-US" sz="800" b="1" i="0" u="none" strike="noStrike" kern="1200" baseline="0">
                        <a:solidFill>
                          <a:schemeClr val="bg1"/>
                        </a:solidFill>
                        <a:latin typeface="+mn-lt"/>
                        <a:ea typeface="+mn-ea"/>
                        <a:cs typeface="+mn-cs"/>
                      </a:defRPr>
                    </a:pPr>
                    <a:r>
                      <a:rPr lang="en-US"/>
                      <a:t>0,2</a:t>
                    </a:r>
                    <a:endParaRPr lang="en-US"/>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lang="en-US" sz="800" b="1" i="0" u="none" strike="noStrike" kern="1200" baseline="0">
                      <a:solidFill>
                        <a:schemeClr val="bg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bg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Sheet1!$B$1:$AJ$1</c:f>
              <c:strCache>
                <c:ptCount val="5"/>
                <c:pt idx="0">
                  <c:v>Δ' τρίμηνο
2022</c:v>
                </c:pt>
                <c:pt idx="1">
                  <c:v>Α' τρίμηνο
2023</c:v>
                </c:pt>
                <c:pt idx="2">
                  <c:v>Β' τρίμηνο
2023</c:v>
                </c:pt>
                <c:pt idx="3">
                  <c:v>Γ' τρίμηνο
2023</c:v>
                </c:pt>
                <c:pt idx="4">
                  <c:v>Δ' τρίμηνο
2023</c:v>
                </c:pt>
              </c:strCache>
            </c:strRef>
          </c:cat>
          <c:val>
            <c:numRef>
              <c:f>Sheet1!$B$3:$AJ$3</c:f>
              <c:numCache>
                <c:formatCode>0.000</c:formatCode>
                <c:ptCount val="5"/>
                <c:pt idx="0">
                  <c:v>0.157</c:v>
                </c:pt>
                <c:pt idx="1">
                  <c:v>0.1684</c:v>
                </c:pt>
                <c:pt idx="2">
                  <c:v>0.186</c:v>
                </c:pt>
                <c:pt idx="3">
                  <c:v>0.0929999999999999</c:v>
                </c:pt>
                <c:pt idx="4">
                  <c:v>0.153</c:v>
                </c:pt>
              </c:numCache>
            </c:numRef>
          </c:val>
        </c:ser>
        <c:ser>
          <c:idx val="2"/>
          <c:order val="2"/>
          <c:tx>
            <c:strRef>
              <c:f>Sheet1!$A$4</c:f>
              <c:strCache>
                <c:ptCount val="1"/>
                <c:pt idx="0">
                  <c:v>Ρυθμισμένα ΜΕΑ (FNPEs) &lt;30 ημερών</c:v>
                </c:pt>
              </c:strCache>
            </c:strRef>
          </c:tx>
          <c:spPr>
            <a:solidFill>
              <a:schemeClr val="accent3"/>
            </a:solidFill>
            <a:ln>
              <a:noFill/>
            </a:ln>
            <a:effectLst/>
          </c:spPr>
          <c:invertIfNegative val="0"/>
          <c:dPt>
            <c:idx val="4"/>
            <c:invertIfNegative val="0"/>
            <c:bubble3D val="0"/>
            <c:spPr>
              <a:solidFill>
                <a:srgbClr val="FFBA8B"/>
              </a:solidFill>
              <a:ln>
                <a:solidFill>
                  <a:srgbClr val="FFBA8B"/>
                </a:solidFill>
              </a:ln>
              <a:effectLst/>
            </c:spPr>
          </c:dPt>
          <c:dLbls>
            <c:dLbl>
              <c:idx val="0"/>
              <c:layout/>
              <c:tx>
                <c:rich>
                  <a:bodyPr rot="0" spcFirstLastPara="0" vertOverflow="ellipsis" vert="horz" wrap="square" lIns="38100" tIns="19050" rIns="38100" bIns="19050" anchor="ctr" anchorCtr="1"/>
                  <a:lstStyle/>
                  <a:p>
                    <a:pPr>
                      <a:defRPr lang="en-US" sz="800" b="0" i="0" u="none" strike="noStrike" kern="1200" baseline="0">
                        <a:solidFill>
                          <a:schemeClr val="bg1"/>
                        </a:solidFill>
                        <a:latin typeface="+mn-lt"/>
                        <a:ea typeface="+mn-ea"/>
                        <a:cs typeface="+mn-cs"/>
                      </a:defRPr>
                    </a:pPr>
                    <a:r>
                      <a:rPr lang="en-US"/>
                      <a:t>0,5</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en-US" sz="800" b="0" i="0" u="none" strike="noStrike" kern="1200" baseline="0">
                        <a:solidFill>
                          <a:schemeClr val="bg1"/>
                        </a:solidFill>
                        <a:latin typeface="+mn-lt"/>
                        <a:ea typeface="+mn-ea"/>
                        <a:cs typeface="+mn-cs"/>
                      </a:defRPr>
                    </a:pPr>
                    <a:r>
                      <a:rPr lang="en-US"/>
                      <a:t>0,5</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en-US" sz="800" b="0" i="0" u="none" strike="noStrike" kern="1200" baseline="0">
                        <a:solidFill>
                          <a:schemeClr val="bg1"/>
                        </a:solidFill>
                        <a:latin typeface="+mn-lt"/>
                        <a:ea typeface="+mn-ea"/>
                        <a:cs typeface="+mn-cs"/>
                      </a:defRPr>
                    </a:pPr>
                    <a:r>
                      <a:rPr lang="en-US"/>
                      <a:t>0,6</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en-US" sz="800" b="0" i="0" u="none" strike="noStrike" kern="1200" baseline="0">
                        <a:solidFill>
                          <a:schemeClr val="bg1"/>
                        </a:solidFill>
                        <a:latin typeface="+mn-lt"/>
                        <a:ea typeface="+mn-ea"/>
                        <a:cs typeface="+mn-cs"/>
                      </a:defRPr>
                    </a:pPr>
                    <a:r>
                      <a:rPr lang="en-US"/>
                      <a:t>0,5</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0"/>
                  <c:y val="-6.82543616811198e-17"/>
                </c:manualLayout>
              </c:layout>
              <c:tx>
                <c:rich>
                  <a:bodyPr rot="0" spcFirstLastPara="0" vertOverflow="ellipsis" vert="horz" wrap="square" lIns="38100" tIns="19050" rIns="38100" bIns="19050" anchor="ctr" anchorCtr="1">
                    <a:spAutoFit/>
                  </a:bodyPr>
                  <a:lstStyle/>
                  <a:p>
                    <a:pPr>
                      <a:defRPr lang="en-US" sz="800" b="1" i="0" u="none" strike="noStrike" kern="1200" baseline="0">
                        <a:solidFill>
                          <a:schemeClr val="bg1"/>
                        </a:solidFill>
                        <a:latin typeface="+mn-lt"/>
                        <a:ea typeface="+mn-ea"/>
                        <a:cs typeface="+mn-cs"/>
                      </a:defRPr>
                    </a:pPr>
                    <a:r>
                      <a:rPr lang="en-US"/>
                      <a:t>0,6</a:t>
                    </a:r>
                    <a:endParaRPr lang="en-US"/>
                  </a:p>
                </c:rich>
              </c:tx>
              <c:numFmt formatCode="#,##0.0" sourceLinked="0"/>
              <c:spPr>
                <a:noFill/>
                <a:ln>
                  <a:noFill/>
                </a:ln>
                <a:effectLst/>
              </c:spPr>
              <c:txPr>
                <a:bodyPr rot="0" spcFirstLastPara="0" vertOverflow="ellipsis" vert="horz" wrap="square" lIns="38100" tIns="19050" rIns="38100" bIns="19050" anchor="ctr" anchorCtr="1">
                  <a:spAutoFit/>
                </a:bodyPr>
                <a:lstStyle/>
                <a:p>
                  <a:pPr>
                    <a:defRPr lang="en-US" sz="800" b="1" i="0" u="none" strike="noStrike" kern="1200" baseline="0">
                      <a:solidFill>
                        <a:schemeClr val="bg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spAutoFit/>
              </a:bodyPr>
              <a:lstStyle/>
              <a:p>
                <a:pPr>
                  <a:defRPr lang="en-US" sz="800" b="0" i="0" u="none" strike="noStrike" kern="1200" baseline="0">
                    <a:solidFill>
                      <a:schemeClr val="bg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Sheet1!$B$1:$AJ$1</c:f>
              <c:strCache>
                <c:ptCount val="5"/>
                <c:pt idx="0">
                  <c:v>Δ' τρίμηνο
2022</c:v>
                </c:pt>
                <c:pt idx="1">
                  <c:v>Α' τρίμηνο
2023</c:v>
                </c:pt>
                <c:pt idx="2">
                  <c:v>Β' τρίμηνο
2023</c:v>
                </c:pt>
                <c:pt idx="3">
                  <c:v>Γ' τρίμηνο
2023</c:v>
                </c:pt>
                <c:pt idx="4">
                  <c:v>Δ' τρίμηνο
2023</c:v>
                </c:pt>
              </c:strCache>
            </c:strRef>
          </c:cat>
          <c:val>
            <c:numRef>
              <c:f>Sheet1!$B$4:$AJ$4</c:f>
              <c:numCache>
                <c:formatCode>0.000</c:formatCode>
                <c:ptCount val="5"/>
                <c:pt idx="0">
                  <c:v>0.548</c:v>
                </c:pt>
                <c:pt idx="1">
                  <c:v>0.4876</c:v>
                </c:pt>
                <c:pt idx="2">
                  <c:v>0.601</c:v>
                </c:pt>
                <c:pt idx="3">
                  <c:v>0.512</c:v>
                </c:pt>
                <c:pt idx="4">
                  <c:v>0.551</c:v>
                </c:pt>
              </c:numCache>
            </c:numRef>
          </c:val>
        </c:ser>
        <c:ser>
          <c:idx val="3"/>
          <c:order val="3"/>
          <c:tx>
            <c:strRef>
              <c:f>Sheet1!$A$5</c:f>
              <c:strCache>
                <c:ptCount val="1"/>
                <c:pt idx="0">
                  <c:v>ΜΕΑ (διεθνείς δρ/τες)</c:v>
                </c:pt>
              </c:strCache>
            </c:strRef>
          </c:tx>
          <c:spPr>
            <a:solidFill>
              <a:srgbClr val="00CFE7"/>
            </a:solidFill>
            <a:ln>
              <a:noFill/>
            </a:ln>
          </c:spPr>
          <c:invertIfNegative val="0"/>
          <c:dPt>
            <c:idx val="4"/>
            <c:invertIfNegative val="0"/>
            <c:bubble3D val="0"/>
            <c:spPr>
              <a:solidFill>
                <a:srgbClr val="FFD8BD"/>
              </a:solidFill>
              <a:ln>
                <a:solidFill>
                  <a:srgbClr val="FFD8BD"/>
                </a:solidFill>
              </a:ln>
            </c:spPr>
          </c:dPt>
          <c:dLbls>
            <c:dLbl>
              <c:idx val="0"/>
              <c:layout/>
              <c:tx>
                <c:rich>
                  <a:bodyPr rot="0" spcFirstLastPara="0" vertOverflow="ellipsis" vert="horz" wrap="square" lIns="38100" tIns="19050" rIns="38100" bIns="19050" anchor="ctr" anchorCtr="1"/>
                  <a:lstStyle/>
                  <a:p>
                    <a:pPr>
                      <a:defRPr lang="en-US" sz="800" b="0" i="0" u="none" strike="noStrike" kern="1200" baseline="0">
                        <a:solidFill>
                          <a:schemeClr val="bg1"/>
                        </a:solidFill>
                        <a:latin typeface="Aptos" pitchFamily="2" charset="0"/>
                        <a:ea typeface="+mn-ea"/>
                        <a:cs typeface="+mn-cs"/>
                      </a:defRPr>
                    </a:pPr>
                    <a:r>
                      <a:rPr lang="en-US"/>
                      <a:t>0,1</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en-US" sz="800" b="0" i="0" u="none" strike="noStrike" kern="1200" baseline="0">
                        <a:solidFill>
                          <a:schemeClr val="bg1"/>
                        </a:solidFill>
                        <a:latin typeface="Aptos" pitchFamily="2" charset="0"/>
                        <a:ea typeface="+mn-ea"/>
                        <a:cs typeface="+mn-cs"/>
                      </a:defRPr>
                    </a:pPr>
                    <a:r>
                      <a:rPr lang="en-US"/>
                      <a:t>0,1</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en-US" sz="800" b="0" i="0" u="none" strike="noStrike" kern="1200" baseline="0">
                        <a:solidFill>
                          <a:schemeClr val="bg1"/>
                        </a:solidFill>
                        <a:latin typeface="Aptos" pitchFamily="2" charset="0"/>
                        <a:ea typeface="+mn-ea"/>
                        <a:cs typeface="+mn-cs"/>
                      </a:defRPr>
                    </a:pPr>
                    <a:r>
                      <a:rPr lang="en-US"/>
                      <a:t>0,1</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en-US" sz="800" b="0" i="0" u="none" strike="noStrike" kern="1200" baseline="0">
                        <a:solidFill>
                          <a:schemeClr val="bg1"/>
                        </a:solidFill>
                        <a:latin typeface="Aptos" pitchFamily="2" charset="0"/>
                        <a:ea typeface="+mn-ea"/>
                        <a:cs typeface="+mn-cs"/>
                      </a:defRPr>
                    </a:pPr>
                    <a:r>
                      <a:rPr lang="en-US"/>
                      <a:t>0,1</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0"/>
                  <c:y val="0.00744601638123604"/>
                </c:manualLayout>
              </c:layout>
              <c:tx>
                <c:rich>
                  <a:bodyPr rot="0" spcFirstLastPara="0" vertOverflow="ellipsis" vert="horz" wrap="square" lIns="38100" tIns="19050" rIns="38100" bIns="19050" anchor="ctr" anchorCtr="1">
                    <a:spAutoFit/>
                  </a:bodyPr>
                  <a:lstStyle/>
                  <a:p>
                    <a:pPr>
                      <a:defRPr lang="en-US" sz="800" b="1" i="0" u="none" strike="noStrike" kern="1200" baseline="0">
                        <a:solidFill>
                          <a:schemeClr val="bg1"/>
                        </a:solidFill>
                        <a:latin typeface="Aptos" pitchFamily="2" charset="0"/>
                        <a:ea typeface="+mn-ea"/>
                        <a:cs typeface="+mn-cs"/>
                      </a:defRPr>
                    </a:pPr>
                    <a:r>
                      <a:rPr lang="en-US"/>
                      <a:t>0,1</a:t>
                    </a:r>
                    <a:endParaRPr lang="en-US"/>
                  </a:p>
                </c:rich>
              </c:tx>
              <c:numFmt formatCode="#,##0.0" sourceLinked="0"/>
              <c:spPr>
                <a:noFill/>
                <a:ln>
                  <a:noFill/>
                </a:ln>
                <a:effectLst/>
              </c:spPr>
              <c:txPr>
                <a:bodyPr rot="0" spcFirstLastPara="0" vertOverflow="ellipsis" vert="horz" wrap="square" lIns="38100" tIns="19050" rIns="38100" bIns="19050" anchor="ctr" anchorCtr="1">
                  <a:spAutoFit/>
                </a:bodyPr>
                <a:lstStyle/>
                <a:p>
                  <a:pPr>
                    <a:defRPr lang="en-US" sz="800" b="1" i="0" u="none" strike="noStrike" kern="1200" baseline="0">
                      <a:solidFill>
                        <a:schemeClr val="bg1"/>
                      </a:solidFill>
                      <a:latin typeface="Aptos" pitchFamily="2" charset="0"/>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spAutoFit/>
              </a:bodyPr>
              <a:lstStyle/>
              <a:p>
                <a:pPr>
                  <a:defRPr lang="en-US" sz="800" b="0" i="0" u="none" strike="noStrike" kern="1200" baseline="0">
                    <a:solidFill>
                      <a:schemeClr val="bg1"/>
                    </a:solidFill>
                    <a:latin typeface="Aptos" pitchFamily="2" charset="0"/>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Sheet1!$B$1:$AJ$1</c:f>
              <c:strCache>
                <c:ptCount val="5"/>
                <c:pt idx="0">
                  <c:v>Δ' τρίμηνο
2022</c:v>
                </c:pt>
                <c:pt idx="1">
                  <c:v>Α' τρίμηνο
2023</c:v>
                </c:pt>
                <c:pt idx="2">
                  <c:v>Β' τρίμηνο
2023</c:v>
                </c:pt>
                <c:pt idx="3">
                  <c:v>Γ' τρίμηνο
2023</c:v>
                </c:pt>
                <c:pt idx="4">
                  <c:v>Δ' τρίμηνο
2023</c:v>
                </c:pt>
              </c:strCache>
            </c:strRef>
          </c:cat>
          <c:val>
            <c:numRef>
              <c:f>Sheet1!$B$5:$AJ$5</c:f>
              <c:numCache>
                <c:formatCode>0.000</c:formatCode>
                <c:ptCount val="5"/>
                <c:pt idx="0">
                  <c:v>0.12811977268954</c:v>
                </c:pt>
                <c:pt idx="1">
                  <c:v>0.12787666904413</c:v>
                </c:pt>
                <c:pt idx="2">
                  <c:v>0.12010862830373</c:v>
                </c:pt>
                <c:pt idx="3">
                  <c:v>0.1097257474951</c:v>
                </c:pt>
                <c:pt idx="4">
                  <c:v>0.085</c:v>
                </c:pt>
              </c:numCache>
            </c:numRef>
          </c:val>
        </c:ser>
        <c:ser>
          <c:idx val="4"/>
          <c:order val="4"/>
          <c:tx>
            <c:strRef>
              <c:f>Sheet1!$A$6</c:f>
              <c:strCache>
                <c:ptCount val="1"/>
                <c:pt idx="0">
                  <c:v>ΜΕΑ (Όμιλος)</c:v>
                </c:pt>
              </c:strCache>
            </c:strRef>
          </c:tx>
          <c:spPr>
            <a:noFill/>
            <a:ln>
              <a:noFill/>
            </a:ln>
          </c:spPr>
          <c:invertIfNegative val="0"/>
          <c:dLbls>
            <c:dLbl>
              <c:idx val="0"/>
              <c:layout/>
              <c:tx>
                <c:rich>
                  <a:bodyPr rot="0" spcFirstLastPara="0" vertOverflow="ellipsis" vert="horz" wrap="square" lIns="38100" tIns="19050" rIns="38100" bIns="19050" anchor="ctr" anchorCtr="1"/>
                  <a:lstStyle/>
                  <a:p>
                    <a:pPr>
                      <a:defRPr lang="en-US" sz="800" b="0" i="0" u="none" strike="noStrike" kern="1200" baseline="0">
                        <a:solidFill>
                          <a:sysClr val="windowText" lastClr="000000"/>
                        </a:solidFill>
                        <a:latin typeface="Aptos" pitchFamily="2" charset="0"/>
                        <a:ea typeface="+mn-ea"/>
                        <a:cs typeface="+mn-cs"/>
                      </a:defRPr>
                    </a:pPr>
                    <a:r>
                      <a:rPr lang="en-US"/>
                      <a:t>1,8</a:t>
                    </a:r>
                    <a:endParaRPr lang="en-US"/>
                  </a:p>
                </c:rich>
              </c:tx>
              <c:dLblPos val="inBase"/>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en-US" sz="800" b="0" i="0" u="none" strike="noStrike" kern="1200" baseline="0">
                        <a:solidFill>
                          <a:sysClr val="windowText" lastClr="000000"/>
                        </a:solidFill>
                        <a:latin typeface="Aptos" pitchFamily="2" charset="0"/>
                        <a:ea typeface="+mn-ea"/>
                        <a:cs typeface="+mn-cs"/>
                      </a:defRPr>
                    </a:pPr>
                    <a:r>
                      <a:rPr lang="en-US"/>
                      <a:t>1,8</a:t>
                    </a:r>
                    <a:endParaRPr lang="en-US"/>
                  </a:p>
                </c:rich>
              </c:tx>
              <c:dLblPos val="inBase"/>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en-US" sz="800" b="0" i="0" u="none" strike="noStrike" kern="1200" baseline="0">
                        <a:solidFill>
                          <a:sysClr val="windowText" lastClr="000000"/>
                        </a:solidFill>
                        <a:latin typeface="Aptos" pitchFamily="2" charset="0"/>
                        <a:ea typeface="+mn-ea"/>
                        <a:cs typeface="+mn-cs"/>
                      </a:defRPr>
                    </a:pPr>
                    <a:r>
                      <a:rPr lang="en-US"/>
                      <a:t>1,8</a:t>
                    </a:r>
                    <a:endParaRPr lang="en-US"/>
                  </a:p>
                </c:rich>
              </c:tx>
              <c:dLblPos val="inBase"/>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en-US" sz="800" b="0" i="0" u="none" strike="noStrike" kern="1200" baseline="0">
                        <a:solidFill>
                          <a:sysClr val="windowText" lastClr="000000"/>
                        </a:solidFill>
                        <a:latin typeface="Aptos" pitchFamily="2" charset="0"/>
                        <a:ea typeface="+mn-ea"/>
                        <a:cs typeface="+mn-cs"/>
                      </a:defRPr>
                    </a:pPr>
                    <a:r>
                      <a:rPr lang="en-US"/>
                      <a:t>1,3</a:t>
                    </a:r>
                    <a:endParaRPr lang="en-US"/>
                  </a:p>
                </c:rich>
              </c:tx>
              <c:dLblPos val="inBase"/>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spAutoFit/>
                  </a:bodyPr>
                  <a:lstStyle/>
                  <a:p>
                    <a:pPr>
                      <a:defRPr lang="en-US" sz="800" b="1" i="0" u="none" strike="noStrike" kern="1200" baseline="0">
                        <a:solidFill>
                          <a:sysClr val="windowText" lastClr="000000"/>
                        </a:solidFill>
                        <a:latin typeface="Aptos" pitchFamily="2" charset="0"/>
                        <a:ea typeface="+mn-ea"/>
                        <a:cs typeface="+mn-cs"/>
                      </a:defRPr>
                    </a:pPr>
                    <a:r>
                      <a:rPr lang="en-US"/>
                      <a:t>1,3</a:t>
                    </a:r>
                    <a:endParaRPr lang="en-US"/>
                  </a:p>
                </c:rich>
              </c:tx>
              <c:numFmt formatCode="#,##0.0" sourceLinked="0"/>
              <c:spPr>
                <a:noFill/>
                <a:ln>
                  <a:noFill/>
                </a:ln>
                <a:effectLst/>
              </c:spPr>
              <c:txPr>
                <a:bodyPr rot="0" spcFirstLastPara="0" vertOverflow="ellipsis" vert="horz" wrap="square" lIns="38100" tIns="19050" rIns="38100" bIns="19050" anchor="ctr" anchorCtr="1">
                  <a:spAutoFit/>
                </a:bodyPr>
                <a:lstStyle/>
                <a:p>
                  <a:pPr>
                    <a:defRPr lang="en-US" sz="800" b="1" i="0" u="none" strike="noStrike" kern="1200" baseline="0">
                      <a:solidFill>
                        <a:sysClr val="windowText" lastClr="000000"/>
                      </a:solidFill>
                      <a:latin typeface="Aptos" pitchFamily="2" charset="0"/>
                      <a:ea typeface="+mn-ea"/>
                      <a:cs typeface="+mn-cs"/>
                    </a:defRPr>
                  </a:pPr>
                </a:p>
              </c:txPr>
              <c:dLblPos val="inBase"/>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spAutoFit/>
              </a:bodyPr>
              <a:lstStyle/>
              <a:p>
                <a:pPr>
                  <a:defRPr lang="en-US" sz="800" b="0" i="0" u="none" strike="noStrike" kern="1200" baseline="0">
                    <a:solidFill>
                      <a:sysClr val="windowText" lastClr="000000"/>
                    </a:solidFill>
                    <a:latin typeface="Aptos" pitchFamily="2" charset="0"/>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Sheet1!$B$1:$AJ$1</c:f>
              <c:strCache>
                <c:ptCount val="5"/>
                <c:pt idx="0">
                  <c:v>Δ' τρίμηνο
2022</c:v>
                </c:pt>
                <c:pt idx="1">
                  <c:v>Α' τρίμηνο
2023</c:v>
                </c:pt>
                <c:pt idx="2">
                  <c:v>Β' τρίμηνο
2023</c:v>
                </c:pt>
                <c:pt idx="3">
                  <c:v>Γ' τρίμηνο
2023</c:v>
                </c:pt>
                <c:pt idx="4">
                  <c:v>Δ' τρίμηνο
2023</c:v>
                </c:pt>
              </c:strCache>
            </c:strRef>
          </c:cat>
          <c:val>
            <c:numRef>
              <c:f>Sheet1!$B$6:$AJ$6</c:f>
              <c:numCache>
                <c:formatCode>0.000</c:formatCode>
                <c:ptCount val="5"/>
                <c:pt idx="0">
                  <c:v>1.77511977268954</c:v>
                </c:pt>
                <c:pt idx="1">
                  <c:v>1.77187666904413</c:v>
                </c:pt>
                <c:pt idx="2">
                  <c:v>1.80610862830373</c:v>
                </c:pt>
                <c:pt idx="3">
                  <c:v>1.2577257474951</c:v>
                </c:pt>
                <c:pt idx="4">
                  <c:v>1.285</c:v>
                </c:pt>
              </c:numCache>
            </c:numRef>
          </c:val>
        </c:ser>
        <c:dLbls>
          <c:showLegendKey val="0"/>
          <c:showVal val="0"/>
          <c:showCatName val="0"/>
          <c:showSerName val="0"/>
          <c:showPercent val="0"/>
          <c:showBubbleSize val="0"/>
        </c:dLbls>
        <c:gapWidth val="100"/>
        <c:overlap val="100"/>
        <c:axId val="419000072"/>
        <c:axId val="419000464"/>
      </c:barChart>
      <c:catAx>
        <c:axId val="419000072"/>
        <c:scaling>
          <c:orientation val="minMax"/>
        </c:scaling>
        <c:delete val="0"/>
        <c:axPos val="b"/>
        <c:numFmt formatCode="General" sourceLinked="1"/>
        <c:majorTickMark val="none"/>
        <c:minorTickMark val="none"/>
        <c:tickLblPos val="nextTo"/>
        <c:spPr>
          <a:noFill/>
          <a:ln w="9525" cap="flat" cmpd="sng" algn="ctr">
            <a:solidFill>
              <a:srgbClr val="D9D9D9"/>
            </a:solidFill>
            <a:prstDash val="solid"/>
            <a:round/>
          </a:ln>
          <a:effectLst/>
        </c:spPr>
        <c:txPr>
          <a:bodyPr rot="-60000000" spcFirstLastPara="1" vertOverflow="ellipsis" vert="horz" wrap="square" anchor="ctr" anchorCtr="1"/>
          <a:lstStyle/>
          <a:p>
            <a:pPr>
              <a:defRPr lang="en-US" sz="600" b="0" i="0" u="none" strike="noStrike" kern="1200" baseline="0">
                <a:solidFill>
                  <a:sysClr val="windowText" lastClr="000000"/>
                </a:solidFill>
                <a:latin typeface="Aptos" pitchFamily="2" charset="0"/>
                <a:ea typeface="+mn-ea"/>
                <a:cs typeface="+mn-cs"/>
              </a:defRPr>
            </a:pPr>
          </a:p>
        </c:txPr>
        <c:crossAx val="419000464"/>
        <c:crosses val="autoZero"/>
        <c:auto val="1"/>
        <c:lblAlgn val="ctr"/>
        <c:lblOffset val="100"/>
        <c:noMultiLvlLbl val="0"/>
      </c:catAx>
      <c:valAx>
        <c:axId val="419000464"/>
        <c:scaling>
          <c:orientation val="minMax"/>
          <c:max val="2.5"/>
          <c:min val="0"/>
        </c:scaling>
        <c:delete val="1"/>
        <c:axPos val="l"/>
        <c:numFmt formatCode="0.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419000072"/>
        <c:crosses val="autoZero"/>
        <c:crossBetween val="between"/>
      </c:valAx>
      <c:spPr>
        <a:noFill/>
        <a:ln>
          <a:noFill/>
        </a:ln>
        <a:effectLst/>
      </c:spPr>
    </c:plotArea>
    <c:legend>
      <c:legendPos val="l"/>
      <c:legendEntry>
        <c:idx val="0"/>
        <c:delete val="1"/>
      </c:legendEntry>
      <c:layout>
        <c:manualLayout>
          <c:xMode val="edge"/>
          <c:yMode val="edge"/>
          <c:x val="0.020631318341242"/>
          <c:y val="0.291164250225179"/>
          <c:w val="0.254118384778961"/>
          <c:h val="0.671886890907066"/>
        </c:manualLayout>
      </c:layout>
      <c:overlay val="0"/>
      <c:txPr>
        <a:bodyPr rot="0" spcFirstLastPara="0" vertOverflow="ellipsis" vert="horz" wrap="square" anchor="ctr" anchorCtr="1"/>
        <a:lstStyle/>
        <a:p>
          <a:pPr>
            <a:defRPr lang="en-US" sz="500" b="0" i="0" u="none" strike="noStrike" kern="1200" baseline="0">
              <a:solidFill>
                <a:sysClr val="windowText" lastClr="000000"/>
              </a:solidFill>
              <a:latin typeface="Aptos" pitchFamily="2" charset="0"/>
              <a:ea typeface="+mn-ea"/>
              <a:cs typeface="+mn-cs"/>
            </a:defRPr>
          </a:pPr>
        </a:p>
      </c:txPr>
    </c:legend>
    <c:plotVisOnly val="1"/>
    <c:dispBlanksAs val="gap"/>
    <c:showDLblsOverMax val="0"/>
  </c:chart>
  <c:spPr>
    <a:solidFill>
      <a:srgbClr val="F5F9F6"/>
    </a:solidFill>
    <a:ln w="6350" cap="flat" cmpd="sng" algn="ctr">
      <a:noFill/>
      <a:prstDash val="solid"/>
      <a:round/>
    </a:ln>
    <a:effectLst/>
  </c:spPr>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40094803987439"/>
          <c:y val="0.146438312857952"/>
          <c:w val="0.93251354630395"/>
          <c:h val="0.605358979574048"/>
        </c:manualLayout>
      </c:layout>
      <c:barChart>
        <c:barDir val="col"/>
        <c:grouping val="stacked"/>
        <c:varyColors val="0"/>
        <c:ser>
          <c:idx val="0"/>
          <c:order val="0"/>
          <c:tx>
            <c:strRef>
              <c:f>Sheet1!$A$2</c:f>
              <c:strCache>
                <c:ptCount val="1"/>
                <c:pt idx="0">
                  <c:v>NPEs</c:v>
                </c:pt>
              </c:strCache>
            </c:strRef>
          </c:tx>
          <c:spPr>
            <a:solidFill>
              <a:srgbClr val="003841"/>
            </a:solidFill>
            <a:ln>
              <a:solidFill>
                <a:srgbClr val="003841"/>
              </a:solidFill>
            </a:ln>
            <a:effectLst/>
          </c:spPr>
          <c:invertIfNegative val="0"/>
          <c:dPt>
            <c:idx val="0"/>
            <c:invertIfNegative val="0"/>
            <c:bubble3D val="0"/>
          </c:dPt>
          <c:dPt>
            <c:idx val="1"/>
            <c:invertIfNegative val="0"/>
            <c:bubble3D val="0"/>
            <c:spPr>
              <a:solidFill>
                <a:srgbClr val="007B85"/>
              </a:solidFill>
              <a:ln>
                <a:solidFill>
                  <a:srgbClr val="007B85"/>
                </a:solidFill>
              </a:ln>
              <a:effectLst/>
            </c:spPr>
          </c:dPt>
          <c:dPt>
            <c:idx val="3"/>
            <c:invertIfNegative val="0"/>
            <c:bubble3D val="0"/>
          </c:dPt>
          <c:dPt>
            <c:idx val="4"/>
            <c:invertIfNegative val="0"/>
            <c:bubble3D val="0"/>
            <c:spPr>
              <a:solidFill>
                <a:srgbClr val="007B85"/>
              </a:solidFill>
              <a:ln>
                <a:solidFill>
                  <a:srgbClr val="007B85"/>
                </a:solidFill>
              </a:ln>
              <a:effectLst/>
            </c:spPr>
          </c:dPt>
          <c:dPt>
            <c:idx val="6"/>
            <c:invertIfNegative val="0"/>
            <c:bubble3D val="0"/>
          </c:dPt>
          <c:dPt>
            <c:idx val="7"/>
            <c:invertIfNegative val="0"/>
            <c:bubble3D val="0"/>
            <c:spPr>
              <a:solidFill>
                <a:srgbClr val="007B85"/>
              </a:solidFill>
              <a:ln>
                <a:solidFill>
                  <a:srgbClr val="007B85"/>
                </a:solidFill>
              </a:ln>
              <a:effectLst/>
            </c:spPr>
          </c:dPt>
          <c:dPt>
            <c:idx val="9"/>
            <c:invertIfNegative val="0"/>
            <c:bubble3D val="0"/>
          </c:dPt>
          <c:dPt>
            <c:idx val="10"/>
            <c:invertIfNegative val="0"/>
            <c:bubble3D val="0"/>
            <c:spPr>
              <a:solidFill>
                <a:srgbClr val="007B85"/>
              </a:solidFill>
              <a:ln>
                <a:solidFill>
                  <a:srgbClr val="007B85"/>
                </a:solidFill>
              </a:ln>
              <a:effectLst/>
            </c:spPr>
          </c:dPt>
          <c:dLbls>
            <c:delete val="1"/>
          </c:dLbls>
          <c:cat>
            <c:strRef>
              <c:f>Sheet1!$B$1:$L$1</c:f>
              <c:strCache>
                <c:ptCount val="11"/>
                <c:pt idx="0">
                  <c:v>Δ' τρίμηνο
2022</c:v>
                </c:pt>
                <c:pt idx="1">
                  <c:v>Δ' τρίμηνο
2023</c:v>
                </c:pt>
                <c:pt idx="2">
                  <c:v>.</c:v>
                </c:pt>
                <c:pt idx="3">
                  <c:v> Δ' τρίμηνο
2022</c:v>
                </c:pt>
                <c:pt idx="4">
                  <c:v> Δ' τρίμηνο
2023</c:v>
                </c:pt>
                <c:pt idx="5">
                  <c:v>..</c:v>
                </c:pt>
                <c:pt idx="6">
                  <c:v>  Δ' τρίμηνο 
2022</c:v>
                </c:pt>
                <c:pt idx="7">
                  <c:v>  Δ' τρίμηνο 
2023</c:v>
                </c:pt>
                <c:pt idx="8">
                  <c:v>…</c:v>
                </c:pt>
                <c:pt idx="9">
                  <c:v>   Δ' τρίμηνο
2022</c:v>
                </c:pt>
                <c:pt idx="10">
                  <c:v>   Δ' τρίμηνο
2023</c:v>
                </c:pt>
              </c:strCache>
            </c:strRef>
          </c:cat>
          <c:val>
            <c:numRef>
              <c:f>Sheet1!$B$2:$L$2</c:f>
              <c:numCache>
                <c:formatCode>#,##0.0</c:formatCode>
                <c:ptCount val="11"/>
                <c:pt idx="0">
                  <c:v>0.419</c:v>
                </c:pt>
                <c:pt idx="1">
                  <c:v>0.291</c:v>
                </c:pt>
                <c:pt idx="3">
                  <c:v>0.142</c:v>
                </c:pt>
                <c:pt idx="4">
                  <c:v>0.087</c:v>
                </c:pt>
                <c:pt idx="6">
                  <c:v>0.189</c:v>
                </c:pt>
                <c:pt idx="7">
                  <c:v>0.126</c:v>
                </c:pt>
                <c:pt idx="9">
                  <c:v>0.897</c:v>
                </c:pt>
                <c:pt idx="10">
                  <c:v>0.697</c:v>
                </c:pt>
              </c:numCache>
            </c:numRef>
          </c:val>
        </c:ser>
        <c:ser>
          <c:idx val="1"/>
          <c:order val="1"/>
          <c:tx>
            <c:strRef>
              <c:f>Sheet1!$A$3</c:f>
              <c:strCache>
                <c:ptCount val="1"/>
                <c:pt idx="0">
                  <c:v/>
                </c:pt>
              </c:strCache>
            </c:strRef>
          </c:tx>
          <c:spPr>
            <a:solidFill>
              <a:schemeClr val="bg1"/>
            </a:solidFill>
            <a:ln>
              <a:solidFill>
                <a:srgbClr val="008080"/>
              </a:solidFill>
            </a:ln>
          </c:spPr>
          <c:invertIfNegative val="0"/>
          <c:dLbls>
            <c:dLbl>
              <c:idx val="3"/>
              <c:delete val="1"/>
            </c:dLbl>
            <c:dLbl>
              <c:idx val="4"/>
              <c:delete val="1"/>
            </c:dLbl>
            <c:dLbl>
              <c:idx val="6"/>
              <c:delete val="1"/>
            </c:dLbl>
            <c:dLbl>
              <c:idx val="7"/>
              <c:delete val="1"/>
            </c:dLbl>
            <c:spPr>
              <a:noFill/>
              <a:ln>
                <a:noFill/>
              </a:ln>
              <a:effectLst/>
            </c:spPr>
            <c:txPr>
              <a:bodyPr rot="0" spcFirstLastPara="0" vertOverflow="ellipsis" vert="horz" wrap="square" lIns="38100" tIns="19050" rIns="38100" bIns="19050" anchor="ctr" anchorCtr="0">
                <a:spAutoFit/>
              </a:bodyPr>
              <a:lstStyle/>
              <a:p>
                <a:pPr algn="ctr">
                  <a:defRPr lang="el-GR" sz="800" b="0" i="0" u="none" strike="noStrike" kern="1200" baseline="0">
                    <a:solidFill>
                      <a:srgbClr val="595959"/>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Sheet1!$B$1:$L$1</c:f>
              <c:strCache>
                <c:ptCount val="11"/>
                <c:pt idx="0">
                  <c:v>Δ' τρίμηνο
2022</c:v>
                </c:pt>
                <c:pt idx="1">
                  <c:v>Δ' τρίμηνο
2023</c:v>
                </c:pt>
                <c:pt idx="2">
                  <c:v>.</c:v>
                </c:pt>
                <c:pt idx="3">
                  <c:v> Δ' τρίμηνο
2022</c:v>
                </c:pt>
                <c:pt idx="4">
                  <c:v> Δ' τρίμηνο
2023</c:v>
                </c:pt>
                <c:pt idx="5">
                  <c:v>..</c:v>
                </c:pt>
                <c:pt idx="6">
                  <c:v>  Δ' τρίμηνο 
2022</c:v>
                </c:pt>
                <c:pt idx="7">
                  <c:v>  Δ' τρίμηνο 
2023</c:v>
                </c:pt>
                <c:pt idx="8">
                  <c:v>…</c:v>
                </c:pt>
                <c:pt idx="9">
                  <c:v>   Δ' τρίμηνο
2022</c:v>
                </c:pt>
                <c:pt idx="10">
                  <c:v>   Δ' τρίμηνο
2023</c:v>
                </c:pt>
              </c:strCache>
            </c:strRef>
          </c:cat>
          <c:val>
            <c:numRef>
              <c:f>Sheet1!$B$3:$L$3</c:f>
              <c:numCache>
                <c:formatCode>General</c:formatCode>
                <c:ptCount val="11"/>
              </c:numCache>
            </c:numRef>
          </c:val>
        </c:ser>
        <c:ser>
          <c:idx val="2"/>
          <c:order val="2"/>
          <c:tx>
            <c:strRef>
              <c:f>Sheet1!$A$4</c:f>
              <c:strCache>
                <c:ptCount val="1"/>
                <c:pt idx="0">
                  <c:v>total </c:v>
                </c:pt>
              </c:strCache>
            </c:strRef>
          </c:tx>
          <c:spPr>
            <a:noFill/>
            <a:ln>
              <a:noFill/>
            </a:ln>
          </c:spPr>
          <c:invertIfNegative val="0"/>
          <c:dLbls>
            <c:dLbl>
              <c:idx val="0"/>
              <c:layout/>
              <c:tx>
                <c:rich>
                  <a:bodyPr rot="0" spcFirstLastPara="0" vertOverflow="ellipsis" vert="horz" wrap="square" lIns="38100" tIns="19050" rIns="38100" bIns="19050" anchor="ctr" anchorCtr="0"/>
                  <a:lstStyle/>
                  <a:p>
                    <a:pPr>
                      <a:defRPr lang="en-US" sz="800" b="0" i="0" u="none" strike="noStrike" kern="1200" baseline="0">
                        <a:solidFill>
                          <a:sysClr val="windowText" lastClr="000000"/>
                        </a:solidFill>
                        <a:latin typeface="Aptos" pitchFamily="2" charset="0"/>
                        <a:ea typeface="+mn-ea"/>
                        <a:cs typeface="Segoe UI" panose="020B0502040204020203" pitchFamily="34" charset="0"/>
                      </a:defRPr>
                    </a:pPr>
                    <a:r>
                      <a:rPr lang="en-US"/>
                      <a:t>0,4</a:t>
                    </a:r>
                    <a:endParaRPr lang="en-US"/>
                  </a:p>
                </c:rich>
              </c:tx>
              <c:dLblPos val="inBase"/>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0">
                    <a:spAutoFit/>
                  </a:bodyPr>
                  <a:lstStyle/>
                  <a:p>
                    <a:pPr algn="ctr">
                      <a:defRPr lang="el-GR" sz="800" b="1" i="0" u="none" strike="noStrike" kern="1200" baseline="0">
                        <a:solidFill>
                          <a:sysClr val="windowText" lastClr="000000"/>
                        </a:solidFill>
                        <a:latin typeface="Aptos" pitchFamily="2" charset="0"/>
                        <a:ea typeface="+mn-ea"/>
                        <a:cs typeface="Segoe UI" panose="020B0502040204020203" pitchFamily="34" charset="0"/>
                      </a:defRPr>
                    </a:pPr>
                    <a:r>
                      <a:rPr lang="en-US" sz="800">
                        <a:solidFill>
                          <a:sysClr val="windowText" lastClr="000000"/>
                        </a:solidFill>
                        <a:latin typeface="Aptos" pitchFamily="2" charset="0"/>
                      </a:rPr>
                      <a:t>0,3</a:t>
                    </a:r>
                    <a:endParaRPr lang="en-US" sz="800">
                      <a:solidFill>
                        <a:sysClr val="windowText" lastClr="000000"/>
                      </a:solidFill>
                      <a:latin typeface="Aptos" pitchFamily="2" charset="0"/>
                    </a:endParaRPr>
                  </a:p>
                </c:rich>
              </c:tx>
              <c:numFmt formatCode="General" sourceLinked="1"/>
              <c:spPr>
                <a:noFill/>
                <a:ln>
                  <a:noFill/>
                </a:ln>
                <a:effectLst/>
              </c:spPr>
              <c:txPr>
                <a:bodyPr rot="0" spcFirstLastPara="0" vertOverflow="ellipsis" vert="horz" wrap="square" lIns="38100" tIns="19050" rIns="38100" bIns="19050" anchor="ctr" anchorCtr="0">
                  <a:spAutoFit/>
                </a:bodyPr>
                <a:lstStyle/>
                <a:p>
                  <a:pPr algn="ctr">
                    <a:defRPr lang="el-GR" sz="800" b="1" i="0" u="none" strike="noStrike" kern="1200" baseline="0">
                      <a:solidFill>
                        <a:sysClr val="windowText" lastClr="000000"/>
                      </a:solidFill>
                      <a:latin typeface="Aptos" pitchFamily="2" charset="0"/>
                      <a:ea typeface="+mn-ea"/>
                      <a:cs typeface="Segoe UI" panose="020B0502040204020203" pitchFamily="34" charset="0"/>
                    </a:defRPr>
                  </a:pPr>
                </a:p>
              </c:txPr>
              <c:dLblPos val="inBase"/>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0"/>
                  <a:lstStyle/>
                  <a:p>
                    <a:pPr>
                      <a:defRPr lang="en-US" sz="800" b="0" i="0" u="none" strike="noStrike" kern="1200" baseline="0">
                        <a:solidFill>
                          <a:sysClr val="windowText" lastClr="000000"/>
                        </a:solidFill>
                        <a:latin typeface="Aptos" pitchFamily="2" charset="0"/>
                        <a:ea typeface="+mn-ea"/>
                        <a:cs typeface="Segoe UI" panose="020B0502040204020203" pitchFamily="34" charset="0"/>
                      </a:defRPr>
                    </a:pPr>
                    <a:r>
                      <a:rPr lang="en-US"/>
                      <a:t>0,1</a:t>
                    </a:r>
                    <a:endParaRPr lang="en-US"/>
                  </a:p>
                </c:rich>
              </c:tx>
              <c:dLblPos val="inBase"/>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0">
                    <a:spAutoFit/>
                  </a:bodyPr>
                  <a:lstStyle/>
                  <a:p>
                    <a:pPr algn="ctr">
                      <a:defRPr lang="el-GR" sz="800" b="1" i="0" u="none" strike="noStrike" kern="1200" baseline="0">
                        <a:solidFill>
                          <a:sysClr val="windowText" lastClr="000000"/>
                        </a:solidFill>
                        <a:latin typeface="Aptos" pitchFamily="2" charset="0"/>
                        <a:ea typeface="+mn-ea"/>
                        <a:cs typeface="Segoe UI" panose="020B0502040204020203" pitchFamily="34" charset="0"/>
                      </a:defRPr>
                    </a:pPr>
                    <a:r>
                      <a:rPr lang="en-US"/>
                      <a:t>0,1</a:t>
                    </a:r>
                    <a:endParaRPr lang="en-US"/>
                  </a:p>
                </c:rich>
              </c:tx>
              <c:numFmt formatCode="General" sourceLinked="1"/>
              <c:spPr>
                <a:noFill/>
                <a:ln>
                  <a:noFill/>
                </a:ln>
                <a:effectLst/>
              </c:spPr>
              <c:txPr>
                <a:bodyPr rot="0" spcFirstLastPara="0" vertOverflow="ellipsis" vert="horz" wrap="square" lIns="38100" tIns="19050" rIns="38100" bIns="19050" anchor="ctr" anchorCtr="0">
                  <a:spAutoFit/>
                </a:bodyPr>
                <a:lstStyle/>
                <a:p>
                  <a:pPr algn="ctr">
                    <a:defRPr lang="el-GR" sz="800" b="1" i="0" u="none" strike="noStrike" kern="1200" baseline="0">
                      <a:solidFill>
                        <a:sysClr val="windowText" lastClr="000000"/>
                      </a:solidFill>
                      <a:latin typeface="Aptos" pitchFamily="2" charset="0"/>
                      <a:ea typeface="+mn-ea"/>
                      <a:cs typeface="Segoe UI" panose="020B0502040204020203" pitchFamily="34" charset="0"/>
                    </a:defRPr>
                  </a:pPr>
                </a:p>
              </c:txPr>
              <c:dLblPos val="inBase"/>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0"/>
                  <a:lstStyle/>
                  <a:p>
                    <a:pPr>
                      <a:defRPr lang="en-US" sz="800" b="0" i="0" u="none" strike="noStrike" kern="1200" baseline="0">
                        <a:solidFill>
                          <a:sysClr val="windowText" lastClr="000000"/>
                        </a:solidFill>
                        <a:latin typeface="Aptos" pitchFamily="2" charset="0"/>
                        <a:ea typeface="+mn-ea"/>
                        <a:cs typeface="Segoe UI" panose="020B0502040204020203" pitchFamily="34" charset="0"/>
                      </a:defRPr>
                    </a:pPr>
                    <a:r>
                      <a:rPr lang="en-US"/>
                      <a:t>0,2</a:t>
                    </a:r>
                    <a:endParaRPr lang="en-US"/>
                  </a:p>
                </c:rich>
              </c:tx>
              <c:dLblPos val="inBase"/>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0">
                    <a:spAutoFit/>
                  </a:bodyPr>
                  <a:lstStyle/>
                  <a:p>
                    <a:pPr algn="ctr">
                      <a:defRPr lang="el-GR" sz="800" b="1" i="0" u="none" strike="noStrike" kern="1200" baseline="0">
                        <a:solidFill>
                          <a:sysClr val="windowText" lastClr="000000"/>
                        </a:solidFill>
                        <a:latin typeface="Aptos" pitchFamily="2" charset="0"/>
                        <a:ea typeface="+mn-ea"/>
                        <a:cs typeface="Segoe UI" panose="020B0502040204020203" pitchFamily="34" charset="0"/>
                      </a:defRPr>
                    </a:pPr>
                    <a:r>
                      <a:rPr lang="en-US"/>
                      <a:t>0,1</a:t>
                    </a:r>
                    <a:endParaRPr lang="en-US"/>
                  </a:p>
                </c:rich>
              </c:tx>
              <c:numFmt formatCode="General" sourceLinked="1"/>
              <c:spPr>
                <a:noFill/>
                <a:ln>
                  <a:noFill/>
                </a:ln>
                <a:effectLst/>
              </c:spPr>
              <c:txPr>
                <a:bodyPr rot="0" spcFirstLastPara="0" vertOverflow="ellipsis" vert="horz" wrap="square" lIns="38100" tIns="19050" rIns="38100" bIns="19050" anchor="ctr" anchorCtr="0">
                  <a:spAutoFit/>
                </a:bodyPr>
                <a:lstStyle/>
                <a:p>
                  <a:pPr algn="ctr">
                    <a:defRPr lang="el-GR" sz="800" b="1" i="0" u="none" strike="noStrike" kern="1200" baseline="0">
                      <a:solidFill>
                        <a:sysClr val="windowText" lastClr="000000"/>
                      </a:solidFill>
                      <a:latin typeface="Aptos" pitchFamily="2" charset="0"/>
                      <a:ea typeface="+mn-ea"/>
                      <a:cs typeface="Segoe UI" panose="020B0502040204020203" pitchFamily="34" charset="0"/>
                    </a:defRPr>
                  </a:pPr>
                </a:p>
              </c:txPr>
              <c:dLblPos val="inBase"/>
              <c:showLegendKey val="0"/>
              <c:showVal val="1"/>
              <c:showCatName val="0"/>
              <c:showSerName val="0"/>
              <c:showPercent val="0"/>
              <c:showBubbleSize val="0"/>
              <c:extLst>
                <c:ext xmlns:c15="http://schemas.microsoft.com/office/drawing/2012/chart" uri="{CE6537A1-D6FC-4f65-9D91-7224C49458BB}"/>
              </c:extLst>
            </c:dLbl>
            <c:dLbl>
              <c:idx val="9"/>
              <c:layout/>
              <c:tx>
                <c:rich>
                  <a:bodyPr rot="0" spcFirstLastPara="0" vertOverflow="ellipsis" vert="horz" wrap="square" lIns="38100" tIns="19050" rIns="38100" bIns="19050" anchor="ctr" anchorCtr="0"/>
                  <a:lstStyle/>
                  <a:p>
                    <a:pPr>
                      <a:defRPr lang="en-US" sz="800" b="0" i="0" u="none" strike="noStrike" kern="1200" baseline="0">
                        <a:solidFill>
                          <a:sysClr val="windowText" lastClr="000000"/>
                        </a:solidFill>
                        <a:latin typeface="Aptos" pitchFamily="2" charset="0"/>
                        <a:ea typeface="+mn-ea"/>
                        <a:cs typeface="Segoe UI" panose="020B0502040204020203" pitchFamily="34" charset="0"/>
                      </a:defRPr>
                    </a:pPr>
                    <a:r>
                      <a:rPr lang="en-US"/>
                      <a:t>0,9</a:t>
                    </a:r>
                    <a:endParaRPr lang="en-US"/>
                  </a:p>
                </c:rich>
              </c:tx>
              <c:dLblPos val="inBase"/>
              <c:showLegendKey val="0"/>
              <c:showVal val="1"/>
              <c:showCatName val="0"/>
              <c:showSerName val="0"/>
              <c:showPercent val="0"/>
              <c:showBubbleSize val="0"/>
              <c:extLst>
                <c:ext xmlns:c15="http://schemas.microsoft.com/office/drawing/2012/chart" uri="{CE6537A1-D6FC-4f65-9D91-7224C49458BB}"/>
              </c:extLst>
            </c:dLbl>
            <c:dLbl>
              <c:idx val="10"/>
              <c:layout/>
              <c:tx>
                <c:rich>
                  <a:bodyPr rot="0" spcFirstLastPara="0" vertOverflow="ellipsis" vert="horz" wrap="square" lIns="38100" tIns="19050" rIns="38100" bIns="19050" anchor="ctr" anchorCtr="0">
                    <a:spAutoFit/>
                  </a:bodyPr>
                  <a:lstStyle/>
                  <a:p>
                    <a:pPr algn="ctr">
                      <a:defRPr lang="el-GR" sz="800" b="1" i="0" u="none" strike="noStrike" kern="1200" baseline="0">
                        <a:solidFill>
                          <a:sysClr val="windowText" lastClr="000000"/>
                        </a:solidFill>
                        <a:latin typeface="Aptos" pitchFamily="2" charset="0"/>
                        <a:ea typeface="+mn-ea"/>
                        <a:cs typeface="Segoe UI" panose="020B0502040204020203" pitchFamily="34" charset="0"/>
                      </a:defRPr>
                    </a:pPr>
                    <a:r>
                      <a:rPr lang="en-US"/>
                      <a:t>0,7</a:t>
                    </a:r>
                    <a:endParaRPr lang="en-US"/>
                  </a:p>
                </c:rich>
              </c:tx>
              <c:numFmt formatCode="General" sourceLinked="1"/>
              <c:spPr>
                <a:noFill/>
                <a:ln>
                  <a:noFill/>
                </a:ln>
                <a:effectLst/>
              </c:spPr>
              <c:txPr>
                <a:bodyPr rot="0" spcFirstLastPara="0" vertOverflow="ellipsis" vert="horz" wrap="square" lIns="38100" tIns="19050" rIns="38100" bIns="19050" anchor="ctr" anchorCtr="0">
                  <a:spAutoFit/>
                </a:bodyPr>
                <a:lstStyle/>
                <a:p>
                  <a:pPr algn="ctr">
                    <a:defRPr lang="el-GR" sz="800" b="1" i="0" u="none" strike="noStrike" kern="1200" baseline="0">
                      <a:solidFill>
                        <a:sysClr val="windowText" lastClr="000000"/>
                      </a:solidFill>
                      <a:latin typeface="Aptos" pitchFamily="2" charset="0"/>
                      <a:ea typeface="+mn-ea"/>
                      <a:cs typeface="Segoe UI" panose="020B0502040204020203" pitchFamily="34" charset="0"/>
                    </a:defRPr>
                  </a:pPr>
                </a:p>
              </c:txPr>
              <c:dLblPos val="inBase"/>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0">
                <a:spAutoFit/>
              </a:bodyPr>
              <a:lstStyle/>
              <a:p>
                <a:pPr algn="ctr">
                  <a:defRPr lang="el-GR" sz="800" b="0" i="0" u="none" strike="noStrike" kern="1200" baseline="0">
                    <a:solidFill>
                      <a:sysClr val="windowText" lastClr="000000"/>
                    </a:solidFill>
                    <a:latin typeface="Aptos" pitchFamily="2" charset="0"/>
                    <a:ea typeface="+mn-ea"/>
                    <a:cs typeface="Segoe UI" panose="020B0502040204020203" pitchFamily="34" charset="0"/>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Sheet1!$B$1:$L$1</c:f>
              <c:strCache>
                <c:ptCount val="11"/>
                <c:pt idx="0">
                  <c:v>Δ' τρίμηνο
2022</c:v>
                </c:pt>
                <c:pt idx="1">
                  <c:v>Δ' τρίμηνο
2023</c:v>
                </c:pt>
                <c:pt idx="2">
                  <c:v>.</c:v>
                </c:pt>
                <c:pt idx="3">
                  <c:v> Δ' τρίμηνο
2022</c:v>
                </c:pt>
                <c:pt idx="4">
                  <c:v> Δ' τρίμηνο
2023</c:v>
                </c:pt>
                <c:pt idx="5">
                  <c:v>..</c:v>
                </c:pt>
                <c:pt idx="6">
                  <c:v>  Δ' τρίμηνο 
2022</c:v>
                </c:pt>
                <c:pt idx="7">
                  <c:v>  Δ' τρίμηνο 
2023</c:v>
                </c:pt>
                <c:pt idx="8">
                  <c:v>…</c:v>
                </c:pt>
                <c:pt idx="9">
                  <c:v>   Δ' τρίμηνο
2022</c:v>
                </c:pt>
                <c:pt idx="10">
                  <c:v>   Δ' τρίμηνο
2023</c:v>
                </c:pt>
              </c:strCache>
            </c:strRef>
          </c:cat>
          <c:val>
            <c:numRef>
              <c:f>Sheet1!$B$4:$L$4</c:f>
              <c:numCache>
                <c:formatCode>#,##0.0</c:formatCode>
                <c:ptCount val="11"/>
                <c:pt idx="0">
                  <c:v>0.419</c:v>
                </c:pt>
                <c:pt idx="1">
                  <c:v>0.291</c:v>
                </c:pt>
                <c:pt idx="3">
                  <c:v>0.142</c:v>
                </c:pt>
                <c:pt idx="4">
                  <c:v>0.087</c:v>
                </c:pt>
                <c:pt idx="6">
                  <c:v>0.189</c:v>
                </c:pt>
                <c:pt idx="7">
                  <c:v>0.126</c:v>
                </c:pt>
                <c:pt idx="9">
                  <c:v>0.897</c:v>
                </c:pt>
                <c:pt idx="10">
                  <c:v>0.697</c:v>
                </c:pt>
              </c:numCache>
            </c:numRef>
          </c:val>
        </c:ser>
        <c:dLbls>
          <c:showLegendKey val="0"/>
          <c:showVal val="0"/>
          <c:showCatName val="0"/>
          <c:showSerName val="0"/>
          <c:showPercent val="0"/>
          <c:showBubbleSize val="0"/>
        </c:dLbls>
        <c:gapWidth val="50"/>
        <c:overlap val="100"/>
        <c:axId val="418999680"/>
        <c:axId val="418998896"/>
      </c:barChart>
      <c:catAx>
        <c:axId val="418999680"/>
        <c:scaling>
          <c:orientation val="minMax"/>
        </c:scaling>
        <c:delete val="0"/>
        <c:axPos val="b"/>
        <c:numFmt formatCode="General" sourceLinked="1"/>
        <c:majorTickMark val="none"/>
        <c:minorTickMark val="none"/>
        <c:tickLblPos val="nextTo"/>
        <c:spPr>
          <a:noFill/>
          <a:ln w="9525" cap="flat" cmpd="sng" algn="ctr">
            <a:solidFill>
              <a:srgbClr val="D9D9D9"/>
            </a:solidFill>
            <a:prstDash val="solid"/>
            <a:round/>
          </a:ln>
          <a:effectLst/>
        </c:spPr>
        <c:txPr>
          <a:bodyPr rot="-60000000" spcFirstLastPara="1" vertOverflow="ellipsis" vert="horz" wrap="square" anchor="ctr" anchorCtr="1"/>
          <a:lstStyle/>
          <a:p>
            <a:pPr>
              <a:defRPr lang="en-US" sz="400" b="0" i="0" u="none" strike="noStrike" kern="1200" baseline="0">
                <a:solidFill>
                  <a:sysClr val="windowText" lastClr="000000"/>
                </a:solidFill>
                <a:latin typeface="Aptos" pitchFamily="2" charset="0"/>
                <a:ea typeface="+mn-ea"/>
                <a:cs typeface="Segoe UI" panose="020B0502040204020203" pitchFamily="34" charset="0"/>
              </a:defRPr>
            </a:pPr>
          </a:p>
        </c:txPr>
        <c:crossAx val="418998896"/>
        <c:crosses val="autoZero"/>
        <c:auto val="1"/>
        <c:lblAlgn val="ctr"/>
        <c:lblOffset val="100"/>
        <c:noMultiLvlLbl val="0"/>
      </c:catAx>
      <c:valAx>
        <c:axId val="418998896"/>
        <c:scaling>
          <c:orientation val="minMax"/>
          <c:max val="1.7"/>
          <c:min val="0"/>
        </c:scaling>
        <c:delete val="1"/>
        <c:axPos val="l"/>
        <c:numFmt formatCode="#,##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418999680"/>
        <c:crosses val="autoZero"/>
        <c:crossBetween val="between"/>
      </c:valAx>
      <c:spPr>
        <a:noFill/>
        <a:ln>
          <a:noFill/>
        </a:ln>
        <a:effectLst/>
      </c:spPr>
    </c:plotArea>
    <c:plotVisOnly val="1"/>
    <c:dispBlanksAs val="gap"/>
    <c:showDLblsOverMax val="0"/>
  </c:chart>
  <c:spPr>
    <a:solidFill>
      <a:srgbClr val="F5F9F6"/>
    </a:solidFill>
    <a:ln w="9525" cap="flat" cmpd="sng" algn="ctr">
      <a:noFill/>
      <a:prstDash val="solid"/>
      <a:round/>
    </a:ln>
    <a:effectLst/>
  </c:spPr>
  <c:txPr>
    <a:bodyPr/>
    <a:lstStyle/>
    <a:p>
      <a:pPr>
        <a:defRPr lang="en-US"/>
      </a:pPr>
    </a:p>
  </c:txPr>
  <c:externalData r:id="rId1">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0287006319017"/>
          <c:y val="0.0883172836671574"/>
          <c:w val="0.363638286818257"/>
          <c:h val="0.789338339568617"/>
        </c:manualLayout>
      </c:layout>
      <c:doughnutChart>
        <c:varyColors val="1"/>
        <c:ser>
          <c:idx val="0"/>
          <c:order val="0"/>
          <c:tx>
            <c:strRef>
              <c:f>Sheet1!$B$1</c:f>
              <c:strCache>
                <c:ptCount val="1"/>
                <c:pt idx="0">
                  <c:v>Stock</c:v>
                </c:pt>
              </c:strCache>
            </c:strRef>
          </c:tx>
          <c:explosion val="0"/>
          <c:dPt>
            <c:idx val="0"/>
            <c:bubble3D val="0"/>
            <c:spPr>
              <a:solidFill>
                <a:srgbClr val="008080"/>
              </a:solidFill>
              <a:ln w="19050">
                <a:solidFill>
                  <a:schemeClr val="lt1"/>
                </a:solidFill>
              </a:ln>
              <a:effectLst/>
            </c:spPr>
          </c:dPt>
          <c:dPt>
            <c:idx val="1"/>
            <c:bubble3D val="0"/>
            <c:spPr>
              <a:solidFill>
                <a:srgbClr val="FF7415"/>
              </a:solidFill>
              <a:ln w="19050">
                <a:solidFill>
                  <a:schemeClr val="lt1"/>
                </a:solidFill>
              </a:ln>
              <a:effectLst/>
            </c:spPr>
          </c:dPt>
          <c:dPt>
            <c:idx val="2"/>
            <c:bubble3D val="0"/>
            <c:spPr>
              <a:solidFill>
                <a:srgbClr val="00ADBF"/>
              </a:solidFill>
              <a:ln w="19050">
                <a:solidFill>
                  <a:schemeClr val="lt1"/>
                </a:solidFill>
              </a:ln>
              <a:effectLst/>
            </c:spPr>
          </c:dPt>
          <c:dPt>
            <c:idx val="3"/>
            <c:bubble3D val="0"/>
            <c:spPr>
              <a:solidFill>
                <a:srgbClr val="003841"/>
              </a:solidFill>
              <a:ln w="19050">
                <a:solidFill>
                  <a:schemeClr val="lt1"/>
                </a:solidFill>
              </a:ln>
              <a:effectLst/>
            </c:spPr>
          </c:dPt>
          <c:dLbls>
            <c:dLbl>
              <c:idx val="0"/>
              <c:layout>
                <c:manualLayout>
                  <c:x val="0.2032820361373"/>
                  <c:y val="-0.0517233694844748"/>
                </c:manualLayout>
              </c:layout>
              <c:tx>
                <c:rich>
                  <a:bodyPr rot="0" spcFirstLastPara="1" vertOverflow="ellipsis" vert="horz" wrap="square" lIns="38100" tIns="19050" rIns="38100" bIns="19050" anchor="ctr" anchorCtr="1">
                    <a:spAutoFit/>
                  </a:bodyPr>
                  <a:lstStyle/>
                  <a:p>
                    <a:fld id="{7974f074-87f6-487f-af6d-804100766759}" type="CATEGORYNAME">
                      <a:t>[CATEGORY NAME]</a:t>
                    </a:fld>
                    <a:r>
                      <a:t> </a:t>
                    </a:r>
                    <a:fld id="{565971b3-99c6-4d94-9bea-e636e441212a}" type="VALUE">
                      <a:t>[VALUE]</a:t>
                    </a:fld>
                    <a:endParaRPr lang="el-GR" sz="600" b="0" i="0" u="none" strike="noStrike" baseline="0">
                      <a:latin typeface="Times New Roman" panose="02020603050405020304" charset="0"/>
                      <a:ea typeface="Times New Roman" panose="02020603050405020304" charset="0"/>
                      <a:cs typeface="+mn-ea"/>
                    </a:endParaRPr>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lang="en-US" sz="600" b="0" i="0" u="none" strike="noStrike" kern="1200" baseline="0">
                      <a:solidFill>
                        <a:sysClr val="windowText" lastClr="000000"/>
                      </a:solidFill>
                      <a:latin typeface="Aptos" pitchFamily="2" charset="0"/>
                      <a:ea typeface="Segoe UI" panose="020B0502040204020203" pitchFamily="34" charset="0"/>
                      <a:cs typeface="Segoe UI" panose="020B0502040204020203" pitchFamily="34" charset="0"/>
                    </a:defRPr>
                  </a:pPr>
                </a:p>
              </c:txPr>
              <c:showLegendKey val="0"/>
              <c:showVal val="1"/>
              <c:showCatName val="1"/>
              <c:showSerName val="0"/>
              <c:showPercent val="0"/>
              <c:showBubbleSize val="0"/>
              <c:separator> </c:separator>
              <c:extLst>
                <c:ext xmlns:c15="http://schemas.microsoft.com/office/drawing/2012/chart" uri="{CE6537A1-D6FC-4f65-9D91-7224C49458BB}">
                  <c15:layout>
                    <c:manualLayout>
                      <c:w val="0.326465990174196"/>
                      <c:h val="0.167074527252503"/>
                    </c:manualLayout>
                  </c15:layout>
                </c:ext>
              </c:extLst>
            </c:dLbl>
            <c:dLbl>
              <c:idx val="1"/>
              <c:layout>
                <c:manualLayout>
                  <c:x val="0.180810708406698"/>
                  <c:y val="-0.0215380752600586"/>
                </c:manualLayout>
              </c:layout>
              <c:tx>
                <c:rich>
                  <a:bodyPr rot="0" spcFirstLastPara="1" vertOverflow="ellipsis" vert="horz" wrap="square" lIns="38100" tIns="19050" rIns="38100" bIns="19050" anchor="ctr" anchorCtr="1">
                    <a:spAutoFit/>
                  </a:bodyPr>
                  <a:lstStyle/>
                  <a:p>
                    <a:fld id="{1b40f9a9-9abe-48cb-bbb1-609a932b0e70}" type="CATEGORYNAME">
                      <a:t>[CATEGORY NAME]</a:t>
                    </a:fld>
                    <a:r>
                      <a:t> </a:t>
                    </a:r>
                    <a:fld id="{64551229-c189-4b4f-a8ee-b6ecf9915b86}" type="VALUE">
                      <a:t>[VALUE]</a:t>
                    </a:fld>
                    <a:endParaRPr lang="el-GR" sz="600" b="0" i="0" u="none" strike="noStrike" baseline="0">
                      <a:solidFill>
                        <a:sysClr val="windowText" lastClr="000000"/>
                      </a:solidFill>
                      <a:latin typeface="Aptos" pitchFamily="2" charset="0"/>
                      <a:ea typeface="Times New Roman" panose="02020603050405020304" charset="0"/>
                      <a:cs typeface="+mn-ea"/>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lang="en-US" sz="600" b="0" i="0" u="none" strike="noStrike" kern="1200" baseline="0">
                      <a:solidFill>
                        <a:sysClr val="windowText" lastClr="000000"/>
                      </a:solidFill>
                      <a:latin typeface="Aptos" pitchFamily="2" charset="0"/>
                      <a:ea typeface="Segoe UI" panose="020B0502040204020203" pitchFamily="34" charset="0"/>
                      <a:cs typeface="Segoe UI" panose="020B0502040204020203" pitchFamily="34" charset="0"/>
                    </a:defRPr>
                  </a:pPr>
                </a:p>
              </c:txPr>
              <c:showLegendKey val="0"/>
              <c:showVal val="1"/>
              <c:showCatName val="1"/>
              <c:showSerName val="0"/>
              <c:showPercent val="0"/>
              <c:showBubbleSize val="0"/>
              <c:separator> </c:separator>
              <c:extLst>
                <c:ext xmlns:c15="http://schemas.microsoft.com/office/drawing/2012/chart" uri="{CE6537A1-D6FC-4f65-9D91-7224C49458BB}">
                  <c15:layout>
                    <c:manualLayout>
                      <c:w val="0.322895459943771"/>
                      <c:h val="0.167085037618351"/>
                    </c:manualLayout>
                  </c15:layout>
                </c:ext>
              </c:extLst>
            </c:dLbl>
            <c:dLbl>
              <c:idx val="2"/>
              <c:layout>
                <c:manualLayout>
                  <c:x val="0.171042514910023"/>
                  <c:y val="0.0774880404100431"/>
                </c:manualLayout>
              </c:layout>
              <c:tx>
                <c:rich>
                  <a:bodyPr rot="0" spcFirstLastPara="1" vertOverflow="ellipsis" vert="horz" wrap="square" lIns="38100" tIns="19050" rIns="38100" bIns="19050" anchor="ctr" anchorCtr="1">
                    <a:spAutoFit/>
                  </a:bodyPr>
                  <a:lstStyle/>
                  <a:p>
                    <a:fld id="{1993759f-d923-4108-b10a-a16462372689}" type="CATEGORYNAME">
                      <a:t>[CATEGORY NAME]</a:t>
                    </a:fld>
                    <a:r>
                      <a:t> </a:t>
                    </a:r>
                    <a:fld id="{a23c64e4-c6f8-4c6a-bb86-7d7073fe2c06}" type="VALUE">
                      <a:t>[VALUE]</a:t>
                    </a:fld>
                    <a:endParaRPr lang="el-GR" sz="600" b="0" i="0" u="none" strike="noStrike" baseline="0">
                      <a:solidFill>
                        <a:sysClr val="windowText" lastClr="000000"/>
                      </a:solidFill>
                      <a:latin typeface="Aptos" pitchFamily="2" charset="0"/>
                      <a:ea typeface="Times New Roman" panose="02020603050405020304" charset="0"/>
                      <a:cs typeface="+mn-ea"/>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lang="en-US" sz="600" b="0" i="0" u="none" strike="noStrike" kern="1200" baseline="0">
                      <a:solidFill>
                        <a:sysClr val="windowText" lastClr="000000"/>
                      </a:solidFill>
                      <a:latin typeface="Aptos" pitchFamily="2" charset="0"/>
                      <a:ea typeface="Segoe UI" panose="020B0502040204020203" pitchFamily="34" charset="0"/>
                      <a:cs typeface="Segoe UI" panose="020B0502040204020203" pitchFamily="34" charset="0"/>
                    </a:defRPr>
                  </a:pPr>
                </a:p>
              </c:txPr>
              <c:showLegendKey val="0"/>
              <c:showVal val="1"/>
              <c:showCatName val="1"/>
              <c:showSerName val="0"/>
              <c:showPercent val="0"/>
              <c:showBubbleSize val="0"/>
              <c:separator> </c:separator>
              <c:extLst>
                <c:ext xmlns:c15="http://schemas.microsoft.com/office/drawing/2012/chart" uri="{CE6537A1-D6FC-4f65-9D91-7224C49458BB}">
                  <c15:layout>
                    <c:manualLayout>
                      <c:w val="0.302244078568222"/>
                      <c:h val="0.167074527252503"/>
                    </c:manualLayout>
                  </c15:layout>
                </c:ext>
              </c:extLst>
            </c:dLbl>
            <c:dLbl>
              <c:idx val="3"/>
              <c:layout>
                <c:manualLayout>
                  <c:x val="-0.169328113706773"/>
                  <c:y val="-0.13177050032261"/>
                </c:manualLayout>
              </c:layout>
              <c:tx>
                <c:rich>
                  <a:bodyPr rot="0" spcFirstLastPara="1" vertOverflow="ellipsis" vert="horz" wrap="square" lIns="38100" tIns="19050" rIns="38100" bIns="19050" anchor="ctr" anchorCtr="1">
                    <a:spAutoFit/>
                  </a:bodyPr>
                  <a:lstStyle/>
                  <a:p>
                    <a:fld id="{9e887fb4-a028-4526-901a-a506283f8bbe}" type="CATEGORYNAME">
                      <a:t>[CATEGORY NAME]</a:t>
                    </a:fld>
                    <a:r>
                      <a:t> </a:t>
                    </a:r>
                    <a:fld id="{8305f030-b394-4d43-9db0-a7b122cbed51}" type="VALUE">
                      <a:t>[VALUE]</a:t>
                    </a:fld>
                    <a:endParaRPr lang="en-US" sz="600" b="0" i="0" u="none" strike="noStrike" baseline="0">
                      <a:latin typeface="Times New Roman" panose="02020603050405020304" charset="0"/>
                      <a:ea typeface="Times New Roman" panose="02020603050405020304" charset="0"/>
                      <a:cs typeface="+mn-ea"/>
                    </a:endParaRPr>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lang="en-US" sz="600" b="0" i="0" u="none" strike="noStrike" kern="1200" baseline="0">
                      <a:solidFill>
                        <a:sysClr val="windowText" lastClr="000000"/>
                      </a:solidFill>
                      <a:latin typeface="Aptos" pitchFamily="2" charset="0"/>
                      <a:ea typeface="Segoe UI" panose="020B0502040204020203" pitchFamily="34" charset="0"/>
                      <a:cs typeface="Segoe UI" panose="020B0502040204020203" pitchFamily="34" charset="0"/>
                    </a:defRPr>
                  </a:pPr>
                </a:p>
              </c:txPr>
              <c:showLegendKey val="0"/>
              <c:showVal val="1"/>
              <c:showCatName val="1"/>
              <c:showSerName val="0"/>
              <c:showPercent val="0"/>
              <c:showBubbleSize val="0"/>
              <c:separator> </c:separator>
              <c:extLst>
                <c:ext xmlns:c15="http://schemas.microsoft.com/office/drawing/2012/chart" uri="{CE6537A1-D6FC-4f65-9D91-7224C49458BB}">
                  <c15:layout>
                    <c:manualLayout>
                      <c:w val="0.268176304084108"/>
                      <c:h val="0.239525398591027"/>
                    </c:manualLayout>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lang="en-US" sz="500" b="0" i="0" u="none" strike="noStrike" kern="1200" baseline="0">
                    <a:solidFill>
                      <a:sysClr val="windowText" lastClr="000000"/>
                    </a:solidFill>
                    <a:latin typeface="Aptos" pitchFamily="2" charset="0"/>
                    <a:ea typeface="Segoe UI" panose="020B0502040204020203" pitchFamily="34" charset="0"/>
                    <a:cs typeface="Segoe UI" panose="020B0502040204020203" pitchFamily="34" charset="0"/>
                  </a:defRPr>
                </a:pPr>
              </a:p>
            </c:txPr>
            <c:showLegendKey val="0"/>
            <c:showVal val="1"/>
            <c:showCatName val="1"/>
            <c:showSerName val="0"/>
            <c:showPercent val="0"/>
            <c:showBubbleSize val="0"/>
            <c:separator> </c:separator>
            <c:showLeaderLines val="0"/>
            <c:extLst>
              <c:ext xmlns:c15="http://schemas.microsoft.com/office/drawing/2012/chart" uri="{CE6537A1-D6FC-4f65-9D91-7224C49458BB}">
                <c15:layout/>
                <c15:showLeaderLines val="0"/>
                <c15:leaderLines/>
              </c:ext>
            </c:extLst>
          </c:dLbls>
          <c:cat>
            <c:strRef>
              <c:f>Sheet1!$A$2:$A$5</c:f>
              <c:strCache>
                <c:ptCount val="4"/>
                <c:pt idx="0">
                  <c:v>Ρυθμισμένα ΜΕΑ (FNPEs) &lt;30 ημερών</c:v>
                </c:pt>
                <c:pt idx="1">
                  <c:v>Ρυθμισμένα ΜΕΑ (FNPEs) 
31-90 ημερών</c:v>
                </c:pt>
                <c:pt idx="2">
                  <c:v>Ρυθμισμένα ΜΕΑ (FNPEs) &gt;90 ημερών</c:v>
                </c:pt>
                <c:pt idx="3">
                  <c:v>Ρυθμισμένα εξυπηρετούμενα ανοίγματα (FPEs)</c:v>
                </c:pt>
              </c:strCache>
            </c:strRef>
          </c:cat>
          <c:val>
            <c:numRef>
              <c:f>Sheet1!$B$2:$B$5</c:f>
              <c:numCache>
                <c:formatCode>0.000</c:formatCode>
                <c:ptCount val="4"/>
                <c:pt idx="0">
                  <c:v>0.551</c:v>
                </c:pt>
                <c:pt idx="1">
                  <c:v>0.0264</c:v>
                </c:pt>
                <c:pt idx="2">
                  <c:v>0.0684</c:v>
                </c:pt>
                <c:pt idx="3">
                  <c:v>1.329</c:v>
                </c:pt>
              </c:numCache>
            </c:numRef>
          </c:val>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showDLblsOverMax val="0"/>
  </c:chart>
  <c:spPr>
    <a:solidFill>
      <a:srgbClr val="F5F9F6"/>
    </a:solidFill>
    <a:ln w="9525" cap="flat" cmpd="sng" algn="ctr">
      <a:noFill/>
      <a:prstDash val="solid"/>
      <a:round/>
    </a:ln>
    <a:effectLst/>
  </c:spPr>
  <c:txPr>
    <a:bodyPr/>
    <a:lstStyle/>
    <a:p>
      <a:pPr>
        <a:defRPr lang="en-US"/>
      </a:pPr>
    </a:p>
  </c:txPr>
  <c:externalData r:id="rId1">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431961915190772"/>
          <c:y val="0.0419220305705403"/>
          <c:w val="0.928831951397943"/>
          <c:h val="0.799447251599858"/>
        </c:manualLayout>
      </c:layout>
      <c:barChart>
        <c:barDir val="col"/>
        <c:grouping val="stacked"/>
        <c:varyColors val="0"/>
        <c:ser>
          <c:idx val="0"/>
          <c:order val="0"/>
          <c:tx>
            <c:strRef>
              <c:f>Sheet1!$B$1</c:f>
              <c:strCache>
                <c:ptCount val="1"/>
                <c:pt idx="0">
                  <c:v>Series 1</c:v>
                </c:pt>
              </c:strCache>
            </c:strRef>
          </c:tx>
          <c:spPr>
            <a:noFill/>
            <a:ln w="6350">
              <a:solidFill>
                <a:srgbClr val="008080"/>
              </a:solidFill>
            </a:ln>
            <a:effectLst/>
          </c:spPr>
          <c:invertIfNegative val="0"/>
          <c:dPt>
            <c:idx val="0"/>
            <c:invertIfNegative val="0"/>
            <c:bubble3D val="0"/>
            <c:spPr>
              <a:solidFill>
                <a:srgbClr val="007B85"/>
              </a:solidFill>
              <a:ln w="6350">
                <a:solidFill>
                  <a:srgbClr val="007B85"/>
                </a:solidFill>
              </a:ln>
              <a:effectLst/>
            </c:spPr>
          </c:dPt>
          <c:dPt>
            <c:idx val="1"/>
            <c:invertIfNegative val="0"/>
            <c:bubble3D val="0"/>
            <c:spPr>
              <a:noFill/>
              <a:ln w="6350">
                <a:noFill/>
              </a:ln>
              <a:effectLst/>
            </c:spPr>
          </c:dPt>
          <c:dPt>
            <c:idx val="2"/>
            <c:invertIfNegative val="0"/>
            <c:bubble3D val="0"/>
            <c:spPr>
              <a:noFill/>
              <a:ln w="6350">
                <a:noFill/>
              </a:ln>
              <a:effectLst/>
            </c:spPr>
          </c:dPt>
          <c:dPt>
            <c:idx val="3"/>
            <c:invertIfNegative val="0"/>
            <c:bubble3D val="0"/>
            <c:spPr>
              <a:noFill/>
              <a:ln w="6350">
                <a:noFill/>
              </a:ln>
              <a:effectLst/>
            </c:spPr>
          </c:dPt>
          <c:dPt>
            <c:idx val="4"/>
            <c:invertIfNegative val="0"/>
            <c:bubble3D val="0"/>
            <c:spPr>
              <a:solidFill>
                <a:srgbClr val="007B85"/>
              </a:solidFill>
              <a:ln w="6350">
                <a:solidFill>
                  <a:srgbClr val="007B85"/>
                </a:solidFill>
              </a:ln>
              <a:effectLst/>
            </c:spPr>
          </c:dPt>
          <c:dPt>
            <c:idx val="5"/>
            <c:invertIfNegative val="0"/>
            <c:bubble3D val="0"/>
            <c:spPr>
              <a:noFill/>
              <a:ln w="6350">
                <a:noFill/>
              </a:ln>
              <a:effectLst/>
            </c:spPr>
          </c:dPt>
          <c:dPt>
            <c:idx val="6"/>
            <c:invertIfNegative val="0"/>
            <c:bubble3D val="0"/>
            <c:spPr>
              <a:solidFill>
                <a:srgbClr val="FF7415"/>
              </a:solidFill>
              <a:ln w="6350">
                <a:solidFill>
                  <a:srgbClr val="FF7415"/>
                </a:solidFill>
              </a:ln>
              <a:effectLst/>
            </c:spPr>
          </c:dPt>
          <c:dLbls>
            <c:dLbl>
              <c:idx val="0"/>
              <c:layout>
                <c:manualLayout>
                  <c:x val="-1.83606625413608e-17"/>
                  <c:y val="-0.0841042893187553"/>
                </c:manualLayout>
              </c:layout>
              <c:tx>
                <c:rich>
                  <a:bodyPr rot="0" spcFirstLastPara="0" vertOverflow="ellipsis" vert="horz" wrap="square" lIns="38100" tIns="19050" rIns="38100" bIns="19050" anchor="ctr" anchorCtr="1"/>
                  <a:lstStyle/>
                  <a:p>
                    <a:pPr>
                      <a:defRPr lang="en-US" sz="500" b="1"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solidFill>
                          <a:schemeClr val="bg1"/>
                        </a:solidFill>
                      </a:rPr>
                      <a:t>15,7%</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delete val="1"/>
            </c:dLbl>
            <c:dLbl>
              <c:idx val="2"/>
              <c:delete val="1"/>
            </c:dLbl>
            <c:dLbl>
              <c:idx val="3"/>
              <c:delete val="1"/>
            </c:dLbl>
            <c:dLbl>
              <c:idx val="4"/>
              <c:layout>
                <c:manualLayout>
                  <c:x val="-7.34426501654433e-17"/>
                  <c:y val="-0.392486683487525"/>
                </c:manualLayout>
              </c:layout>
              <c:tx>
                <c:rich>
                  <a:bodyPr rot="0" spcFirstLastPara="0" vertOverflow="ellipsis" vert="horz" wrap="square" lIns="38100" tIns="19050" rIns="38100" bIns="19050" anchor="ctr" anchorCtr="1"/>
                  <a:lstStyle/>
                  <a:p>
                    <a:pPr>
                      <a:defRPr lang="en-US" sz="500" b="1"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18,6%</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5"/>
              <c:delete val="1"/>
            </c:dLbl>
            <c:dLbl>
              <c:idx val="6"/>
              <c:layout>
                <c:manualLayout>
                  <c:x val="-1.46885300330887e-16"/>
                  <c:y val="-0.123352957667508"/>
                </c:manualLayout>
              </c:layout>
              <c:tx>
                <c:rich>
                  <a:bodyPr rot="0" spcFirstLastPara="0" vertOverflow="ellipsis" vert="horz" wrap="square" lIns="38100" tIns="19050" rIns="38100" bIns="19050" anchor="ctr" anchorCtr="1">
                    <a:spAutoFit/>
                  </a:bodyPr>
                  <a:lstStyle/>
                  <a:p>
                    <a:pPr>
                      <a:defRPr lang="en-US" sz="800" b="1" i="0" u="none" strike="noStrike" kern="1200" baseline="0">
                        <a:solidFill>
                          <a:schemeClr val="bg1"/>
                        </a:solidFill>
                        <a:latin typeface="Aptos" pitchFamily="2" charset="0"/>
                        <a:ea typeface="+mn-ea"/>
                        <a:cs typeface="Segoe UI" panose="020B0502040204020203" pitchFamily="34" charset="0"/>
                      </a:defRPr>
                    </a:pPr>
                    <a:r>
                      <a:rPr lang="en-US"/>
                      <a:t>17,8%</a:t>
                    </a:r>
                    <a:endParaRPr lang="en-US"/>
                  </a:p>
                </c:rich>
              </c:tx>
              <c:numFmt formatCode="0.0%" sourceLinked="0"/>
              <c:spPr>
                <a:noFill/>
                <a:ln>
                  <a:noFill/>
                </a:ln>
                <a:effectLst/>
              </c:spPr>
              <c:txPr>
                <a:bodyPr rot="0" spcFirstLastPara="0" vertOverflow="ellipsis" vert="horz" wrap="square" lIns="38100" tIns="19050" rIns="38100" bIns="19050" anchor="ctr" anchorCtr="1">
                  <a:spAutoFit/>
                </a:bodyPr>
                <a:lstStyle/>
                <a:p>
                  <a:pPr>
                    <a:defRPr lang="en-US" sz="800" b="1" i="0" u="none" strike="noStrike" kern="1200" baseline="0">
                      <a:solidFill>
                        <a:schemeClr val="bg1"/>
                      </a:solidFill>
                      <a:latin typeface="Aptos" pitchFamily="2" charset="0"/>
                      <a:ea typeface="+mn-ea"/>
                      <a:cs typeface="Segoe UI" panose="020B0502040204020203" pitchFamily="34" charset="0"/>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spAutoFit/>
              </a:bodyPr>
              <a:lstStyle/>
              <a:p>
                <a:pPr>
                  <a:defRPr lang="en-US" sz="800" b="1" i="0" u="none" strike="noStrike" kern="1200" baseline="0">
                    <a:solidFill>
                      <a:sysClr val="windowText" lastClr="000000"/>
                    </a:solidFill>
                    <a:latin typeface="Aptos" pitchFamily="2" charset="0"/>
                    <a:ea typeface="+mn-ea"/>
                    <a:cs typeface="Segoe UI" panose="020B0502040204020203" pitchFamily="34" charset="0"/>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Sheet1!$A$2:$A$8</c:f>
              <c:strCache>
                <c:ptCount val="7"/>
                <c:pt idx="0">
                  <c:v>2022
CET1 </c:v>
                </c:pt>
                <c:pt idx="1">
                  <c:v>Κερδοφορία 
2023</c:v>
                </c:pt>
                <c:pt idx="2">
                  <c:v>RWAs 
(πιστωτικός κίνδυνος)</c:v>
                </c:pt>
                <c:pt idx="3">
                  <c:v>Λοιπά (συμπ. του απ/τος
 αποτίμησης ομολόγων 'FVTOCI')</c:v>
                </c:pt>
                <c:pt idx="4">
                  <c:v>2023 CET1 
προ μερίσματος</c:v>
                </c:pt>
                <c:pt idx="5">
                  <c:v>Πρόβλεψη 
για μέρισμα</c:v>
                </c:pt>
                <c:pt idx="6">
                  <c:v>2023
 CET1 </c:v>
                </c:pt>
              </c:strCache>
            </c:strRef>
          </c:cat>
          <c:val>
            <c:numRef>
              <c:f>Sheet1!$B$2:$B$8</c:f>
              <c:numCache>
                <c:formatCode>0.00%</c:formatCode>
                <c:ptCount val="7"/>
                <c:pt idx="0">
                  <c:v>0.15653</c:v>
                </c:pt>
                <c:pt idx="1" c:formatCode="0.0%">
                  <c:v>0.15653</c:v>
                </c:pt>
                <c:pt idx="2" c:formatCode="0.0%">
                  <c:v>0.18563</c:v>
                </c:pt>
                <c:pt idx="3" c:formatCode="0.0%">
                  <c:v>0.18563</c:v>
                </c:pt>
                <c:pt idx="4" c:formatCode="0.0%">
                  <c:v>0.18754</c:v>
                </c:pt>
                <c:pt idx="5" c:formatCode="0.0%">
                  <c:v>0.17834</c:v>
                </c:pt>
                <c:pt idx="6">
                  <c:v>0.17834</c:v>
                </c:pt>
              </c:numCache>
            </c:numRef>
          </c:val>
        </c:ser>
        <c:ser>
          <c:idx val="1"/>
          <c:order val="1"/>
          <c:tx>
            <c:strRef>
              <c:f>Sheet1!$C$1</c:f>
              <c:strCache>
                <c:ptCount val="1"/>
                <c:pt idx="0">
                  <c:v>Series 2</c:v>
                </c:pt>
              </c:strCache>
            </c:strRef>
          </c:tx>
          <c:spPr>
            <a:noFill/>
            <a:ln w="6350">
              <a:solidFill>
                <a:srgbClr val="008080"/>
              </a:solidFill>
              <a:prstDash val="solid"/>
            </a:ln>
            <a:effectLst/>
          </c:spPr>
          <c:invertIfNegative val="0"/>
          <c:dPt>
            <c:idx val="0"/>
            <c:invertIfNegative val="0"/>
            <c:bubble3D val="0"/>
          </c:dPt>
          <c:dPt>
            <c:idx val="1"/>
            <c:invertIfNegative val="0"/>
            <c:bubble3D val="0"/>
            <c:spPr>
              <a:solidFill>
                <a:srgbClr val="007B85"/>
              </a:solidFill>
              <a:ln w="6350">
                <a:solidFill>
                  <a:srgbClr val="007B85"/>
                </a:solidFill>
                <a:prstDash val="solid"/>
              </a:ln>
              <a:effectLst/>
            </c:spPr>
          </c:dPt>
          <c:dPt>
            <c:idx val="2"/>
            <c:invertIfNegative val="0"/>
            <c:bubble3D val="0"/>
            <c:spPr>
              <a:solidFill>
                <a:srgbClr val="00ADBF"/>
              </a:solidFill>
              <a:ln w="6350">
                <a:solidFill>
                  <a:srgbClr val="00ADBF"/>
                </a:solidFill>
                <a:prstDash val="solid"/>
              </a:ln>
              <a:effectLst/>
            </c:spPr>
          </c:dPt>
          <c:dPt>
            <c:idx val="3"/>
            <c:invertIfNegative val="0"/>
            <c:bubble3D val="0"/>
            <c:spPr>
              <a:solidFill>
                <a:srgbClr val="007B85"/>
              </a:solidFill>
              <a:ln w="6350">
                <a:solidFill>
                  <a:srgbClr val="007B85"/>
                </a:solidFill>
                <a:prstDash val="solid"/>
              </a:ln>
              <a:effectLst/>
            </c:spPr>
          </c:dPt>
          <c:dPt>
            <c:idx val="4"/>
            <c:invertIfNegative val="0"/>
            <c:bubble3D val="0"/>
            <c:spPr>
              <a:solidFill>
                <a:srgbClr val="D9A757"/>
              </a:solidFill>
              <a:ln w="6350">
                <a:solidFill>
                  <a:srgbClr val="D9A757"/>
                </a:solidFill>
                <a:prstDash val="solid"/>
              </a:ln>
              <a:effectLst/>
            </c:spPr>
          </c:dPt>
          <c:dPt>
            <c:idx val="5"/>
            <c:invertIfNegative val="0"/>
            <c:bubble3D val="0"/>
            <c:spPr>
              <a:solidFill>
                <a:srgbClr val="00ADBF"/>
              </a:solidFill>
              <a:ln w="6350">
                <a:solidFill>
                  <a:srgbClr val="00ADBF"/>
                </a:solidFill>
                <a:prstDash val="solid"/>
              </a:ln>
              <a:effectLst/>
            </c:spPr>
          </c:dPt>
          <c:dPt>
            <c:idx val="6"/>
            <c:invertIfNegative val="0"/>
            <c:bubble3D val="0"/>
            <c:spPr>
              <a:noFill/>
              <a:ln w="6350">
                <a:solidFill>
                  <a:srgbClr val="FF7415"/>
                </a:solidFill>
                <a:prstDash val="solid"/>
              </a:ln>
              <a:effectLst/>
            </c:spPr>
          </c:dPt>
          <c:dLbls>
            <c:dLbl>
              <c:idx val="0"/>
              <c:layout>
                <c:manualLayout>
                  <c:x val="-1.26173512236859e-6"/>
                  <c:y val="-0.0933255480469521"/>
                </c:manualLayout>
              </c:layout>
              <c:tx>
                <c:rich>
                  <a:bodyPr rot="0" spcFirstLastPara="0" vertOverflow="ellipsis" vert="horz" wrap="square" lIns="38100" tIns="19050" rIns="38100" bIns="19050" anchor="ctr" anchorCtr="1"/>
                  <a:lstStyle/>
                  <a:p>
                    <a:pPr>
                      <a:defRPr lang="en-US" sz="800" b="1" i="0" u="none" strike="noStrike" kern="1200" baseline="0">
                        <a:solidFill>
                          <a:sysClr val="windowText" lastClr="000000"/>
                        </a:solidFill>
                        <a:latin typeface="Aptos" pitchFamily="2" charset="0"/>
                        <a:ea typeface="+mn-ea"/>
                        <a:cs typeface="Segoe UI" panose="020B0502040204020203" pitchFamily="34" charset="0"/>
                      </a:defRPr>
                    </a:pPr>
                    <a:r>
                      <a:rPr lang="en-US" sz="800" b="1">
                        <a:solidFill>
                          <a:sysClr val="windowText" lastClr="000000"/>
                        </a:solidFill>
                        <a:latin typeface="Aptos" pitchFamily="2" charset="0"/>
                      </a:rPr>
                      <a:t>16,8%</a:t>
                    </a:r>
                    <a:endParaRPr lang="en-US" sz="800" b="1">
                      <a:solidFill>
                        <a:sysClr val="windowText" lastClr="000000"/>
                      </a:solidFill>
                      <a:latin typeface="Aptos" pitchFamily="2" charset="0"/>
                    </a:endParaRPr>
                  </a:p>
                </c:rich>
              </c:tx>
              <c:numFmt formatCode="0.0%" sourceLinked="0"/>
              <c:spPr>
                <a:noFill/>
                <a:ln>
                  <a:noFill/>
                </a:ln>
                <a:effectLst/>
              </c:spPr>
              <c:txPr>
                <a:bodyPr rot="0" spcFirstLastPara="0" vertOverflow="ellipsis" vert="horz" wrap="square" lIns="38100" tIns="19050" rIns="38100" bIns="19050" anchor="ctr" anchorCtr="1"/>
                <a:lstStyle/>
                <a:p>
                  <a:pPr>
                    <a:defRPr lang="en-US" sz="800" b="1" i="0" u="none" strike="noStrike" kern="1200" baseline="0">
                      <a:solidFill>
                        <a:sysClr val="windowText" lastClr="000000"/>
                      </a:solidFill>
                      <a:latin typeface="Aptos" pitchFamily="2" charset="0"/>
                      <a:ea typeface="+mn-ea"/>
                      <a:cs typeface="Segoe UI" panose="020B0502040204020203" pitchFamily="34" charset="0"/>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8956071903167e-5"/>
                  <c:y val="-0.116360160614911"/>
                </c:manualLayout>
              </c:layout>
              <c:tx>
                <c:rich>
                  <a:bodyPr rot="0" spcFirstLastPara="0" vertOverflow="ellipsis" vert="horz" wrap="square" lIns="38100" tIns="19050" rIns="38100" bIns="19050" anchor="ctr" anchorCtr="1">
                    <a:spAutoFit/>
                  </a:bodyPr>
                  <a:lstStyle/>
                  <a:p>
                    <a:pPr>
                      <a:defRPr lang="en-US" sz="800" b="0" i="0" u="none" strike="noStrike" kern="1200" baseline="0">
                        <a:solidFill>
                          <a:sysClr val="windowText" lastClr="000000"/>
                        </a:solidFill>
                        <a:latin typeface="Aptos" pitchFamily="2" charset="0"/>
                        <a:ea typeface="+mn-ea"/>
                        <a:cs typeface="Segoe UI" panose="020B0502040204020203" pitchFamily="34" charset="0"/>
                      </a:defRPr>
                    </a:pPr>
                    <a:r>
                      <a:rPr lang="en-US" sz="800" b="0">
                        <a:solidFill>
                          <a:sysClr val="windowText" lastClr="000000"/>
                        </a:solidFill>
                        <a:latin typeface="Aptos" pitchFamily="2" charset="0"/>
                      </a:rPr>
                      <a:t>+3,6%</a:t>
                    </a:r>
                    <a:endParaRPr lang="en-US" sz="800" b="0">
                      <a:solidFill>
                        <a:sysClr val="windowText" lastClr="000000"/>
                      </a:solidFill>
                      <a:latin typeface="Aptos" pitchFamily="2" charset="0"/>
                    </a:endParaRPr>
                  </a:p>
                </c:rich>
              </c:tx>
              <c:numFmt formatCode="0.0%" sourceLinked="0"/>
              <c:spPr>
                <a:noFill/>
                <a:ln>
                  <a:noFill/>
                </a:ln>
                <a:effectLst/>
              </c:spPr>
              <c:txPr>
                <a:bodyPr rot="0" spcFirstLastPara="0" vertOverflow="ellipsis" vert="horz" wrap="square" lIns="38100" tIns="19050" rIns="38100" bIns="19050" anchor="ctr" anchorCtr="1">
                  <a:spAutoFit/>
                </a:bodyPr>
                <a:lstStyle/>
                <a:p>
                  <a:pPr>
                    <a:defRPr lang="en-US" sz="800" b="0" i="0" u="none" strike="noStrike" kern="1200" baseline="0">
                      <a:solidFill>
                        <a:sysClr val="windowText" lastClr="000000"/>
                      </a:solidFill>
                      <a:latin typeface="Aptos" pitchFamily="2" charset="0"/>
                      <a:ea typeface="+mn-ea"/>
                      <a:cs typeface="Segoe UI" panose="020B0502040204020203" pitchFamily="34" charset="0"/>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20803646414504e-6"/>
                  <c:y val="0.0591582065698474"/>
                </c:manualLayout>
              </c:layout>
              <c:tx>
                <c:rich>
                  <a:bodyPr rot="0" spcFirstLastPara="0" vertOverflow="ellipsis" vert="horz" wrap="square" lIns="38100" tIns="19050" rIns="38100" bIns="19050" anchor="ctr" anchorCtr="1"/>
                  <a:lstStyle/>
                  <a:p>
                    <a:pPr>
                      <a:defRPr lang="en-US" sz="5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-0,7%</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92540779673447"/>
                  <c:y val="-0.0537132816345812"/>
                </c:manualLayout>
              </c:layout>
              <c:tx>
                <c:rich>
                  <a:bodyPr rot="0" spcFirstLastPara="0" vertOverflow="ellipsis" vert="horz" wrap="square" lIns="38100" tIns="19050" rIns="38100" bIns="19050" anchor="ctr" anchorCtr="1">
                    <a:spAutoFit/>
                  </a:bodyPr>
                  <a:lstStyle/>
                  <a:p>
                    <a:pPr>
                      <a:defRPr lang="en-US" sz="800" b="0" i="0" u="none" strike="noStrike" kern="1200" baseline="0">
                        <a:solidFill>
                          <a:sysClr val="windowText" lastClr="000000"/>
                        </a:solidFill>
                        <a:latin typeface="Aptos" pitchFamily="2" charset="0"/>
                        <a:ea typeface="+mn-ea"/>
                        <a:cs typeface="Segoe UI" panose="020B0502040204020203" pitchFamily="34" charset="0"/>
                      </a:defRPr>
                    </a:pPr>
                    <a:r>
                      <a:rPr lang="en-US" sz="800" b="0">
                        <a:solidFill>
                          <a:sysClr val="windowText" lastClr="000000"/>
                        </a:solidFill>
                        <a:latin typeface="Aptos" pitchFamily="2" charset="0"/>
                      </a:rPr>
                      <a:t>+0,0%</a:t>
                    </a:r>
                    <a:endParaRPr lang="en-US" sz="800" b="0">
                      <a:solidFill>
                        <a:sysClr val="windowText" lastClr="000000"/>
                      </a:solidFill>
                      <a:latin typeface="Aptos" pitchFamily="2" charset="0"/>
                    </a:endParaRPr>
                  </a:p>
                </c:rich>
              </c:tx>
              <c:numFmt formatCode="0.0%" sourceLinked="0"/>
              <c:spPr>
                <a:noFill/>
                <a:ln>
                  <a:noFill/>
                </a:ln>
                <a:effectLst/>
              </c:spPr>
              <c:txPr>
                <a:bodyPr rot="0" spcFirstLastPara="0" vertOverflow="ellipsis" vert="horz" wrap="square" lIns="38100" tIns="19050" rIns="38100" bIns="19050" anchor="ctr" anchorCtr="1">
                  <a:spAutoFit/>
                </a:bodyPr>
                <a:lstStyle/>
                <a:p>
                  <a:pPr>
                    <a:defRPr lang="en-US" sz="800" b="0" i="0" u="none" strike="noStrike" kern="1200" baseline="0">
                      <a:solidFill>
                        <a:sysClr val="windowText" lastClr="000000"/>
                      </a:solidFill>
                      <a:latin typeface="Aptos" pitchFamily="2" charset="0"/>
                      <a:ea typeface="+mn-ea"/>
                      <a:cs typeface="Segoe UI" panose="020B0502040204020203" pitchFamily="34" charset="0"/>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4"/>
              <c:delete val="1"/>
            </c:dLbl>
            <c:dLbl>
              <c:idx val="5"/>
              <c:layout>
                <c:manualLayout>
                  <c:x val="3.70634692195774e-5"/>
                  <c:y val="0.0587661613786923"/>
                </c:manualLayout>
              </c:layout>
              <c:tx>
                <c:rich>
                  <a:bodyPr rot="0" spcFirstLastPara="0" vertOverflow="ellipsis" vert="horz" wrap="square" lIns="38100" tIns="19050" rIns="38100" bIns="19050" anchor="ctr" anchorCtr="1">
                    <a:spAutoFit/>
                  </a:bodyPr>
                  <a:lstStyle/>
                  <a:p>
                    <a:pPr>
                      <a:defRPr lang="en-US" sz="800" b="0" i="0" u="none" strike="noStrike" kern="1200" baseline="0">
                        <a:solidFill>
                          <a:sysClr val="windowText" lastClr="000000"/>
                        </a:solidFill>
                        <a:latin typeface="Aptos" pitchFamily="2" charset="0"/>
                        <a:ea typeface="+mn-ea"/>
                        <a:cs typeface="Segoe UI" panose="020B0502040204020203" pitchFamily="34" charset="0"/>
                      </a:defRPr>
                    </a:pPr>
                    <a:r>
                      <a:rPr lang="en-US" sz="800" b="0">
                        <a:solidFill>
                          <a:sysClr val="windowText" lastClr="000000"/>
                        </a:solidFill>
                        <a:latin typeface="Aptos" pitchFamily="2" charset="0"/>
                      </a:rPr>
                      <a:t>-0,7%</a:t>
                    </a:r>
                    <a:endParaRPr lang="en-US" sz="800" b="0">
                      <a:solidFill>
                        <a:sysClr val="windowText" lastClr="000000"/>
                      </a:solidFill>
                      <a:latin typeface="Aptos" pitchFamily="2" charset="0"/>
                    </a:endParaRPr>
                  </a:p>
                </c:rich>
              </c:tx>
              <c:numFmt formatCode="0.0%" sourceLinked="0"/>
              <c:spPr>
                <a:noFill/>
                <a:ln>
                  <a:noFill/>
                  <a:prstDash val="solid"/>
                </a:ln>
                <a:effectLst/>
              </c:spPr>
              <c:txPr>
                <a:bodyPr rot="0" spcFirstLastPara="0" vertOverflow="ellipsis" vert="horz" wrap="square" lIns="38100" tIns="19050" rIns="38100" bIns="19050" anchor="ctr" anchorCtr="1">
                  <a:spAutoFit/>
                </a:bodyPr>
                <a:lstStyle/>
                <a:p>
                  <a:pPr>
                    <a:defRPr lang="en-US" sz="800" b="0" i="0" u="none" strike="noStrike" kern="1200" baseline="0">
                      <a:solidFill>
                        <a:sysClr val="windowText" lastClr="000000"/>
                      </a:solidFill>
                      <a:latin typeface="Aptos" pitchFamily="2" charset="0"/>
                      <a:ea typeface="+mn-ea"/>
                      <a:cs typeface="Segoe UI" panose="020B0502040204020203" pitchFamily="34" charset="0"/>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46885300330887e-16"/>
                  <c:y val="-0.0961097903132167"/>
                </c:manualLayout>
              </c:layout>
              <c:tx>
                <c:rich>
                  <a:bodyPr rot="0" spcFirstLastPara="0" vertOverflow="ellipsis" vert="horz" wrap="square" lIns="38100" tIns="19050" rIns="38100" bIns="19050" anchor="ctr" anchorCtr="1">
                    <a:spAutoFit/>
                  </a:bodyPr>
                  <a:lstStyle/>
                  <a:p>
                    <a:pPr>
                      <a:defRPr lang="en-US" sz="800" b="1" i="0" u="none" strike="noStrike" kern="1200" baseline="0">
                        <a:solidFill>
                          <a:sysClr val="windowText" lastClr="000000"/>
                        </a:solidFill>
                        <a:latin typeface="Aptos" pitchFamily="2" charset="0"/>
                        <a:ea typeface="+mn-ea"/>
                        <a:cs typeface="Segoe UI" panose="020B0502040204020203" pitchFamily="34" charset="0"/>
                      </a:defRPr>
                    </a:pPr>
                    <a:r>
                      <a:rPr lang="en-US" sz="800" b="1">
                        <a:solidFill>
                          <a:sysClr val="windowText" lastClr="000000"/>
                        </a:solidFill>
                        <a:latin typeface="Aptos" pitchFamily="2" charset="0"/>
                      </a:rPr>
                      <a:t>20,2%</a:t>
                    </a:r>
                    <a:endParaRPr lang="en-US" sz="800" b="1">
                      <a:solidFill>
                        <a:sysClr val="windowText" lastClr="000000"/>
                      </a:solidFill>
                      <a:latin typeface="Aptos" pitchFamily="2" charset="0"/>
                    </a:endParaRPr>
                  </a:p>
                </c:rich>
              </c:tx>
              <c:numFmt formatCode="0.0%" sourceLinked="0"/>
              <c:spPr>
                <a:noFill/>
                <a:ln>
                  <a:noFill/>
                </a:ln>
                <a:effectLst/>
              </c:spPr>
              <c:txPr>
                <a:bodyPr rot="0" spcFirstLastPara="0" vertOverflow="ellipsis" vert="horz" wrap="square" lIns="38100" tIns="19050" rIns="38100" bIns="19050" anchor="ctr" anchorCtr="1">
                  <a:spAutoFit/>
                </a:bodyPr>
                <a:lstStyle/>
                <a:p>
                  <a:pPr>
                    <a:defRPr lang="en-US" sz="800" b="1" i="0" u="none" strike="noStrike" kern="1200" baseline="0">
                      <a:solidFill>
                        <a:sysClr val="windowText" lastClr="000000"/>
                      </a:solidFill>
                      <a:latin typeface="Aptos" pitchFamily="2" charset="0"/>
                      <a:ea typeface="+mn-ea"/>
                      <a:cs typeface="Segoe UI" panose="020B0502040204020203" pitchFamily="34" charset="0"/>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spAutoFit/>
              </a:bodyPr>
              <a:lstStyle/>
              <a:p>
                <a:pPr>
                  <a:defRPr lang="en-US" sz="800" b="0" i="0" u="none" strike="noStrike" kern="1200" baseline="0">
                    <a:solidFill>
                      <a:sysClr val="windowText" lastClr="000000"/>
                    </a:solidFill>
                    <a:latin typeface="Aptos" pitchFamily="2" charset="0"/>
                    <a:ea typeface="+mn-ea"/>
                    <a:cs typeface="Segoe UI" panose="020B0502040204020203" pitchFamily="3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Sheet1!$A$2:$A$8</c:f>
              <c:strCache>
                <c:ptCount val="7"/>
                <c:pt idx="0">
                  <c:v>2022
CET1 </c:v>
                </c:pt>
                <c:pt idx="1">
                  <c:v>Κερδοφορία 
2023</c:v>
                </c:pt>
                <c:pt idx="2">
                  <c:v>RWAs 
(πιστωτικός κίνδυνος)</c:v>
                </c:pt>
                <c:pt idx="3">
                  <c:v>Λοιπά (συμπ. του απ/τος
 αποτίμησης ομολόγων 'FVTOCI')</c:v>
                </c:pt>
                <c:pt idx="4">
                  <c:v>2023 CET1 
προ μερίσματος</c:v>
                </c:pt>
                <c:pt idx="5">
                  <c:v>Πρόβλεψη 
για μέρισμα</c:v>
                </c:pt>
                <c:pt idx="6">
                  <c:v>2023
 CET1 </c:v>
                </c:pt>
              </c:strCache>
            </c:strRef>
          </c:cat>
          <c:val>
            <c:numRef>
              <c:f>Sheet1!$C$2:$C$8</c:f>
              <c:numCache>
                <c:formatCode>0.00%</c:formatCode>
                <c:ptCount val="7"/>
                <c:pt idx="0">
                  <c:v>0.01103</c:v>
                </c:pt>
                <c:pt idx="1" c:formatCode="0.0%">
                  <c:v>0.0359</c:v>
                </c:pt>
                <c:pt idx="2" c:formatCode="0.0%">
                  <c:v>0.0068</c:v>
                </c:pt>
                <c:pt idx="3" c:formatCode="0.0%">
                  <c:v>0.00191</c:v>
                </c:pt>
                <c:pt idx="4" c:formatCode="0.0%">
                  <c:v>0</c:v>
                </c:pt>
                <c:pt idx="5" c:formatCode="0.0%">
                  <c:v>0.0092</c:v>
                </c:pt>
                <c:pt idx="6">
                  <c:v>0.02385</c:v>
                </c:pt>
              </c:numCache>
            </c:numRef>
          </c:val>
        </c:ser>
        <c:ser>
          <c:idx val="2"/>
          <c:order val="2"/>
          <c:tx>
            <c:strRef>
              <c:f>Sheet1!$D$1</c:f>
              <c:strCache>
                <c:ptCount val="1"/>
                <c:pt idx="0">
                  <c:v>Column1</c:v>
                </c:pt>
              </c:strCache>
            </c:strRef>
          </c:tx>
          <c:invertIfNegative val="0"/>
          <c:dLbls>
            <c:delete val="1"/>
          </c:dLbls>
          <c:cat>
            <c:strRef>
              <c:f>Sheet1!$A$2:$A$8</c:f>
              <c:strCache>
                <c:ptCount val="7"/>
                <c:pt idx="0">
                  <c:v>2022
CET1 </c:v>
                </c:pt>
                <c:pt idx="1">
                  <c:v>Κερδοφορία 
2023</c:v>
                </c:pt>
                <c:pt idx="2">
                  <c:v>RWAs 
(πιστωτικός κίνδυνος)</c:v>
                </c:pt>
                <c:pt idx="3">
                  <c:v>Λοιπά (συμπ. του απ/τος
 αποτίμησης ομολόγων 'FVTOCI')</c:v>
                </c:pt>
                <c:pt idx="4">
                  <c:v>2023 CET1 
προ μερίσματος</c:v>
                </c:pt>
                <c:pt idx="5">
                  <c:v>Πρόβλεψη 
για μέρισμα</c:v>
                </c:pt>
                <c:pt idx="6">
                  <c:v>2023
 CET1 </c:v>
                </c:pt>
              </c:strCache>
            </c:strRef>
          </c:cat>
          <c:val>
            <c:numRef>
              <c:f>Sheet1!$D$2:$D$8</c:f>
              <c:numCache>
                <c:formatCode>General</c:formatCode>
                <c:ptCount val="7"/>
              </c:numCache>
            </c:numRef>
          </c:val>
        </c:ser>
        <c:dLbls>
          <c:showLegendKey val="0"/>
          <c:showVal val="0"/>
          <c:showCatName val="0"/>
          <c:showSerName val="0"/>
          <c:showPercent val="0"/>
          <c:showBubbleSize val="0"/>
        </c:dLbls>
        <c:gapWidth val="150"/>
        <c:overlap val="100"/>
        <c:axId val="386222408"/>
        <c:axId val="386223976"/>
      </c:barChart>
      <c:catAx>
        <c:axId val="386222408"/>
        <c:scaling>
          <c:orientation val="minMax"/>
        </c:scaling>
        <c:delete val="0"/>
        <c:axPos val="b"/>
        <c:numFmt formatCode="General" sourceLinked="1"/>
        <c:majorTickMark val="none"/>
        <c:minorTickMark val="none"/>
        <c:tickLblPos val="nextTo"/>
        <c:spPr>
          <a:noFill/>
          <a:ln w="9525" cap="flat" cmpd="sng" algn="ctr">
            <a:solidFill>
              <a:srgbClr val="D9D9D9"/>
            </a:solidFill>
            <a:prstDash val="solid"/>
            <a:round/>
          </a:ln>
          <a:effectLst/>
        </c:spPr>
        <c:txPr>
          <a:bodyPr rot="-60000000" spcFirstLastPara="0" vertOverflow="ellipsis" vert="horz" wrap="square" anchor="ctr" anchorCtr="1"/>
          <a:lstStyle/>
          <a:p>
            <a:pPr>
              <a:defRPr lang="en-US" sz="600" b="0" i="0" u="none" strike="noStrike" kern="1200" baseline="0">
                <a:solidFill>
                  <a:sysClr val="windowText" lastClr="000000"/>
                </a:solidFill>
                <a:latin typeface="Aptos" pitchFamily="2" charset="0"/>
                <a:ea typeface="+mn-ea"/>
                <a:cs typeface="Segoe UI" panose="020B0502040204020203" pitchFamily="34" charset="0"/>
              </a:defRPr>
            </a:pPr>
          </a:p>
        </c:txPr>
        <c:crossAx val="386223976"/>
        <c:crosses val="autoZero"/>
        <c:auto val="1"/>
        <c:lblAlgn val="ctr"/>
        <c:lblOffset val="100"/>
        <c:noMultiLvlLbl val="0"/>
      </c:catAx>
      <c:valAx>
        <c:axId val="386223976"/>
        <c:scaling>
          <c:orientation val="minMax"/>
          <c:max val="0.23"/>
        </c:scaling>
        <c:delete val="1"/>
        <c:axPos val="l"/>
        <c:numFmt formatCode="0.00%" sourceLinked="1"/>
        <c:majorTickMark val="out"/>
        <c:minorTickMark val="none"/>
        <c:tickLblPos val="nextTo"/>
        <c:txPr>
          <a:bodyPr rot="-60000000" spcFirstLastPara="0" vertOverflow="ellipsis" vert="horz" wrap="square" anchor="ctr" anchorCtr="1"/>
          <a:lstStyle/>
          <a:p>
            <a:pPr>
              <a:defRPr lang="en-US" sz="5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p>
        </c:txPr>
        <c:crossAx val="386222408"/>
        <c:crosses val="autoZero"/>
        <c:crossBetween val="between"/>
        <c:majorUnit val="0.01"/>
      </c:valAx>
      <c:spPr>
        <a:noFill/>
        <a:ln w="25400">
          <a:noFill/>
        </a:ln>
        <a:effectLst/>
      </c:spPr>
    </c:plotArea>
    <c:plotVisOnly val="1"/>
    <c:dispBlanksAs val="gap"/>
    <c:showDLblsOverMax val="0"/>
  </c:chart>
  <c:spPr>
    <a:solidFill>
      <a:srgbClr val="F5F9F6"/>
    </a:solidFill>
    <a:ln w="9525" cap="flat" cmpd="sng" algn="ctr">
      <a:noFill/>
      <a:prstDash val="solid"/>
      <a:round/>
    </a:ln>
    <a:effectLst/>
  </c:spPr>
  <c:txPr>
    <a:bodyPr/>
    <a:lstStyle/>
    <a:p>
      <a:pPr>
        <a:defRPr lang="en-US" sz="500">
          <a:solidFill>
            <a:sysClr val="windowText" lastClr="000000"/>
          </a:solidFill>
          <a:latin typeface="Segoe UI" panose="020B0502040204020203" pitchFamily="34" charset="0"/>
          <a:cs typeface="Segoe UI" panose="020B0502040204020203" pitchFamily="3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5"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5"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5"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5"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5"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5"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5"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5"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0.05962</cdr:x>
      <cdr:y>0.4218</cdr:y>
    </cdr:from>
    <cdr:to>
      <cdr:x>0.28994</cdr:x>
      <cdr:y>0.46159</cdr:y>
    </cdr:to>
    <cdr:sp>
      <cdr:nvSpPr>
        <cdr:cNvPr id="2" name="Rectangles 1"/>
        <cdr:cNvSpPr/>
      </cdr:nvSpPr>
      <cdr:spPr xmlns:a="http://schemas.openxmlformats.org/drawingml/2006/main">
        <a:xfrm xmlns:a="http://schemas.openxmlformats.org/drawingml/2006/main">
          <a:off x="185015" y="995835"/>
          <a:ext cx="714740" cy="93942"/>
        </a:xfrm>
        <a:prstGeom xmlns:a="http://schemas.openxmlformats.org/drawingml/2006/main" prst="rect">
          <a:avLst/>
        </a:prstGeom>
        <a:noFill/>
      </cdr:spPr>
      <cdr:txBody xmlns:a="http://schemas.openxmlformats.org/drawingml/2006/main">
        <a:bodyPr vert="horz" wrap="square" lIns="0" tIns="0" rIns="0" bIns="0" rtlCol="0" anchor="t" anchorCtr="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sz="600" dirty="0">
              <a:solidFill>
                <a:sysClr val="windowText" lastClr="000000"/>
              </a:solidFill>
            </a:rPr>
            <a:t>Μη</a:t>
          </a:r>
          <a:r>
            <a:rPr lang="el-GR" sz="600" baseline="0" dirty="0">
              <a:solidFill>
                <a:sysClr val="windowText" lastClr="000000"/>
              </a:solidFill>
            </a:rPr>
            <a:t> οργανικά έσοδα</a:t>
          </a:r>
          <a:endParaRPr lang="el-GR" sz="600" dirty="0">
            <a:solidFill>
              <a:sysClr val="windowText" lastClr="000000"/>
            </a:solidFill>
          </a:endParaRPr>
        </a:p>
      </cdr:txBody>
    </cdr:sp>
  </cdr:relSizeAnchor>
  <cdr:relSizeAnchor xmlns:cdr="http://schemas.openxmlformats.org/drawingml/2006/chartDrawing">
    <cdr:from>
      <cdr:x>0.05962</cdr:x>
      <cdr:y>0.85612</cdr:y>
    </cdr:from>
    <cdr:to>
      <cdr:x>0.26588</cdr:x>
      <cdr:y>0.89374</cdr:y>
    </cdr:to>
    <cdr:sp>
      <cdr:nvSpPr>
        <cdr:cNvPr id="3" name="Rectangles 2"/>
        <cdr:cNvSpPr/>
      </cdr:nvSpPr>
      <cdr:spPr xmlns:a="http://schemas.openxmlformats.org/drawingml/2006/main">
        <a:xfrm xmlns:a="http://schemas.openxmlformats.org/drawingml/2006/main">
          <a:off x="185015" y="1816293"/>
          <a:ext cx="640076" cy="79812"/>
        </a:xfrm>
        <a:prstGeom xmlns:a="http://schemas.openxmlformats.org/drawingml/2006/main" prst="rect">
          <a:avLst/>
        </a:prstGeom>
        <a:noFill/>
      </cdr:spPr>
      <cdr:txBody xmlns:a="http://schemas.openxmlformats.org/drawingml/2006/main">
        <a:bodyPr vert="horz" wrap="square" lIns="0" tIns="0" rIns="0" bIns="0" rtlCol="0" anchor="t" anchorCtr="0">
          <a:no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el-GR" sz="600" dirty="0">
              <a:solidFill>
                <a:sysClr val="windowText" lastClr="000000"/>
              </a:solidFill>
            </a:rPr>
            <a:t>Λοιπές προβλέψεις</a:t>
          </a:r>
          <a:r>
            <a:rPr lang="en-US" sz="600" baseline="0" dirty="0">
              <a:solidFill>
                <a:sysClr val="windowText" lastClr="000000"/>
              </a:solidFill>
            </a:rPr>
            <a:t> </a:t>
          </a:r>
          <a:endParaRPr lang="el-GR" sz="600" dirty="0">
            <a:solidFill>
              <a:sysClr val="windowText" lastClr="000000"/>
            </a:solidFill>
          </a:endParaRPr>
        </a:p>
      </cdr:txBody>
    </cdr:sp>
  </cdr:relSizeAnchor>
  <cdr:relSizeAnchor xmlns:cdr="http://schemas.openxmlformats.org/drawingml/2006/chartDrawing">
    <cdr:from>
      <cdr:x>0.05962</cdr:x>
      <cdr:y>0.76467</cdr:y>
    </cdr:from>
    <cdr:to>
      <cdr:x>0.33238</cdr:x>
      <cdr:y>0.84424</cdr:y>
    </cdr:to>
    <cdr:sp>
      <cdr:nvSpPr>
        <cdr:cNvPr id="4" name="Rectangles 3"/>
        <cdr:cNvSpPr/>
      </cdr:nvSpPr>
      <cdr:spPr xmlns:a="http://schemas.openxmlformats.org/drawingml/2006/main">
        <a:xfrm xmlns:a="http://schemas.openxmlformats.org/drawingml/2006/main">
          <a:off x="185015" y="1622264"/>
          <a:ext cx="846442" cy="168831"/>
        </a:xfrm>
        <a:prstGeom xmlns:a="http://schemas.openxmlformats.org/drawingml/2006/main" prst="rect">
          <a:avLst/>
        </a:prstGeom>
        <a:noFill/>
      </cdr:spPr>
      <cdr:txBody xmlns:a="http://schemas.openxmlformats.org/drawingml/2006/main">
        <a:bodyPr vert="horz" wrap="square" lIns="0" tIns="0" rIns="0" bIns="0" rtlCol="0" anchor="t" anchorCtr="0">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el-GR" sz="600" dirty="0">
              <a:solidFill>
                <a:sysClr val="windowText" lastClr="000000"/>
              </a:solidFill>
            </a:rPr>
            <a:t>Προβλέψεις για </a:t>
          </a:r>
          <a:endParaRPr lang="el-GR" sz="600" dirty="0">
            <a:solidFill>
              <a:sysClr val="windowText" lastClr="000000"/>
            </a:solidFill>
          </a:endParaRPr>
        </a:p>
        <a:p>
          <a:r>
            <a:rPr lang="el-GR" sz="600" dirty="0">
              <a:solidFill>
                <a:sysClr val="windowText" lastClr="000000"/>
              </a:solidFill>
            </a:rPr>
            <a:t>επισφαλή δάνεια</a:t>
          </a:r>
          <a:endParaRPr lang="el-GR" sz="600" dirty="0">
            <a:solidFill>
              <a:sysClr val="windowText" lastClr="000000"/>
            </a:solidFill>
          </a:endParaRPr>
        </a:p>
      </cdr:txBody>
    </cdr:sp>
  </cdr:relSizeAnchor>
  <cdr:relSizeAnchor xmlns:cdr="http://schemas.openxmlformats.org/drawingml/2006/chartDrawing">
    <cdr:from>
      <cdr:x>0.05962</cdr:x>
      <cdr:y>0.61763</cdr:y>
    </cdr:from>
    <cdr:to>
      <cdr:x>0.31588</cdr:x>
      <cdr:y>0.6972</cdr:y>
    </cdr:to>
    <cdr:sp>
      <cdr:nvSpPr>
        <cdr:cNvPr id="5" name="Rectangles 4"/>
        <cdr:cNvSpPr/>
      </cdr:nvSpPr>
      <cdr:spPr xmlns:a="http://schemas.openxmlformats.org/drawingml/2006/main">
        <a:xfrm xmlns:a="http://schemas.openxmlformats.org/drawingml/2006/main">
          <a:off x="185015" y="1458188"/>
          <a:ext cx="795238" cy="187859"/>
        </a:xfrm>
        <a:prstGeom xmlns:a="http://schemas.openxmlformats.org/drawingml/2006/main" prst="rect">
          <a:avLst/>
        </a:prstGeom>
        <a:noFill/>
      </cdr:spPr>
      <cdr:txBody xmlns:a="http://schemas.openxmlformats.org/drawingml/2006/main">
        <a:bodyPr vert="horz" wrap="square" lIns="0" tIns="0" rIns="0" bIns="0" rtlCol="0" anchor="t" anchorCtr="0">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el-GR" sz="600" dirty="0">
              <a:solidFill>
                <a:sysClr val="windowText" lastClr="000000"/>
              </a:solidFill>
            </a:rPr>
            <a:t>Οργανικά</a:t>
          </a:r>
          <a:r>
            <a:rPr lang="el-GR" sz="600" baseline="0" dirty="0">
              <a:solidFill>
                <a:sysClr val="windowText" lastClr="000000"/>
              </a:solidFill>
            </a:rPr>
            <a:t> κέρδη</a:t>
          </a:r>
          <a:endParaRPr lang="el-GR" sz="600" baseline="0" dirty="0">
            <a:solidFill>
              <a:sysClr val="windowText" lastClr="000000"/>
            </a:solidFill>
          </a:endParaRPr>
        </a:p>
        <a:p>
          <a:r>
            <a:rPr lang="el-GR" sz="600" baseline="0" dirty="0">
              <a:solidFill>
                <a:sysClr val="windowText" lastClr="000000"/>
              </a:solidFill>
            </a:rPr>
            <a:t> προ προβλέψεων</a:t>
          </a:r>
          <a:endParaRPr lang="el-GR" sz="600" dirty="0">
            <a:solidFill>
              <a:sysClr val="windowText" lastClr="000000"/>
            </a:solidFill>
          </a:endParaRPr>
        </a:p>
      </cdr:txBody>
    </cdr:sp>
  </cdr:relSizeAnchor>
  <cdr:relSizeAnchor xmlns:cdr="http://schemas.openxmlformats.org/drawingml/2006/chartDrawing">
    <cdr:from>
      <cdr:x>0.40528</cdr:x>
      <cdr:y>0.24536</cdr:y>
    </cdr:from>
    <cdr:to>
      <cdr:x>0.51779</cdr:x>
      <cdr:y>0.34791</cdr:y>
    </cdr:to>
    <cdr:sp>
      <cdr:nvSpPr>
        <cdr:cNvPr id="6" name="Rectangles 5"/>
        <cdr:cNvSpPr/>
      </cdr:nvSpPr>
      <cdr:spPr xmlns:a="http://schemas.openxmlformats.org/drawingml/2006/main">
        <a:xfrm xmlns:a="http://schemas.openxmlformats.org/drawingml/2006/main">
          <a:off x="1257688" y="520540"/>
          <a:ext cx="349135" cy="217560"/>
        </a:xfrm>
        <a:prstGeom xmlns:a="http://schemas.openxmlformats.org/drawingml/2006/main" prst="rect">
          <a:avLst/>
        </a:prstGeom>
        <a:noFill/>
      </cdr:spPr>
      <cdr:txBody xmlns:a="http://schemas.openxmlformats.org/drawingml/2006/main">
        <a:bodyPr vert="horz" wrap="none" lIns="45720" tIns="45720" rIns="45720" bIns="45720" rtlCol="0" anchor="t" anchorCtr="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800" b="1" kern="0" dirty="0">
              <a:solidFill>
                <a:sysClr val="windowText" lastClr="000000"/>
              </a:solidFill>
              <a:latin typeface="Aptos" pitchFamily="2" charset="0"/>
            </a:rPr>
            <a:t>908</a:t>
          </a:r>
          <a:endParaRPr lang="en-US" sz="800" b="1" kern="0" dirty="0">
            <a:solidFill>
              <a:sysClr val="windowText" lastClr="000000"/>
            </a:solidFill>
            <a:latin typeface="Aptos" pitchFamily="2" charset="0"/>
          </a:endParaRPr>
        </a:p>
      </cdr:txBody>
    </cdr:sp>
  </cdr:relSizeAnchor>
  <cdr:relSizeAnchor xmlns:cdr="http://schemas.openxmlformats.org/drawingml/2006/chartDrawing">
    <cdr:from>
      <cdr:x>0.68125</cdr:x>
      <cdr:y>0.02789</cdr:y>
    </cdr:from>
    <cdr:to>
      <cdr:x>0.82134</cdr:x>
      <cdr:y>0.12004</cdr:y>
    </cdr:to>
    <cdr:sp>
      <cdr:nvSpPr>
        <cdr:cNvPr id="7" name="Rectangles 6"/>
        <cdr:cNvSpPr/>
      </cdr:nvSpPr>
      <cdr:spPr xmlns:a="http://schemas.openxmlformats.org/drawingml/2006/main">
        <a:xfrm xmlns:a="http://schemas.openxmlformats.org/drawingml/2006/main">
          <a:off x="2114093" y="65837"/>
          <a:ext cx="434735" cy="217560"/>
        </a:xfrm>
        <a:prstGeom xmlns:a="http://schemas.openxmlformats.org/drawingml/2006/main" prst="rect">
          <a:avLst/>
        </a:prstGeom>
        <a:noFill/>
      </cdr:spPr>
      <cdr:txBody xmlns:a="http://schemas.openxmlformats.org/drawingml/2006/main">
        <a:bodyPr vert="horz" wrap="none" lIns="45720" tIns="45720" rIns="45720" bIns="45720" rtlCol="0" anchor="t" anchorCtr="0">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r>
            <a:rPr lang="en-US" sz="800" b="1" kern="0" dirty="0">
              <a:solidFill>
                <a:sysClr val="windowText" lastClr="000000"/>
              </a:solidFill>
              <a:latin typeface="Aptos" pitchFamily="2" charset="0"/>
            </a:rPr>
            <a:t>1.602</a:t>
          </a:r>
          <a:endParaRPr lang="en-US" sz="800" b="1" kern="0" dirty="0">
            <a:solidFill>
              <a:sysClr val="windowText" lastClr="000000"/>
            </a:solidFill>
            <a:latin typeface="Aptos" pitchFamily="2"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0.5962</cdr:x>
      <cdr:y>0.0276</cdr:y>
    </cdr:from>
    <cdr:to>
      <cdr:x>0.73767</cdr:x>
      <cdr:y>0.99146</cdr:y>
    </cdr:to>
    <cdr:sp>
      <cdr:nvSpPr>
        <cdr:cNvPr id="2" name="Rectangles 1"/>
        <cdr:cNvSpPr/>
      </cdr:nvSpPr>
      <cdr:spPr xmlns:a="http://schemas.openxmlformats.org/drawingml/2006/main">
        <a:xfrm xmlns:a="http://schemas.openxmlformats.org/drawingml/2006/main">
          <a:off x="1892925" y="54680"/>
          <a:ext cx="449167" cy="1909599"/>
        </a:xfrm>
        <a:prstGeom xmlns:a="http://schemas.openxmlformats.org/drawingml/2006/main" prst="rect">
          <a:avLst/>
        </a:prstGeom>
        <a:noFill/>
        <a:ln w="19050">
          <a:solidFill>
            <a:srgbClr val="FF7415"/>
          </a:solidFill>
          <a:prstDash val="sysDot"/>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horz" wrap="none" lIns="45720" tIns="45720" rIns="45720" bIns="45720" anchor="t" anchorCtr="0">
          <a:normAutofit/>
        </a:bodyPr>
        <a:lstStyle/>
        <a:p>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0.85261</cdr:x>
      <cdr:y>0.03563</cdr:y>
    </cdr:from>
    <cdr:to>
      <cdr:x>0.95736</cdr:x>
      <cdr:y>0.11322</cdr:y>
    </cdr:to>
    <cdr:sp>
      <cdr:nvSpPr>
        <cdr:cNvPr id="2" name="Rectangles 1"/>
        <cdr:cNvSpPr/>
      </cdr:nvSpPr>
      <cdr:spPr xmlns:a="http://schemas.openxmlformats.org/drawingml/2006/main">
        <a:xfrm xmlns:a="http://schemas.openxmlformats.org/drawingml/2006/main">
          <a:off x="2645873" y="76089"/>
          <a:ext cx="325065" cy="165693"/>
        </a:xfrm>
        <a:prstGeom xmlns:a="http://schemas.openxmlformats.org/drawingml/2006/main" prst="rect">
          <a:avLst/>
        </a:prstGeom>
        <a:noFill/>
      </cdr:spPr>
      <cdr:txBody xmlns:a="http://schemas.openxmlformats.org/drawingml/2006/main">
        <a:bodyPr vert="horz" wrap="none" lIns="45720" tIns="45720" rIns="45720" bIns="45720" rtlCol="0" anchor="t" anchorCtr="0">
          <a:no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r>
            <a:rPr lang="en-US" sz="800" b="1" kern="0" dirty="0">
              <a:solidFill>
                <a:sysClr val="windowText" lastClr="000000"/>
              </a:solidFill>
              <a:latin typeface="Aptos" pitchFamily="2" charset="0"/>
            </a:rPr>
            <a:t>594</a:t>
          </a:r>
          <a:endParaRPr lang="en-US" sz="800" b="1" kern="0" dirty="0">
            <a:solidFill>
              <a:sysClr val="windowText" lastClr="000000"/>
            </a:solidFill>
            <a:latin typeface="Aptos" pitchFamily="2" charset="0"/>
          </a:endParaRPr>
        </a:p>
      </cdr:txBody>
    </cdr:sp>
  </cdr:relSizeAnchor>
  <cdr:relSizeAnchor xmlns:cdr="http://schemas.openxmlformats.org/drawingml/2006/chartDrawing">
    <cdr:from>
      <cdr:x>0.72735</cdr:x>
      <cdr:y>0.09764</cdr:y>
    </cdr:from>
    <cdr:to>
      <cdr:x>0.8321</cdr:x>
      <cdr:y>0.17523</cdr:y>
    </cdr:to>
    <cdr:sp>
      <cdr:nvSpPr>
        <cdr:cNvPr id="3" name="Rectangles 2"/>
        <cdr:cNvSpPr/>
      </cdr:nvSpPr>
      <cdr:spPr xmlns:a="http://schemas.openxmlformats.org/drawingml/2006/main">
        <a:xfrm xmlns:a="http://schemas.openxmlformats.org/drawingml/2006/main">
          <a:off x="2257134" y="233680"/>
          <a:ext cx="325090" cy="185704"/>
        </a:xfrm>
        <a:prstGeom xmlns:a="http://schemas.openxmlformats.org/drawingml/2006/main" prst="rect">
          <a:avLst/>
        </a:prstGeom>
        <a:noFill/>
      </cdr:spPr>
      <cdr:txBody xmlns:a="http://schemas.openxmlformats.org/drawingml/2006/main">
        <a:bodyPr vert="horz" wrap="none" lIns="45720" tIns="45720" rIns="45720" bIns="45720" rtlCol="0" anchor="t" anchorCtr="0">
          <a:no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r>
            <a:rPr lang="en-US" sz="800" b="0" kern="0" dirty="0">
              <a:solidFill>
                <a:sysClr val="windowText" lastClr="000000"/>
              </a:solidFill>
              <a:latin typeface="Aptos" pitchFamily="2" charset="0"/>
            </a:rPr>
            <a:t>563</a:t>
          </a:r>
          <a:endParaRPr lang="en-US" sz="800" b="0" kern="0" dirty="0">
            <a:solidFill>
              <a:sysClr val="windowText" lastClr="000000"/>
            </a:solidFill>
            <a:latin typeface="Aptos" pitchFamily="2" charset="0"/>
          </a:endParaRPr>
        </a:p>
      </cdr:txBody>
    </cdr:sp>
  </cdr:relSizeAnchor>
  <cdr:relSizeAnchor xmlns:cdr="http://schemas.openxmlformats.org/drawingml/2006/chartDrawing">
    <cdr:from>
      <cdr:x>0.60023</cdr:x>
      <cdr:y>0.1388</cdr:y>
    </cdr:from>
    <cdr:to>
      <cdr:x>0.70499</cdr:x>
      <cdr:y>0.21639</cdr:y>
    </cdr:to>
    <cdr:sp>
      <cdr:nvSpPr>
        <cdr:cNvPr id="4" name="Rectangles 3"/>
        <cdr:cNvSpPr/>
      </cdr:nvSpPr>
      <cdr:spPr xmlns:a="http://schemas.openxmlformats.org/drawingml/2006/main">
        <a:xfrm xmlns:a="http://schemas.openxmlformats.org/drawingml/2006/main">
          <a:off x="1862661" y="332188"/>
          <a:ext cx="325090" cy="185704"/>
        </a:xfrm>
        <a:prstGeom xmlns:a="http://schemas.openxmlformats.org/drawingml/2006/main" prst="rect">
          <a:avLst/>
        </a:prstGeom>
        <a:noFill/>
      </cdr:spPr>
      <cdr:txBody xmlns:a="http://schemas.openxmlformats.org/drawingml/2006/main">
        <a:bodyPr vert="horz" wrap="none" lIns="45720" tIns="45720" rIns="45720" bIns="45720" rtlCol="0" anchor="t" anchorCtr="0">
          <a:no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r>
            <a:rPr lang="en-US" sz="800" b="0" kern="0" dirty="0">
              <a:solidFill>
                <a:sysClr val="windowText" lastClr="000000"/>
              </a:solidFill>
              <a:latin typeface="Aptos" pitchFamily="2" charset="0"/>
            </a:rPr>
            <a:t>529</a:t>
          </a:r>
          <a:endParaRPr lang="en-US" sz="800" b="0" kern="0" dirty="0">
            <a:solidFill>
              <a:sysClr val="windowText" lastClr="000000"/>
            </a:solidFill>
            <a:latin typeface="Aptos" pitchFamily="2" charset="0"/>
          </a:endParaRPr>
        </a:p>
      </cdr:txBody>
    </cdr:sp>
  </cdr:relSizeAnchor>
  <cdr:relSizeAnchor xmlns:cdr="http://schemas.openxmlformats.org/drawingml/2006/chartDrawing">
    <cdr:from>
      <cdr:x>0.47468</cdr:x>
      <cdr:y>0.18199</cdr:y>
    </cdr:from>
    <cdr:to>
      <cdr:x>0.57944</cdr:x>
      <cdr:y>0.25958</cdr:y>
    </cdr:to>
    <cdr:sp>
      <cdr:nvSpPr>
        <cdr:cNvPr id="5" name="Rectangles 4"/>
        <cdr:cNvSpPr/>
      </cdr:nvSpPr>
      <cdr:spPr xmlns:a="http://schemas.openxmlformats.org/drawingml/2006/main">
        <a:xfrm xmlns:a="http://schemas.openxmlformats.org/drawingml/2006/main">
          <a:off x="1473047" y="435555"/>
          <a:ext cx="325090" cy="185704"/>
        </a:xfrm>
        <a:prstGeom xmlns:a="http://schemas.openxmlformats.org/drawingml/2006/main" prst="rect">
          <a:avLst/>
        </a:prstGeom>
        <a:noFill/>
      </cdr:spPr>
      <cdr:txBody xmlns:a="http://schemas.openxmlformats.org/drawingml/2006/main">
        <a:bodyPr vert="horz" wrap="none" lIns="45720" tIns="45720" rIns="45720" bIns="45720" rtlCol="0" anchor="t" anchorCtr="0">
          <a:no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r>
            <a:rPr lang="en-US" sz="800" b="0" kern="0" dirty="0">
              <a:solidFill>
                <a:sysClr val="windowText" lastClr="000000"/>
              </a:solidFill>
              <a:latin typeface="Aptos" pitchFamily="2" charset="0"/>
            </a:rPr>
            <a:t>474</a:t>
          </a:r>
          <a:endParaRPr lang="en-US" sz="800" b="0" kern="0" dirty="0">
            <a:solidFill>
              <a:sysClr val="windowText" lastClr="000000"/>
            </a:solidFill>
            <a:latin typeface="Aptos" pitchFamily="2" charset="0"/>
          </a:endParaRPr>
        </a:p>
      </cdr:txBody>
    </cdr:sp>
  </cdr:relSizeAnchor>
  <cdr:relSizeAnchor xmlns:cdr="http://schemas.openxmlformats.org/drawingml/2006/chartDrawing">
    <cdr:from>
      <cdr:x>0.34913</cdr:x>
      <cdr:y>0.21189</cdr:y>
    </cdr:from>
    <cdr:to>
      <cdr:x>0.45389</cdr:x>
      <cdr:y>0.28948</cdr:y>
    </cdr:to>
    <cdr:sp>
      <cdr:nvSpPr>
        <cdr:cNvPr id="6" name="Rectangles 5"/>
        <cdr:cNvSpPr/>
      </cdr:nvSpPr>
      <cdr:spPr xmlns:a="http://schemas.openxmlformats.org/drawingml/2006/main">
        <a:xfrm xmlns:a="http://schemas.openxmlformats.org/drawingml/2006/main">
          <a:off x="1083433" y="507117"/>
          <a:ext cx="325090" cy="185704"/>
        </a:xfrm>
        <a:prstGeom xmlns:a="http://schemas.openxmlformats.org/drawingml/2006/main" prst="rect">
          <a:avLst/>
        </a:prstGeom>
        <a:noFill/>
      </cdr:spPr>
      <cdr:txBody xmlns:a="http://schemas.openxmlformats.org/drawingml/2006/main">
        <a:bodyPr vert="horz" wrap="none" lIns="45720" tIns="45720" rIns="45720" bIns="45720" rtlCol="0" anchor="t" anchorCtr="0">
          <a:no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r>
            <a:rPr lang="en-US" sz="800" b="0" kern="0" dirty="0">
              <a:solidFill>
                <a:sysClr val="windowText" lastClr="000000"/>
              </a:solidFill>
              <a:latin typeface="Aptos" pitchFamily="2" charset="0"/>
            </a:rPr>
            <a:t>401</a:t>
          </a:r>
          <a:endParaRPr lang="en-US" sz="800" b="0" kern="0" dirty="0">
            <a:solidFill>
              <a:sysClr val="windowText" lastClr="000000"/>
            </a:solidFill>
            <a:latin typeface="Aptos" pitchFamily="2"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0.01873</cdr:x>
      <cdr:y>0.20806</cdr:y>
    </cdr:from>
    <cdr:to>
      <cdr:x>0.28875</cdr:x>
      <cdr:y>0.50221</cdr:y>
    </cdr:to>
    <cdr:grpSp>
      <cdr:nvGrpSpPr>
        <cdr:cNvPr id="2" name="Group 1"/>
        <cdr:cNvGrpSpPr/>
      </cdr:nvGrpSpPr>
      <cdr:grpSpPr xmlns:a="http://schemas.openxmlformats.org/drawingml/2006/main">
        <a:xfrm>
          <a:off x="58124" y="358040"/>
          <a:ext cx="837938" cy="506188"/>
          <a:chOff x="-4378442" y="-4746758"/>
          <a:chExt cx="932367" cy="592529"/>
        </a:xfrm>
        <a:solidFill>
          <a:srgbClr val="00CFE7"/>
        </a:solidFill>
      </cdr:grpSpPr>
      <cdr:sp>
        <cdr:nvSpPr>
          <cdr:cNvPr id="3" name="Rounded Rectangle 2"/>
          <cdr:cNvSpPr/>
        </cdr:nvSpPr>
        <cdr:spPr xmlns:a="http://schemas.openxmlformats.org/drawingml/2006/main">
          <a:xfrm xmlns:a="http://schemas.openxmlformats.org/drawingml/2006/main">
            <a:off x="-4378442" y="-4746758"/>
            <a:ext cx="932367" cy="450805"/>
          </a:xfrm>
          <a:prstGeom xmlns:a="http://schemas.openxmlformats.org/drawingml/2006/main" prst="roundRect">
            <a:avLst>
              <a:gd name="adj" fmla="val 7801"/>
            </a:avLst>
          </a:prstGeom>
          <a:noFill/>
          <a:ln w="6350" cap="flat" cmpd="sng" algn="ctr">
            <a:solidFill>
              <a:srgbClr val="00CFE7"/>
            </a:solidFill>
            <a:prstDash val="solid"/>
            <a:miter lim="800000"/>
          </a:ln>
          <a:effectLst/>
        </cdr:spPr>
        <cdr:txBody xmlns:a="http://schemas.openxmlformats.org/drawingml/2006/main">
          <a:bodyPr vert="horz" wrap="square" lIns="72000" tIns="72000" rIns="72000" bIns="72000" rtlCol="0" anchor="b" anchorCtr="0">
            <a:noAutofit/>
          </a:bodyPr>
          <a:lstStyle/>
          <a:p>
            <a:pPr marL="0" marR="0" algn="ctr">
              <a:spcBef>
                <a:spcPts val="0"/>
              </a:spcBef>
              <a:spcAft>
                <a:spcPts val="0"/>
              </a:spcAft>
            </a:pPr>
            <a:r>
              <a:rPr lang="el-GR" sz="600" b="1" kern="1200">
                <a:solidFill>
                  <a:srgbClr val="003841"/>
                </a:solidFill>
                <a:effectLst/>
                <a:latin typeface="Aptos" pitchFamily="2" charset="0"/>
                <a:ea typeface="Calibri" panose="020F0502020204030204" charset="0"/>
                <a:cs typeface="Times New Roman" panose="02020603050405020304" charset="0"/>
              </a:rPr>
              <a:t>εκ των οποίων €0,2 δισ. ή ~72% &lt;30 ημερών</a:t>
            </a:r>
            <a:endParaRPr lang="el-GR" sz="1200">
              <a:effectLst/>
              <a:latin typeface="Calibri" panose="020F0502020204030204" charset="0"/>
              <a:ea typeface="Calibri" panose="020F0502020204030204" charset="0"/>
              <a:cs typeface="Times New Roman" panose="02020603050405020304" charset="0"/>
            </a:endParaRPr>
          </a:p>
        </cdr:txBody>
      </cdr:sp>
      <cdr:sp>
        <cdr:nvSpPr>
          <cdr:cNvPr id="4" name="Isosceles Triangle 3"/>
          <cdr:cNvSpPr/>
        </cdr:nvSpPr>
        <cdr:spPr xmlns:a="http://schemas.openxmlformats.org/drawingml/2006/main">
          <a:xfrm xmlns:a="http://schemas.openxmlformats.org/drawingml/2006/main" flipH="1" flipV="1">
            <a:off x="-3935066" y="-4270600"/>
            <a:ext cx="163164" cy="116371"/>
          </a:xfrm>
          <a:prstGeom xmlns:a="http://schemas.openxmlformats.org/drawingml/2006/main" prst="triangle">
            <a:avLst/>
          </a:prstGeom>
          <a:grpFill/>
          <a:ln w="12700" cap="flat" cmpd="sng" algn="ctr">
            <a:noFill/>
            <a:prstDash val="solid"/>
            <a:miter lim="800000"/>
          </a:ln>
          <a:effectLst/>
        </cdr:spPr>
        <cdr:txBody xmlns:a="http://schemas.openxmlformats.org/drawingml/2006/main">
          <a:bodyPr vert="horz" wrap="none" lIns="72000" tIns="72000" rIns="72000" bIns="72000" rtlCol="0" anchor="ctr" anchorCtr="0">
            <a:normAutofit/>
          </a:bodyPr>
          <a:lstStyle/>
          <a:p>
            <a:endParaRPr lang="el-GR" sz="1050"/>
          </a:p>
        </cdr:txBody>
      </cdr:sp>
    </cdr:grpSp>
  </cdr:relSizeAnchor>
  <cdr:relSizeAnchor xmlns:cdr="http://schemas.openxmlformats.org/drawingml/2006/chartDrawing">
    <cdr:from>
      <cdr:x>0.69496</cdr:x>
      <cdr:y>0.02952</cdr:y>
    </cdr:from>
    <cdr:to>
      <cdr:x>0.9618</cdr:x>
      <cdr:y>0.32829</cdr:y>
    </cdr:to>
    <cdr:grpSp>
      <cdr:nvGrpSpPr>
        <cdr:cNvPr id="5" name="Group 4"/>
        <cdr:cNvGrpSpPr/>
      </cdr:nvGrpSpPr>
      <cdr:grpSpPr xmlns:a="http://schemas.openxmlformats.org/drawingml/2006/main">
        <a:xfrm>
          <a:off x="2156631" y="50799"/>
          <a:ext cx="828070" cy="514138"/>
          <a:chOff x="-6472699" y="-4168897"/>
          <a:chExt cx="868055" cy="582177"/>
        </a:xfrm>
        <a:solidFill>
          <a:srgbClr val="00CFE7"/>
        </a:solidFill>
      </cdr:grpSpPr>
      <cdr:sp>
        <cdr:nvSpPr>
          <cdr:cNvPr id="6" name="Rounded Rectangle 5"/>
          <cdr:cNvSpPr/>
        </cdr:nvSpPr>
        <cdr:spPr xmlns:a="http://schemas.openxmlformats.org/drawingml/2006/main">
          <a:xfrm xmlns:a="http://schemas.openxmlformats.org/drawingml/2006/main">
            <a:off x="-6472699" y="-4168897"/>
            <a:ext cx="868055" cy="436078"/>
          </a:xfrm>
          <a:prstGeom xmlns:a="http://schemas.openxmlformats.org/drawingml/2006/main" prst="roundRect">
            <a:avLst>
              <a:gd name="adj" fmla="val 7801"/>
            </a:avLst>
          </a:prstGeom>
          <a:noFill/>
          <a:ln w="6350" cap="flat" cmpd="sng" algn="ctr">
            <a:solidFill>
              <a:srgbClr val="00CFE7"/>
            </a:solidFill>
            <a:prstDash val="solid"/>
            <a:miter lim="800000"/>
          </a:ln>
          <a:effectLst/>
        </cdr:spPr>
        <cdr:txBody xmlns:a="http://schemas.openxmlformats.org/drawingml/2006/main">
          <a:bodyPr vert="horz" wrap="square" lIns="72000" tIns="72000" rIns="72000" bIns="72000" rtlCol="0" anchor="b" anchorCtr="0">
            <a:noAutofit/>
          </a:bodyPr>
          <a:lstStyle/>
          <a:p>
            <a:pPr marL="0" marR="0" algn="ctr">
              <a:spcBef>
                <a:spcPts val="0"/>
              </a:spcBef>
              <a:spcAft>
                <a:spcPts val="0"/>
              </a:spcAft>
            </a:pPr>
            <a:r>
              <a:rPr lang="el-GR" sz="600" b="1" kern="1200">
                <a:solidFill>
                  <a:srgbClr val="003841"/>
                </a:solidFill>
                <a:effectLst/>
                <a:latin typeface="Aptos" pitchFamily="2" charset="0"/>
                <a:ea typeface="Calibri" panose="020F0502020204030204" charset="0"/>
                <a:cs typeface="Times New Roman" panose="02020603050405020304" charset="0"/>
              </a:rPr>
              <a:t>εκ των οποίων €0,3 δισ. ή ~43% &lt;30 ημερών</a:t>
            </a:r>
            <a:endParaRPr lang="el-GR" sz="1200">
              <a:effectLst/>
              <a:latin typeface="Calibri" panose="020F0502020204030204" charset="0"/>
              <a:ea typeface="Calibri" panose="020F0502020204030204" charset="0"/>
              <a:cs typeface="Times New Roman" panose="02020603050405020304" charset="0"/>
            </a:endParaRPr>
          </a:p>
        </cdr:txBody>
      </cdr:sp>
      <cdr:sp>
        <cdr:nvSpPr>
          <cdr:cNvPr id="7" name="Isosceles Triangle 6"/>
          <cdr:cNvSpPr/>
        </cdr:nvSpPr>
        <cdr:spPr xmlns:a="http://schemas.openxmlformats.org/drawingml/2006/main">
          <a:xfrm xmlns:a="http://schemas.openxmlformats.org/drawingml/2006/main" flipH="1" flipV="1">
            <a:off x="-5789137" y="-3699290"/>
            <a:ext cx="153723" cy="112570"/>
          </a:xfrm>
          <a:prstGeom xmlns:a="http://schemas.openxmlformats.org/drawingml/2006/main" prst="triangle">
            <a:avLst/>
          </a:prstGeom>
          <a:grpFill/>
          <a:ln w="12700" cap="flat" cmpd="sng" algn="ctr">
            <a:noFill/>
            <a:prstDash val="solid"/>
            <a:miter lim="800000"/>
          </a:ln>
          <a:effectLst/>
        </cdr:spPr>
        <cdr:txBody xmlns:a="http://schemas.openxmlformats.org/drawingml/2006/main">
          <a:bodyPr vert="horz" wrap="none" lIns="72000" tIns="72000" rIns="72000" bIns="72000" rtlCol="0" anchor="ctr" anchorCtr="0">
            <a:normAutofit/>
          </a:bodyPr>
          <a:lstStyle/>
          <a:p>
            <a:endParaRPr lang="el-GR"/>
          </a:p>
        </cdr:txBody>
      </cdr:sp>
    </cdr:grpSp>
  </cdr:relSizeAnchor>
  <cdr:relSizeAnchor xmlns:cdr="http://schemas.openxmlformats.org/drawingml/2006/chartDrawing">
    <cdr:from>
      <cdr:x>0.01982</cdr:x>
      <cdr:y>0.84177</cdr:y>
    </cdr:from>
    <cdr:to>
      <cdr:x>0.22608</cdr:x>
      <cdr:y>0.97461</cdr:y>
    </cdr:to>
    <cdr:sp>
      <cdr:nvSpPr>
        <cdr:cNvPr id="8" name="Rectangles 7"/>
        <cdr:cNvSpPr/>
      </cdr:nvSpPr>
      <cdr:spPr xmlns:a="http://schemas.openxmlformats.org/drawingml/2006/main">
        <a:xfrm xmlns:a="http://schemas.openxmlformats.org/drawingml/2006/main">
          <a:off x="61493" y="1448562"/>
          <a:ext cx="640075" cy="228598"/>
        </a:xfrm>
        <a:prstGeom xmlns:a="http://schemas.openxmlformats.org/drawingml/2006/main" prst="rect">
          <a:avLst/>
        </a:prstGeom>
        <a:noFill/>
      </cdr:spPr>
      <cdr:txBody xmlns:a="http://schemas.openxmlformats.org/drawingml/2006/main">
        <a:bodyPr vert="horz" wrap="square" lIns="45720" tIns="45720" rIns="45720" bIns="45720" rtlCol="0" anchor="t" anchorCtr="0">
          <a:noAutofit/>
        </a:bodyPr>
        <a:lstStyle/>
        <a:p>
          <a:pPr marL="0" marR="0" algn="ctr" fontAlgn="base">
            <a:spcBef>
              <a:spcPts val="0"/>
            </a:spcBef>
            <a:spcAft>
              <a:spcPts val="0"/>
            </a:spcAft>
          </a:pPr>
          <a:r>
            <a:rPr lang="el-GR" sz="500" kern="1200">
              <a:solidFill>
                <a:sysClr val="windowText" lastClr="000000"/>
              </a:solidFill>
              <a:effectLst/>
              <a:latin typeface="Aptos" pitchFamily="2" charset="0"/>
              <a:ea typeface="Calibri" panose="020F0502020204030204" charset="0"/>
              <a:cs typeface="Segoe UI" panose="020B0502040204020203" pitchFamily="34" charset="0"/>
            </a:rPr>
            <a:t>Στεγαστικά</a:t>
          </a:r>
          <a:endParaRPr lang="el-GR" sz="500">
            <a:solidFill>
              <a:sysClr val="windowText" lastClr="000000"/>
            </a:solidFill>
            <a:effectLst/>
            <a:latin typeface="Calibri" panose="020F0502020204030204" charset="0"/>
            <a:ea typeface="Calibri" panose="020F0502020204030204" charset="0"/>
            <a:cs typeface="Times New Roman" panose="02020603050405020304" charset="0"/>
          </a:endParaRPr>
        </a:p>
      </cdr:txBody>
    </cdr:sp>
  </cdr:relSizeAnchor>
  <cdr:relSizeAnchor xmlns:cdr="http://schemas.openxmlformats.org/drawingml/2006/chartDrawing">
    <cdr:from>
      <cdr:x>0.24848</cdr:x>
      <cdr:y>0.84602</cdr:y>
    </cdr:from>
    <cdr:to>
      <cdr:x>0.51668</cdr:x>
      <cdr:y>0.97886</cdr:y>
    </cdr:to>
    <cdr:sp>
      <cdr:nvSpPr>
        <cdr:cNvPr id="9" name="Rectangles 8"/>
        <cdr:cNvSpPr/>
      </cdr:nvSpPr>
      <cdr:spPr xmlns:a="http://schemas.openxmlformats.org/drawingml/2006/main">
        <a:xfrm xmlns:a="http://schemas.openxmlformats.org/drawingml/2006/main">
          <a:off x="771081" y="1455877"/>
          <a:ext cx="832300" cy="228598"/>
        </a:xfrm>
        <a:prstGeom xmlns:a="http://schemas.openxmlformats.org/drawingml/2006/main" prst="rect">
          <a:avLst/>
        </a:prstGeom>
        <a:noFill/>
      </cdr:spPr>
      <cdr:txBody xmlns:a="http://schemas.openxmlformats.org/drawingml/2006/main">
        <a:bodyPr vert="horz" wrap="square" lIns="45720" tIns="45720" rIns="45720" bIns="45720" rtlCol="0" anchor="t" anchorCtr="0">
          <a:noAutofit/>
        </a:bodyPr>
        <a:lstStyle/>
        <a:p>
          <a:pPr marL="0" marR="0" algn="ctr" fontAlgn="base">
            <a:spcBef>
              <a:spcPts val="0"/>
            </a:spcBef>
            <a:spcAft>
              <a:spcPts val="0"/>
            </a:spcAft>
          </a:pPr>
          <a:r>
            <a:rPr lang="el-GR" sz="500" kern="1200">
              <a:solidFill>
                <a:sysClr val="windowText" lastClr="000000"/>
              </a:solidFill>
              <a:effectLst/>
              <a:latin typeface="Aptos" pitchFamily="2" charset="0"/>
              <a:ea typeface="Calibri" panose="020F0502020204030204" charset="0"/>
              <a:cs typeface="Segoe UI" panose="020B0502040204020203" pitchFamily="34" charset="0"/>
            </a:rPr>
            <a:t>Καταναλωτικά</a:t>
          </a:r>
          <a:endParaRPr lang="el-GR" sz="500">
            <a:solidFill>
              <a:sysClr val="windowText" lastClr="000000"/>
            </a:solidFill>
            <a:effectLst/>
            <a:latin typeface="Calibri" panose="020F0502020204030204" charset="0"/>
            <a:ea typeface="Calibri" panose="020F0502020204030204" charset="0"/>
            <a:cs typeface="Times New Roman" panose="02020603050405020304" charset="0"/>
          </a:endParaRPr>
        </a:p>
      </cdr:txBody>
    </cdr:sp>
  </cdr:relSizeAnchor>
  <cdr:relSizeAnchor xmlns:cdr="http://schemas.openxmlformats.org/drawingml/2006/chartDrawing">
    <cdr:from>
      <cdr:x>0.50895</cdr:x>
      <cdr:y>0.83327</cdr:y>
    </cdr:from>
    <cdr:to>
      <cdr:x>0.73783</cdr:x>
      <cdr:y>0.96608</cdr:y>
    </cdr:to>
    <cdr:sp>
      <cdr:nvSpPr>
        <cdr:cNvPr id="10" name="Rectangles 9"/>
        <cdr:cNvSpPr/>
      </cdr:nvSpPr>
      <cdr:spPr xmlns:a="http://schemas.openxmlformats.org/drawingml/2006/main">
        <a:xfrm xmlns:a="http://schemas.openxmlformats.org/drawingml/2006/main">
          <a:off x="1579393" y="1433932"/>
          <a:ext cx="710264" cy="228549"/>
        </a:xfrm>
        <a:prstGeom xmlns:a="http://schemas.openxmlformats.org/drawingml/2006/main" prst="rect">
          <a:avLst/>
        </a:prstGeom>
        <a:noFill/>
      </cdr:spPr>
      <cdr:txBody xmlns:a="http://schemas.openxmlformats.org/drawingml/2006/main">
        <a:bodyPr vert="horz" wrap="square" lIns="45720" tIns="45720" rIns="45720" bIns="45720" rtlCol="0" anchor="t" anchorCtr="0">
          <a:noAutofit/>
        </a:bodyPr>
        <a:lstStyle/>
        <a:p>
          <a:pPr marL="0" marR="0" algn="ctr" fontAlgn="base">
            <a:spcBef>
              <a:spcPts val="0"/>
            </a:spcBef>
            <a:spcAft>
              <a:spcPts val="0"/>
            </a:spcAft>
          </a:pPr>
          <a:r>
            <a:rPr lang="el-GR" sz="500" kern="1200">
              <a:solidFill>
                <a:sysClr val="windowText" lastClr="000000"/>
              </a:solidFill>
              <a:effectLst/>
              <a:latin typeface="Aptos" pitchFamily="2" charset="0"/>
              <a:ea typeface="Calibri" panose="020F0502020204030204" charset="0"/>
              <a:cs typeface="Segoe UI" panose="020B0502040204020203" pitchFamily="34" charset="0"/>
            </a:rPr>
            <a:t>Μικρές </a:t>
          </a:r>
          <a:endParaRPr lang="el-GR" sz="500" kern="1200">
            <a:solidFill>
              <a:sysClr val="windowText" lastClr="000000"/>
            </a:solidFill>
            <a:effectLst/>
            <a:latin typeface="Aptos" pitchFamily="2" charset="0"/>
            <a:ea typeface="Calibri" panose="020F0502020204030204" charset="0"/>
            <a:cs typeface="Segoe UI" panose="020B0502040204020203" pitchFamily="34" charset="0"/>
          </a:endParaRPr>
        </a:p>
        <a:p>
          <a:pPr marL="0" marR="0" algn="ctr" fontAlgn="base">
            <a:spcBef>
              <a:spcPts val="0"/>
            </a:spcBef>
            <a:spcAft>
              <a:spcPts val="0"/>
            </a:spcAft>
          </a:pPr>
          <a:r>
            <a:rPr lang="el-GR" sz="500" kern="1200">
              <a:solidFill>
                <a:sysClr val="windowText" lastClr="000000"/>
              </a:solidFill>
              <a:effectLst/>
              <a:latin typeface="Aptos" pitchFamily="2" charset="0"/>
              <a:ea typeface="Calibri" panose="020F0502020204030204" charset="0"/>
              <a:cs typeface="Segoe UI" panose="020B0502040204020203" pitchFamily="34" charset="0"/>
            </a:rPr>
            <a:t>Επιχειρήσεις</a:t>
          </a:r>
          <a:endParaRPr lang="el-GR" sz="500">
            <a:solidFill>
              <a:sysClr val="windowText" lastClr="000000"/>
            </a:solidFill>
            <a:effectLst/>
            <a:latin typeface="Calibri" panose="020F0502020204030204" charset="0"/>
            <a:ea typeface="Calibri" panose="020F0502020204030204" charset="0"/>
            <a:cs typeface="Times New Roman" panose="02020603050405020304" charset="0"/>
          </a:endParaRPr>
        </a:p>
      </cdr:txBody>
    </cdr:sp>
  </cdr:relSizeAnchor>
  <cdr:relSizeAnchor xmlns:cdr="http://schemas.openxmlformats.org/drawingml/2006/chartDrawing">
    <cdr:from>
      <cdr:x>0.76513</cdr:x>
      <cdr:y>0.83161</cdr:y>
    </cdr:from>
    <cdr:to>
      <cdr:x>1</cdr:x>
      <cdr:y>0.96445</cdr:y>
    </cdr:to>
    <cdr:sp>
      <cdr:nvSpPr>
        <cdr:cNvPr id="11" name="Rectangles 10"/>
        <cdr:cNvSpPr/>
      </cdr:nvSpPr>
      <cdr:spPr xmlns:a="http://schemas.openxmlformats.org/drawingml/2006/main">
        <a:xfrm xmlns:a="http://schemas.openxmlformats.org/drawingml/2006/main">
          <a:off x="2374376" y="1431069"/>
          <a:ext cx="728869" cy="228598"/>
        </a:xfrm>
        <a:prstGeom xmlns:a="http://schemas.openxmlformats.org/drawingml/2006/main" prst="rect">
          <a:avLst/>
        </a:prstGeom>
        <a:noFill/>
      </cdr:spPr>
      <cdr:txBody xmlns:a="http://schemas.openxmlformats.org/drawingml/2006/main">
        <a:bodyPr vert="horz" wrap="square" lIns="45720" tIns="45720" rIns="45720" bIns="45720" rtlCol="0" anchor="t" anchorCtr="0">
          <a:noAutofit/>
        </a:bodyPr>
        <a:lstStyle/>
        <a:p>
          <a:pPr marL="0" marR="0" algn="ctr" fontAlgn="base">
            <a:spcBef>
              <a:spcPts val="0"/>
            </a:spcBef>
            <a:spcAft>
              <a:spcPts val="0"/>
            </a:spcAft>
          </a:pPr>
          <a:r>
            <a:rPr lang="el-GR" sz="500" kern="1200">
              <a:solidFill>
                <a:sysClr val="windowText" lastClr="000000"/>
              </a:solidFill>
              <a:effectLst/>
              <a:latin typeface="Aptos" pitchFamily="2" charset="0"/>
              <a:ea typeface="Calibri" panose="020F0502020204030204" charset="0"/>
              <a:cs typeface="Segoe UI" panose="020B0502040204020203" pitchFamily="34" charset="0"/>
            </a:rPr>
            <a:t>Μεγάλες  &amp; Μεσαίες </a:t>
          </a:r>
          <a:endParaRPr lang="el-GR" sz="500" kern="1200">
            <a:solidFill>
              <a:sysClr val="windowText" lastClr="000000"/>
            </a:solidFill>
            <a:effectLst/>
            <a:latin typeface="Aptos" pitchFamily="2" charset="0"/>
            <a:ea typeface="Calibri" panose="020F0502020204030204" charset="0"/>
            <a:cs typeface="Segoe UI" panose="020B0502040204020203" pitchFamily="34" charset="0"/>
          </a:endParaRPr>
        </a:p>
        <a:p>
          <a:pPr marL="0" marR="0" algn="ctr" fontAlgn="base">
            <a:spcBef>
              <a:spcPts val="0"/>
            </a:spcBef>
            <a:spcAft>
              <a:spcPts val="0"/>
            </a:spcAft>
          </a:pPr>
          <a:r>
            <a:rPr lang="el-GR" sz="500" kern="1200">
              <a:solidFill>
                <a:sysClr val="windowText" lastClr="000000"/>
              </a:solidFill>
              <a:effectLst/>
              <a:latin typeface="Aptos" pitchFamily="2" charset="0"/>
              <a:ea typeface="Calibri" panose="020F0502020204030204" charset="0"/>
              <a:cs typeface="Segoe UI" panose="020B0502040204020203" pitchFamily="34" charset="0"/>
            </a:rPr>
            <a:t>Επιχειρήσεις</a:t>
          </a:r>
          <a:endParaRPr lang="el-GR" sz="500">
            <a:solidFill>
              <a:sysClr val="windowText" lastClr="000000"/>
            </a:solidFill>
            <a:effectLst/>
            <a:latin typeface="Calibri" panose="020F0502020204030204" charset="0"/>
            <a:ea typeface="Calibri" panose="020F0502020204030204" charset="0"/>
            <a:cs typeface="Times New Roman" panose="02020603050405020304" charset="0"/>
          </a:endParaRPr>
        </a:p>
        <a:p>
          <a:pPr marL="0" marR="0" algn="ctr" fontAlgn="base">
            <a:spcBef>
              <a:spcPts val="0"/>
            </a:spcBef>
            <a:spcAft>
              <a:spcPts val="0"/>
            </a:spcAft>
          </a:pPr>
          <a:endParaRPr lang="el-GR" sz="500">
            <a:solidFill>
              <a:sysClr val="windowText" lastClr="000000"/>
            </a:solidFill>
            <a:effectLst/>
            <a:latin typeface="Calibri" panose="020F0502020204030204" charset="0"/>
            <a:ea typeface="Calibri" panose="020F0502020204030204" charset="0"/>
            <a:cs typeface="Times New Roman" panose="0202060305040502030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0.41919</cdr:x>
      <cdr:y>0.38768</cdr:y>
    </cdr:from>
    <cdr:to>
      <cdr:x>0.59685</cdr:x>
      <cdr:y>0.56434</cdr:y>
    </cdr:to>
    <cdr:sp>
      <cdr:nvSpPr>
        <cdr:cNvPr id="2" name="Rectangles 1"/>
        <cdr:cNvSpPr/>
      </cdr:nvSpPr>
      <cdr:spPr xmlns:a="http://schemas.openxmlformats.org/drawingml/2006/main">
        <a:xfrm xmlns:a="http://schemas.openxmlformats.org/drawingml/2006/main">
          <a:off x="1347436" y="574081"/>
          <a:ext cx="571067" cy="261610"/>
        </a:xfrm>
        <a:prstGeom xmlns:a="http://schemas.openxmlformats.org/drawingml/2006/main" prst="rect">
          <a:avLst/>
        </a:prstGeom>
        <a:noFill/>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NBG Colors 2">
    <a:dk1>
      <a:srgbClr val="000000"/>
    </a:dk1>
    <a:lt1>
      <a:srgbClr val="FFFFFF"/>
    </a:lt1>
    <a:dk2>
      <a:srgbClr val="007B85"/>
    </a:dk2>
    <a:lt2>
      <a:srgbClr val="F5F8F6"/>
    </a:lt2>
    <a:accent1>
      <a:srgbClr val="003841"/>
    </a:accent1>
    <a:accent2>
      <a:srgbClr val="007B85"/>
    </a:accent2>
    <a:accent3>
      <a:srgbClr val="00ADBF"/>
    </a:accent3>
    <a:accent4>
      <a:srgbClr val="00CFE7"/>
    </a:accent4>
    <a:accent5>
      <a:srgbClr val="BEC1BE"/>
    </a:accent5>
    <a:accent6>
      <a:srgbClr val="939793"/>
    </a:accent6>
    <a:hlink>
      <a:srgbClr val="0D90FF"/>
    </a:hlink>
    <a:folHlink>
      <a:srgbClr val="59C3FF"/>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NBG Colors 2">
    <a:dk1>
      <a:srgbClr val="000000"/>
    </a:dk1>
    <a:lt1>
      <a:srgbClr val="FFFFFF"/>
    </a:lt1>
    <a:dk2>
      <a:srgbClr val="007B85"/>
    </a:dk2>
    <a:lt2>
      <a:srgbClr val="F5F8F6"/>
    </a:lt2>
    <a:accent1>
      <a:srgbClr val="003841"/>
    </a:accent1>
    <a:accent2>
      <a:srgbClr val="007B85"/>
    </a:accent2>
    <a:accent3>
      <a:srgbClr val="00ADBF"/>
    </a:accent3>
    <a:accent4>
      <a:srgbClr val="00CFE7"/>
    </a:accent4>
    <a:accent5>
      <a:srgbClr val="BEC1BE"/>
    </a:accent5>
    <a:accent6>
      <a:srgbClr val="939793"/>
    </a:accent6>
    <a:hlink>
      <a:srgbClr val="0D90FF"/>
    </a:hlink>
    <a:folHlink>
      <a:srgbClr val="59C3FF"/>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NBG Colors 2">
    <a:dk1>
      <a:srgbClr val="000000"/>
    </a:dk1>
    <a:lt1>
      <a:srgbClr val="FFFFFF"/>
    </a:lt1>
    <a:dk2>
      <a:srgbClr val="007B85"/>
    </a:dk2>
    <a:lt2>
      <a:srgbClr val="F5F8F6"/>
    </a:lt2>
    <a:accent1>
      <a:srgbClr val="003841"/>
    </a:accent1>
    <a:accent2>
      <a:srgbClr val="007B85"/>
    </a:accent2>
    <a:accent3>
      <a:srgbClr val="00ADBF"/>
    </a:accent3>
    <a:accent4>
      <a:srgbClr val="00CFE7"/>
    </a:accent4>
    <a:accent5>
      <a:srgbClr val="BEC1BE"/>
    </a:accent5>
    <a:accent6>
      <a:srgbClr val="939793"/>
    </a:accent6>
    <a:hlink>
      <a:srgbClr val="0D90FF"/>
    </a:hlink>
    <a:folHlink>
      <a:srgbClr val="59C3FF"/>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NBG Colors 2">
    <a:dk1>
      <a:srgbClr val="000000"/>
    </a:dk1>
    <a:lt1>
      <a:srgbClr val="FFFFFF"/>
    </a:lt1>
    <a:dk2>
      <a:srgbClr val="007B85"/>
    </a:dk2>
    <a:lt2>
      <a:srgbClr val="F5F8F6"/>
    </a:lt2>
    <a:accent1>
      <a:srgbClr val="003841"/>
    </a:accent1>
    <a:accent2>
      <a:srgbClr val="007B85"/>
    </a:accent2>
    <a:accent3>
      <a:srgbClr val="00ADBF"/>
    </a:accent3>
    <a:accent4>
      <a:srgbClr val="00CFE7"/>
    </a:accent4>
    <a:accent5>
      <a:srgbClr val="BEC1BE"/>
    </a:accent5>
    <a:accent6>
      <a:srgbClr val="939793"/>
    </a:accent6>
    <a:hlink>
      <a:srgbClr val="0D90FF"/>
    </a:hlink>
    <a:folHlink>
      <a:srgbClr val="59C3FF"/>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450E6F-70F0-4D67-A414-8E72281C6E11}">
  <ds:schemaRefs/>
</ds:datastoreItem>
</file>

<file path=docProps/app.xml><?xml version="1.0" encoding="utf-8"?>
<Properties xmlns="http://schemas.openxmlformats.org/officeDocument/2006/extended-properties" xmlns:vt="http://schemas.openxmlformats.org/officeDocument/2006/docPropsVTypes">
  <Template>Normal</Template>
  <Company>NBG</Company>
  <Pages>15</Pages>
  <Words>4744</Words>
  <Characters>28656</Characters>
  <Lines>531</Lines>
  <Paragraphs>220</Paragraphs>
  <TotalTime>112</TotalTime>
  <ScaleCrop>false</ScaleCrop>
  <LinksUpToDate>false</LinksUpToDate>
  <CharactersWithSpaces>33710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2024-03-11T10:02:00Z</dcterms:created>
  <dc:creator>Microsoft Office User</dc:creator>
  <cp:lastModifiedBy>kyrianidi</cp:lastModifiedBy>
  <cp:lastPrinted>2024-02-26T17:10:00Z</cp:lastPrinted>
  <dcterms:modified xsi:type="dcterms:W3CDTF">2024-03-12T08:46:37Z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BANK\e40915</vt:lpwstr>
  </property>
  <property fmtid="{D5CDD505-2E9C-101B-9397-08002B2CF9AE}" pid="4" name="DLPManualFileClassificationLastModificationDate">
    <vt:lpwstr>1584462117</vt:lpwstr>
  </property>
  <property fmtid="{D5CDD505-2E9C-101B-9397-08002B2CF9AE}" pid="5" name="DLPManualFileClassificationVersion">
    <vt:lpwstr>10.0.300.68</vt:lpwstr>
  </property>
  <property fmtid="{D5CDD505-2E9C-101B-9397-08002B2CF9AE}" pid="6" name="KSOProductBuildVer">
    <vt:lpwstr>1033-12.2.0.13489</vt:lpwstr>
  </property>
  <property fmtid="{D5CDD505-2E9C-101B-9397-08002B2CF9AE}" pid="7" name="ICV">
    <vt:lpwstr>CEB532561B8A452CB66BF12DDAC6AB7D_13</vt:lpwstr>
  </property>
</Properties>
</file>