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0B5A" w14:textId="2CADB63A" w:rsidR="00A249A6" w:rsidRPr="002124DF" w:rsidRDefault="00D26068" w:rsidP="00807717">
      <w:pPr>
        <w:rPr>
          <w:rFonts w:ascii="Ping LCG Regular" w:hAnsi="Ping LCG Regular" w:cs="Arial"/>
          <w:b/>
          <w:spacing w:val="-14"/>
          <w:sz w:val="22"/>
          <w:szCs w:val="22"/>
          <w:lang w:val="el-GR"/>
        </w:rPr>
      </w:pPr>
      <w:r w:rsidRPr="002124DF">
        <w:rPr>
          <w:rFonts w:ascii="Ping LCG Regular" w:hAnsi="Ping LCG Regular" w:cs="Arial"/>
          <w:b/>
          <w:spacing w:val="-14"/>
          <w:sz w:val="22"/>
          <w:szCs w:val="22"/>
          <w:lang w:val="el-GR"/>
        </w:rPr>
        <w:t xml:space="preserve">Αθήνα, </w:t>
      </w:r>
      <w:r w:rsidR="00292615" w:rsidRPr="002124DF">
        <w:rPr>
          <w:rFonts w:ascii="Ping LCG Regular" w:hAnsi="Ping LCG Regular" w:cs="Arial"/>
          <w:b/>
          <w:spacing w:val="-14"/>
          <w:sz w:val="22"/>
          <w:szCs w:val="22"/>
          <w:lang w:val="el-GR"/>
        </w:rPr>
        <w:t>2</w:t>
      </w:r>
      <w:r w:rsidR="009D4EA3">
        <w:rPr>
          <w:rFonts w:ascii="Ping LCG Regular" w:hAnsi="Ping LCG Regular" w:cs="Arial"/>
          <w:b/>
          <w:spacing w:val="-14"/>
          <w:sz w:val="22"/>
          <w:szCs w:val="22"/>
          <w:lang w:val="el-GR"/>
        </w:rPr>
        <w:t>5</w:t>
      </w:r>
      <w:r w:rsidR="00292615" w:rsidRPr="002124DF">
        <w:rPr>
          <w:rFonts w:ascii="Ping LCG Regular" w:hAnsi="Ping LCG Regular" w:cs="Arial"/>
          <w:b/>
          <w:spacing w:val="-14"/>
          <w:sz w:val="22"/>
          <w:szCs w:val="22"/>
          <w:lang w:val="el-GR"/>
        </w:rPr>
        <w:t xml:space="preserve"> </w:t>
      </w:r>
      <w:r w:rsidR="000F28D9">
        <w:rPr>
          <w:rFonts w:ascii="Ping LCG Regular" w:hAnsi="Ping LCG Regular" w:cs="Arial"/>
          <w:b/>
          <w:spacing w:val="-14"/>
          <w:sz w:val="22"/>
          <w:szCs w:val="22"/>
          <w:lang w:val="el-GR"/>
        </w:rPr>
        <w:t xml:space="preserve">Μαΐου </w:t>
      </w:r>
      <w:r w:rsidR="00E03165" w:rsidRPr="002124DF">
        <w:rPr>
          <w:rFonts w:ascii="Ping LCG Regular" w:hAnsi="Ping LCG Regular" w:cs="Arial"/>
          <w:b/>
          <w:spacing w:val="-14"/>
          <w:sz w:val="22"/>
          <w:szCs w:val="22"/>
          <w:lang w:val="el-GR"/>
        </w:rPr>
        <w:t>2</w:t>
      </w:r>
      <w:r w:rsidR="00A249A6" w:rsidRPr="002124DF">
        <w:rPr>
          <w:rFonts w:ascii="Ping LCG Regular" w:hAnsi="Ping LCG Regular" w:cs="Arial"/>
          <w:b/>
          <w:spacing w:val="-14"/>
          <w:sz w:val="22"/>
          <w:szCs w:val="22"/>
          <w:lang w:val="el-GR"/>
        </w:rPr>
        <w:t>02</w:t>
      </w:r>
      <w:r w:rsidR="000F28D9">
        <w:rPr>
          <w:rFonts w:ascii="Ping LCG Regular" w:hAnsi="Ping LCG Regular" w:cs="Arial"/>
          <w:b/>
          <w:spacing w:val="-14"/>
          <w:sz w:val="22"/>
          <w:szCs w:val="22"/>
          <w:lang w:val="el-GR"/>
        </w:rPr>
        <w:t>3</w:t>
      </w:r>
      <w:r w:rsidR="009F58DC" w:rsidRPr="002124DF">
        <w:rPr>
          <w:rFonts w:ascii="Ping LCG Regular" w:hAnsi="Ping LCG Regular" w:cs="Arial"/>
          <w:b/>
          <w:spacing w:val="-14"/>
          <w:sz w:val="22"/>
          <w:szCs w:val="22"/>
          <w:lang w:val="el-GR"/>
        </w:rPr>
        <w:t xml:space="preserve"> </w:t>
      </w:r>
    </w:p>
    <w:p w14:paraId="58F9B10E" w14:textId="5674C437" w:rsidR="00760C4C" w:rsidRPr="002124DF" w:rsidRDefault="00760C4C" w:rsidP="00A249A6">
      <w:pPr>
        <w:rPr>
          <w:rFonts w:ascii="Ping LCG Regular" w:hAnsi="Ping LCG Regular" w:cs="Arial"/>
          <w:b/>
          <w:spacing w:val="-14"/>
          <w:sz w:val="22"/>
          <w:szCs w:val="22"/>
          <w:lang w:val="el-GR"/>
        </w:rPr>
      </w:pPr>
    </w:p>
    <w:p w14:paraId="78AA2DAA" w14:textId="1264D710" w:rsidR="00A249A6" w:rsidRPr="002124DF" w:rsidRDefault="00A249A6" w:rsidP="00A249A6">
      <w:pPr>
        <w:rPr>
          <w:rFonts w:ascii="Ping LCG Regular" w:hAnsi="Ping LCG Regular" w:cs="Arial"/>
          <w:b/>
          <w:spacing w:val="-14"/>
          <w:sz w:val="22"/>
          <w:szCs w:val="22"/>
          <w:lang w:val="el-GR"/>
        </w:rPr>
      </w:pPr>
    </w:p>
    <w:p w14:paraId="2A909520" w14:textId="4F75B29D" w:rsidR="002E7A7B" w:rsidRPr="002124DF" w:rsidRDefault="00D24192" w:rsidP="002E7A7B">
      <w:pPr>
        <w:jc w:val="center"/>
        <w:rPr>
          <w:rFonts w:ascii="Ping LCG Bold" w:hAnsi="Ping LCG Bold" w:cs="Arial"/>
          <w:b/>
          <w:spacing w:val="-14"/>
          <w:sz w:val="22"/>
          <w:szCs w:val="22"/>
          <w:lang w:val="el-GR"/>
        </w:rPr>
      </w:pPr>
      <w:r w:rsidRPr="00602571">
        <w:rPr>
          <w:rFonts w:ascii="Ping LCG Bold" w:hAnsi="Ping LCG Bold" w:cs="Arial"/>
          <w:b/>
          <w:spacing w:val="-14"/>
          <w:lang w:val="el-GR"/>
        </w:rPr>
        <w:t xml:space="preserve">ΑΠΟΤΕΛΕΣΜΑΤΑ  </w:t>
      </w:r>
      <w:r w:rsidR="009D4EA3" w:rsidRPr="00602571">
        <w:rPr>
          <w:rFonts w:ascii="Ping LCG Bold" w:hAnsi="Ping LCG Bold" w:cs="Arial"/>
          <w:b/>
          <w:spacing w:val="-14"/>
          <w:lang w:val="el-GR"/>
        </w:rPr>
        <w:t>Α’ ΤΡΙΜΗΝΟΥ</w:t>
      </w:r>
      <w:r w:rsidR="00D77767" w:rsidRPr="00602571">
        <w:rPr>
          <w:rFonts w:ascii="Ping LCG Bold" w:hAnsi="Ping LCG Bold" w:cs="Arial"/>
          <w:b/>
          <w:spacing w:val="-14"/>
          <w:lang w:val="el-GR"/>
        </w:rPr>
        <w:t xml:space="preserve"> </w:t>
      </w:r>
      <w:r w:rsidR="002E7A7B" w:rsidRPr="00602571">
        <w:rPr>
          <w:rFonts w:ascii="Ping LCG Bold" w:hAnsi="Ping LCG Bold" w:cs="Arial"/>
          <w:b/>
          <w:spacing w:val="-14"/>
          <w:lang w:val="el-GR"/>
        </w:rPr>
        <w:t>202</w:t>
      </w:r>
      <w:r w:rsidR="009D4EA3" w:rsidRPr="00602571">
        <w:rPr>
          <w:rFonts w:ascii="Ping LCG Bold" w:hAnsi="Ping LCG Bold" w:cs="Arial"/>
          <w:b/>
          <w:spacing w:val="-14"/>
          <w:lang w:val="el-GR"/>
        </w:rPr>
        <w:t>3</w:t>
      </w:r>
      <w:r w:rsidR="002E7A7B" w:rsidRPr="00602571">
        <w:rPr>
          <w:rFonts w:ascii="Ping LCG Bold" w:hAnsi="Ping LCG Bold" w:cs="Arial"/>
          <w:b/>
          <w:spacing w:val="-14"/>
          <w:lang w:val="el-GR"/>
        </w:rPr>
        <w:t xml:space="preserve"> ΟΜΙΛΟΥ ΔΕΗ</w:t>
      </w:r>
    </w:p>
    <w:p w14:paraId="184026D9" w14:textId="77777777" w:rsidR="00EE27A9" w:rsidRPr="00C521B8" w:rsidRDefault="00EE27A9" w:rsidP="00A249A6">
      <w:pPr>
        <w:jc w:val="center"/>
        <w:rPr>
          <w:rFonts w:ascii="Ping LCG Regular" w:hAnsi="Ping LCG Regular" w:cs="Arial"/>
          <w:b/>
          <w:spacing w:val="-14"/>
          <w:sz w:val="22"/>
          <w:szCs w:val="22"/>
          <w:lang w:val="el-GR"/>
        </w:rPr>
      </w:pPr>
    </w:p>
    <w:p w14:paraId="45E10765" w14:textId="55F1F220" w:rsidR="00550C81" w:rsidRPr="00487783" w:rsidRDefault="00550C81" w:rsidP="00550C81">
      <w:pPr>
        <w:pStyle w:val="af1"/>
        <w:numPr>
          <w:ilvl w:val="0"/>
          <w:numId w:val="1"/>
        </w:numPr>
        <w:spacing w:before="80" w:after="80"/>
        <w:ind w:left="357" w:hanging="357"/>
        <w:contextualSpacing w:val="0"/>
        <w:jc w:val="both"/>
        <w:rPr>
          <w:rFonts w:ascii="Ping LCG Regular" w:hAnsi="Ping LCG Regular" w:cs="Arial"/>
          <w:b/>
          <w:spacing w:val="-14"/>
          <w:sz w:val="22"/>
          <w:szCs w:val="22"/>
        </w:rPr>
      </w:pPr>
      <w:bookmarkStart w:id="0" w:name="_Hlk89091054"/>
      <w:bookmarkStart w:id="1" w:name="_Hlk113019368"/>
      <w:r w:rsidRPr="00487783">
        <w:rPr>
          <w:rFonts w:ascii="Ping LCG Regular" w:hAnsi="Ping LCG Regular" w:cs="Arial"/>
          <w:b/>
          <w:spacing w:val="-14"/>
          <w:sz w:val="22"/>
          <w:szCs w:val="22"/>
        </w:rPr>
        <w:t>Επαναλαμβανόμενο EBITDA ύψους €</w:t>
      </w:r>
      <w:r w:rsidR="006B0A13" w:rsidRPr="00487783">
        <w:rPr>
          <w:rFonts w:ascii="Ping LCG Regular" w:hAnsi="Ping LCG Regular" w:cs="Arial"/>
          <w:b/>
          <w:spacing w:val="-14"/>
          <w:sz w:val="22"/>
          <w:szCs w:val="22"/>
        </w:rPr>
        <w:t>28</w:t>
      </w:r>
      <w:r w:rsidR="00BD5061">
        <w:rPr>
          <w:rFonts w:ascii="Ping LCG Regular" w:hAnsi="Ping LCG Regular" w:cs="Arial"/>
          <w:b/>
          <w:spacing w:val="-14"/>
          <w:sz w:val="22"/>
          <w:szCs w:val="22"/>
        </w:rPr>
        <w:t>0,5</w:t>
      </w:r>
      <w:r w:rsidR="006B0A13" w:rsidRPr="00487783">
        <w:rPr>
          <w:rFonts w:ascii="Ping LCG Regular" w:hAnsi="Ping LCG Regular" w:cs="Arial"/>
          <w:b/>
          <w:spacing w:val="-14"/>
          <w:sz w:val="22"/>
          <w:szCs w:val="22"/>
        </w:rPr>
        <w:t xml:space="preserve"> ε</w:t>
      </w:r>
      <w:r w:rsidRPr="00487783">
        <w:rPr>
          <w:rFonts w:ascii="Ping LCG Regular" w:hAnsi="Ping LCG Regular" w:cs="Arial"/>
          <w:b/>
          <w:spacing w:val="-14"/>
          <w:sz w:val="22"/>
          <w:szCs w:val="22"/>
        </w:rPr>
        <w:t xml:space="preserve">κατ. το </w:t>
      </w:r>
      <w:r w:rsidR="000D5A44" w:rsidRPr="00487783">
        <w:rPr>
          <w:rFonts w:ascii="Ping LCG Regular" w:hAnsi="Ping LCG Regular" w:cs="Arial"/>
          <w:b/>
          <w:spacing w:val="-14"/>
          <w:sz w:val="22"/>
          <w:szCs w:val="22"/>
        </w:rPr>
        <w:t xml:space="preserve">α’ τρίμηνο </w:t>
      </w:r>
      <w:r w:rsidRPr="00487783">
        <w:rPr>
          <w:rFonts w:ascii="Ping LCG Regular" w:hAnsi="Ping LCG Regular" w:cs="Arial"/>
          <w:b/>
          <w:spacing w:val="-14"/>
          <w:sz w:val="22"/>
          <w:szCs w:val="22"/>
        </w:rPr>
        <w:t>202</w:t>
      </w:r>
      <w:r w:rsidR="000D5A44" w:rsidRPr="00487783">
        <w:rPr>
          <w:rFonts w:ascii="Ping LCG Regular" w:hAnsi="Ping LCG Regular" w:cs="Arial"/>
          <w:b/>
          <w:spacing w:val="-14"/>
          <w:sz w:val="22"/>
          <w:szCs w:val="22"/>
        </w:rPr>
        <w:t>3</w:t>
      </w:r>
      <w:r w:rsidRPr="00487783">
        <w:rPr>
          <w:rFonts w:ascii="Ping LCG Regular" w:hAnsi="Ping LCG Regular" w:cs="Arial"/>
          <w:b/>
          <w:spacing w:val="-14"/>
          <w:sz w:val="22"/>
          <w:szCs w:val="22"/>
        </w:rPr>
        <w:t xml:space="preserve"> από €</w:t>
      </w:r>
      <w:r w:rsidR="00CB097F" w:rsidRPr="00487783">
        <w:rPr>
          <w:rFonts w:ascii="Ping LCG Regular" w:hAnsi="Ping LCG Regular" w:cs="Arial"/>
          <w:b/>
          <w:spacing w:val="-14"/>
          <w:sz w:val="22"/>
          <w:szCs w:val="22"/>
        </w:rPr>
        <w:t>170</w:t>
      </w:r>
      <w:r w:rsidRPr="00487783">
        <w:rPr>
          <w:rFonts w:ascii="Ping LCG Regular" w:hAnsi="Ping LCG Regular" w:cs="Arial"/>
          <w:b/>
          <w:spacing w:val="-14"/>
          <w:sz w:val="22"/>
          <w:szCs w:val="22"/>
        </w:rPr>
        <w:t xml:space="preserve"> εκατ. το </w:t>
      </w:r>
      <w:r w:rsidR="00CB097F" w:rsidRPr="00487783">
        <w:rPr>
          <w:rFonts w:ascii="Ping LCG Regular" w:hAnsi="Ping LCG Regular" w:cs="Arial"/>
          <w:b/>
          <w:spacing w:val="-14"/>
          <w:sz w:val="22"/>
          <w:szCs w:val="22"/>
        </w:rPr>
        <w:t>α’ τρίμηνο 2022</w:t>
      </w:r>
      <w:r w:rsidR="00085B76" w:rsidRPr="00487783">
        <w:rPr>
          <w:rFonts w:ascii="Ping LCG Regular" w:hAnsi="Ping LCG Regular" w:cs="Arial"/>
          <w:b/>
          <w:spacing w:val="-14"/>
          <w:sz w:val="22"/>
          <w:szCs w:val="22"/>
        </w:rPr>
        <w:t xml:space="preserve"> </w:t>
      </w:r>
      <w:r w:rsidR="006B0A13" w:rsidRPr="00487783">
        <w:rPr>
          <w:rFonts w:ascii="Ping LCG Regular" w:hAnsi="Ping LCG Regular" w:cs="Arial"/>
          <w:b/>
          <w:spacing w:val="-14"/>
          <w:sz w:val="22"/>
          <w:szCs w:val="22"/>
        </w:rPr>
        <w:t xml:space="preserve"> </w:t>
      </w:r>
    </w:p>
    <w:p w14:paraId="253BDD44" w14:textId="77777777" w:rsidR="0022243B" w:rsidRDefault="0022243B" w:rsidP="0022243B">
      <w:pPr>
        <w:pStyle w:val="af1"/>
        <w:numPr>
          <w:ilvl w:val="0"/>
          <w:numId w:val="1"/>
        </w:numPr>
        <w:spacing w:before="80" w:after="80"/>
        <w:ind w:left="357" w:hanging="357"/>
        <w:contextualSpacing w:val="0"/>
        <w:jc w:val="both"/>
        <w:rPr>
          <w:rFonts w:ascii="Ping LCG Regular" w:hAnsi="Ping LCG Regular" w:cs="Arial"/>
          <w:b/>
          <w:spacing w:val="-14"/>
          <w:sz w:val="22"/>
          <w:szCs w:val="22"/>
        </w:rPr>
      </w:pPr>
      <w:r>
        <w:rPr>
          <w:rFonts w:ascii="Ping LCG Regular" w:hAnsi="Ping LCG Regular" w:cs="Arial"/>
          <w:b/>
          <w:spacing w:val="-14"/>
          <w:sz w:val="22"/>
          <w:szCs w:val="22"/>
        </w:rPr>
        <w:t>Διπλασιασμός</w:t>
      </w:r>
      <w:r w:rsidRPr="00C574ED">
        <w:rPr>
          <w:rFonts w:ascii="Ping LCG Regular" w:hAnsi="Ping LCG Regular" w:cs="Arial"/>
          <w:b/>
          <w:spacing w:val="-14"/>
          <w:sz w:val="22"/>
          <w:szCs w:val="22"/>
        </w:rPr>
        <w:t xml:space="preserve"> επενδύσεων (€195,5 εκατ. από €102 εκατ.) σε σχέση με το α΄ τρίμηνο 2022 </w:t>
      </w:r>
      <w:r>
        <w:rPr>
          <w:rFonts w:ascii="Ping LCG Regular" w:hAnsi="Ping LCG Regular" w:cs="Arial"/>
          <w:b/>
          <w:spacing w:val="-14"/>
          <w:sz w:val="22"/>
          <w:szCs w:val="22"/>
        </w:rPr>
        <w:t>στις δραστηριότητες</w:t>
      </w:r>
      <w:r w:rsidRPr="00C574ED">
        <w:rPr>
          <w:rFonts w:ascii="Ping LCG Regular" w:hAnsi="Ping LCG Regular" w:cs="Arial"/>
          <w:b/>
          <w:spacing w:val="-14"/>
          <w:sz w:val="22"/>
          <w:szCs w:val="22"/>
        </w:rPr>
        <w:t xml:space="preserve"> </w:t>
      </w:r>
      <w:r>
        <w:rPr>
          <w:rFonts w:ascii="Ping LCG Regular" w:hAnsi="Ping LCG Regular" w:cs="Arial"/>
          <w:b/>
          <w:spacing w:val="-14"/>
          <w:sz w:val="22"/>
          <w:szCs w:val="22"/>
        </w:rPr>
        <w:t>του</w:t>
      </w:r>
      <w:r w:rsidRPr="00C574ED">
        <w:rPr>
          <w:rFonts w:ascii="Ping LCG Regular" w:hAnsi="Ping LCG Regular" w:cs="Arial"/>
          <w:b/>
          <w:spacing w:val="-14"/>
          <w:sz w:val="22"/>
          <w:szCs w:val="22"/>
        </w:rPr>
        <w:t xml:space="preserve"> </w:t>
      </w:r>
      <w:r>
        <w:rPr>
          <w:rFonts w:ascii="Ping LCG Regular" w:hAnsi="Ping LCG Regular" w:cs="Arial"/>
          <w:b/>
          <w:spacing w:val="-14"/>
          <w:sz w:val="22"/>
          <w:szCs w:val="22"/>
        </w:rPr>
        <w:t>Δικτύου</w:t>
      </w:r>
      <w:r w:rsidRPr="00C574ED">
        <w:rPr>
          <w:rFonts w:ascii="Ping LCG Regular" w:hAnsi="Ping LCG Regular" w:cs="Arial"/>
          <w:b/>
          <w:spacing w:val="-14"/>
          <w:sz w:val="22"/>
          <w:szCs w:val="22"/>
        </w:rPr>
        <w:t xml:space="preserve"> Διανομής, </w:t>
      </w:r>
      <w:r>
        <w:rPr>
          <w:rFonts w:ascii="Ping LCG Regular" w:hAnsi="Ping LCG Regular" w:cs="Arial"/>
          <w:b/>
          <w:spacing w:val="-14"/>
          <w:sz w:val="22"/>
          <w:szCs w:val="22"/>
        </w:rPr>
        <w:t xml:space="preserve">στα </w:t>
      </w:r>
      <w:r w:rsidRPr="00C574ED">
        <w:rPr>
          <w:rFonts w:ascii="Ping LCG Regular" w:hAnsi="Ping LCG Regular" w:cs="Arial"/>
          <w:b/>
          <w:spacing w:val="-14"/>
          <w:sz w:val="22"/>
          <w:szCs w:val="22"/>
        </w:rPr>
        <w:t xml:space="preserve">έργα ΑΠΕ και τη νέα μονάδα Φυσικού Αερίου  </w:t>
      </w:r>
    </w:p>
    <w:p w14:paraId="25024C82" w14:textId="77777777" w:rsidR="00C74C6E" w:rsidRPr="001847EB" w:rsidRDefault="00C74C6E" w:rsidP="00C74C6E">
      <w:pPr>
        <w:pStyle w:val="af1"/>
        <w:numPr>
          <w:ilvl w:val="0"/>
          <w:numId w:val="1"/>
        </w:numPr>
        <w:spacing w:before="80" w:after="80"/>
        <w:ind w:left="357" w:hanging="357"/>
        <w:contextualSpacing w:val="0"/>
        <w:jc w:val="both"/>
        <w:rPr>
          <w:rFonts w:ascii="Ping LCG Regular" w:hAnsi="Ping LCG Regular" w:cs="Arial"/>
          <w:b/>
          <w:spacing w:val="-14"/>
          <w:sz w:val="22"/>
          <w:szCs w:val="22"/>
        </w:rPr>
      </w:pPr>
      <w:r>
        <w:rPr>
          <w:rFonts w:ascii="Ping LCG Regular" w:hAnsi="Ping LCG Regular" w:cs="Arial"/>
          <w:b/>
          <w:spacing w:val="-14"/>
          <w:sz w:val="22"/>
          <w:szCs w:val="22"/>
        </w:rPr>
        <w:t>Αύξηση των έργων</w:t>
      </w:r>
      <w:r w:rsidRPr="001847EB">
        <w:rPr>
          <w:rFonts w:ascii="Ping LCG Regular" w:hAnsi="Ping LCG Regular" w:cs="Arial"/>
          <w:b/>
          <w:spacing w:val="-14"/>
          <w:sz w:val="22"/>
          <w:szCs w:val="22"/>
        </w:rPr>
        <w:t xml:space="preserve"> </w:t>
      </w:r>
      <w:r>
        <w:rPr>
          <w:rFonts w:ascii="Ping LCG Regular" w:hAnsi="Ping LCG Regular" w:cs="Arial"/>
          <w:b/>
          <w:spacing w:val="-14"/>
          <w:sz w:val="22"/>
          <w:szCs w:val="22"/>
        </w:rPr>
        <w:t xml:space="preserve">ΑΠΕ υπό κατασκευή σε </w:t>
      </w:r>
      <w:r w:rsidRPr="001847EB">
        <w:rPr>
          <w:rFonts w:ascii="Ping LCG Regular" w:hAnsi="Ping LCG Regular" w:cs="Arial"/>
          <w:b/>
          <w:spacing w:val="-14"/>
          <w:sz w:val="22"/>
          <w:szCs w:val="22"/>
        </w:rPr>
        <w:t>1</w:t>
      </w:r>
      <w:r>
        <w:rPr>
          <w:rFonts w:ascii="Ping LCG Regular" w:hAnsi="Ping LCG Regular" w:cs="Arial"/>
          <w:b/>
          <w:spacing w:val="-14"/>
          <w:sz w:val="22"/>
          <w:szCs w:val="22"/>
          <w:lang w:val="en-GB"/>
        </w:rPr>
        <w:t>GW</w:t>
      </w:r>
      <w:r>
        <w:rPr>
          <w:rFonts w:ascii="Ping LCG Regular" w:hAnsi="Ping LCG Regular" w:cs="Arial"/>
          <w:b/>
          <w:spacing w:val="-14"/>
          <w:sz w:val="22"/>
          <w:szCs w:val="22"/>
        </w:rPr>
        <w:t xml:space="preserve"> - π</w:t>
      </w:r>
      <w:r w:rsidRPr="001847EB">
        <w:rPr>
          <w:rFonts w:ascii="Ping LCG Regular" w:hAnsi="Ping LCG Regular" w:cs="Arial"/>
          <w:b/>
          <w:spacing w:val="-14"/>
          <w:sz w:val="22"/>
          <w:szCs w:val="22"/>
        </w:rPr>
        <w:t>άνω από 600</w:t>
      </w:r>
      <w:r w:rsidRPr="001847EB">
        <w:rPr>
          <w:rFonts w:ascii="Ping LCG Regular" w:hAnsi="Ping LCG Regular" w:cs="Arial"/>
          <w:b/>
          <w:spacing w:val="-14"/>
          <w:sz w:val="22"/>
          <w:szCs w:val="22"/>
          <w:lang w:val="en-US"/>
        </w:rPr>
        <w:t>MW</w:t>
      </w:r>
      <w:r w:rsidRPr="001847EB">
        <w:rPr>
          <w:rFonts w:ascii="Ping LCG Regular" w:hAnsi="Ping LCG Regular" w:cs="Arial"/>
          <w:b/>
          <w:spacing w:val="-14"/>
          <w:sz w:val="22"/>
          <w:szCs w:val="22"/>
        </w:rPr>
        <w:t xml:space="preserve"> έργων ΑΠΕ σε λειτουργία/ολοκλήρωση κατασκευής - </w:t>
      </w:r>
      <w:r>
        <w:rPr>
          <w:rFonts w:ascii="Ping LCG Regular" w:hAnsi="Ping LCG Regular" w:cs="Arial"/>
          <w:b/>
          <w:spacing w:val="-14"/>
          <w:sz w:val="22"/>
          <w:szCs w:val="22"/>
        </w:rPr>
        <w:t xml:space="preserve"> </w:t>
      </w:r>
      <w:r w:rsidRPr="001847EB">
        <w:rPr>
          <w:rFonts w:ascii="Ping LCG Regular" w:hAnsi="Ping LCG Regular" w:cs="Arial"/>
          <w:b/>
          <w:spacing w:val="-14"/>
          <w:sz w:val="22"/>
          <w:szCs w:val="22"/>
        </w:rPr>
        <w:t xml:space="preserve">Εξασφαλισμένη υλοποίηση από πλευράς </w:t>
      </w:r>
      <w:proofErr w:type="spellStart"/>
      <w:r w:rsidRPr="001847EB">
        <w:rPr>
          <w:rFonts w:ascii="Ping LCG Regular" w:hAnsi="Ping LCG Regular" w:cs="Arial"/>
          <w:b/>
          <w:spacing w:val="-14"/>
          <w:sz w:val="22"/>
          <w:szCs w:val="22"/>
        </w:rPr>
        <w:t>αδειοδότησης</w:t>
      </w:r>
      <w:proofErr w:type="spellEnd"/>
      <w:r w:rsidRPr="001847EB">
        <w:rPr>
          <w:rFonts w:ascii="Ping LCG Regular" w:hAnsi="Ping LCG Regular" w:cs="Arial"/>
          <w:b/>
          <w:spacing w:val="-14"/>
          <w:sz w:val="22"/>
          <w:szCs w:val="22"/>
        </w:rPr>
        <w:t xml:space="preserve"> για πάνω από 4GW</w:t>
      </w:r>
    </w:p>
    <w:bookmarkEnd w:id="0"/>
    <w:bookmarkEnd w:id="1"/>
    <w:p w14:paraId="7637FC83" w14:textId="77777777" w:rsidR="009A775B" w:rsidRPr="00C574ED" w:rsidRDefault="009A775B" w:rsidP="00D86811">
      <w:pPr>
        <w:pStyle w:val="af1"/>
        <w:spacing w:before="80" w:after="80"/>
        <w:ind w:left="357"/>
        <w:contextualSpacing w:val="0"/>
        <w:jc w:val="both"/>
        <w:rPr>
          <w:rFonts w:ascii="Ping LCG Regular" w:eastAsiaTheme="minorHAnsi" w:hAnsi="Ping LCG Regular" w:cs="Arial"/>
          <w:b/>
          <w:color w:val="FF0000"/>
          <w:spacing w:val="-14"/>
          <w:sz w:val="22"/>
          <w:szCs w:val="22"/>
          <w:highlight w:val="yellow"/>
          <w:lang w:eastAsia="en-US"/>
        </w:rPr>
      </w:pPr>
    </w:p>
    <w:p w14:paraId="518BF6C1" w14:textId="77777777" w:rsidR="00824F89" w:rsidRDefault="00A249A6" w:rsidP="009561A7">
      <w:pPr>
        <w:spacing w:line="276" w:lineRule="auto"/>
        <w:rPr>
          <w:rFonts w:ascii="Ping LCG Regular" w:hAnsi="Ping LCG Regular" w:cs="Arial"/>
          <w:b/>
          <w:spacing w:val="-14"/>
          <w:sz w:val="22"/>
          <w:szCs w:val="22"/>
          <w:u w:val="single"/>
          <w:lang w:val="el-GR"/>
        </w:rPr>
      </w:pPr>
      <w:r w:rsidRPr="00C574ED">
        <w:rPr>
          <w:rFonts w:ascii="Ping LCG Regular" w:hAnsi="Ping LCG Regular" w:cs="Arial"/>
          <w:b/>
          <w:spacing w:val="-14"/>
          <w:sz w:val="22"/>
          <w:szCs w:val="22"/>
          <w:u w:val="single"/>
          <w:lang w:val="el-GR"/>
        </w:rPr>
        <w:t>Συνοπτικά Οικονομικά Αποτελέσματα Ομίλου</w:t>
      </w:r>
      <w:r w:rsidR="00F1032A" w:rsidRPr="00C574ED">
        <w:rPr>
          <w:rFonts w:ascii="Ping LCG Regular" w:hAnsi="Ping LCG Regular" w:cs="Arial"/>
          <w:b/>
          <w:spacing w:val="-14"/>
          <w:sz w:val="22"/>
          <w:szCs w:val="22"/>
          <w:u w:val="single"/>
          <w:lang w:val="el-GR"/>
        </w:rPr>
        <w:t xml:space="preserve"> </w:t>
      </w:r>
    </w:p>
    <w:p w14:paraId="68C896F6" w14:textId="1E323BB9" w:rsidR="00B54E47" w:rsidRPr="00DA57B3" w:rsidRDefault="00936DB9" w:rsidP="009561A7">
      <w:pPr>
        <w:spacing w:line="276" w:lineRule="auto"/>
        <w:rPr>
          <w:rFonts w:ascii="Ping LCG Regular" w:hAnsi="Ping LCG Regular" w:cs="Arial"/>
          <w:bCs/>
          <w:i/>
          <w:iCs/>
          <w:spacing w:val="-14"/>
          <w:sz w:val="20"/>
          <w:szCs w:val="22"/>
          <w:lang w:val="el-GR"/>
        </w:rPr>
      </w:pPr>
      <w:r w:rsidRPr="00936DB9">
        <w:rPr>
          <w:rFonts w:ascii="Ping LCG Regular" w:hAnsi="Ping LCG Regular" w:cs="Arial"/>
          <w:bCs/>
          <w:i/>
          <w:iCs/>
          <w:spacing w:val="-14"/>
          <w:sz w:val="20"/>
          <w:szCs w:val="22"/>
          <w:lang w:val="el-GR"/>
        </w:rPr>
        <w:t xml:space="preserve"> </w:t>
      </w:r>
    </w:p>
    <w:p w14:paraId="6BDFA420" w14:textId="08F5B303" w:rsidR="00091014" w:rsidRPr="00EA7607" w:rsidRDefault="00685527" w:rsidP="00834360">
      <w:pPr>
        <w:jc w:val="both"/>
        <w:rPr>
          <w:rFonts w:ascii="Ping LCG Regular" w:hAnsi="Ping LCG Regular" w:cs="Arial"/>
          <w:bCs/>
          <w:spacing w:val="-14"/>
          <w:sz w:val="18"/>
          <w:szCs w:val="18"/>
        </w:rPr>
      </w:pPr>
      <w:r w:rsidRPr="00685527">
        <w:rPr>
          <w:rFonts w:ascii="Ping LCG Regular" w:hAnsi="Ping LCG Regular" w:cs="Arial"/>
          <w:bCs/>
          <w:spacing w:val="-14"/>
          <w:sz w:val="18"/>
          <w:szCs w:val="18"/>
        </w:rPr>
        <w:t xml:space="preserve"> </w:t>
      </w:r>
      <w:r w:rsidRPr="00685527">
        <w:rPr>
          <w:noProof/>
        </w:rPr>
        <w:drawing>
          <wp:inline distT="0" distB="0" distL="0" distR="0" wp14:anchorId="26B398A3" wp14:editId="0DCF5DCA">
            <wp:extent cx="6210935" cy="35204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3520440"/>
                    </a:xfrm>
                    <a:prstGeom prst="rect">
                      <a:avLst/>
                    </a:prstGeom>
                    <a:noFill/>
                    <a:ln>
                      <a:noFill/>
                    </a:ln>
                  </pic:spPr>
                </pic:pic>
              </a:graphicData>
            </a:graphic>
          </wp:inline>
        </w:drawing>
      </w:r>
    </w:p>
    <w:p w14:paraId="7B3A10F5" w14:textId="77777777" w:rsidR="009B7546" w:rsidRDefault="009B7546" w:rsidP="00834360">
      <w:pPr>
        <w:jc w:val="both"/>
        <w:rPr>
          <w:rFonts w:ascii="Ping LCG Regular" w:hAnsi="Ping LCG Regular" w:cs="Arial"/>
          <w:bCs/>
          <w:spacing w:val="-14"/>
          <w:sz w:val="18"/>
          <w:szCs w:val="18"/>
          <w:lang w:val="el-GR"/>
        </w:rPr>
      </w:pPr>
    </w:p>
    <w:p w14:paraId="69ABAE3D" w14:textId="5DAE1A76" w:rsidR="00886525" w:rsidRPr="002124DF" w:rsidRDefault="00886525" w:rsidP="00834360">
      <w:pPr>
        <w:jc w:val="both"/>
        <w:rPr>
          <w:rFonts w:ascii="Ping LCG Regular" w:hAnsi="Ping LCG Regular" w:cs="Arial"/>
          <w:bCs/>
          <w:spacing w:val="-14"/>
          <w:sz w:val="18"/>
          <w:szCs w:val="18"/>
          <w:lang w:val="el-GR"/>
        </w:rPr>
      </w:pPr>
      <w:r w:rsidRPr="002124DF">
        <w:rPr>
          <w:rFonts w:ascii="Ping LCG Regular" w:hAnsi="Ping LCG Regular" w:cs="Arial"/>
          <w:bCs/>
          <w:spacing w:val="-14"/>
          <w:sz w:val="18"/>
          <w:szCs w:val="18"/>
          <w:lang w:val="el-GR"/>
        </w:rPr>
        <w:t>Για περισσότερες πληροφορίες σχετικά με τους ορισμούς δεικτών που περιλαμβάνονται στα παραπάνω μεγέθη, μπορείτε να ανατρέξετε στο Παράρτημα Ι</w:t>
      </w:r>
      <w:r w:rsidR="00A9023D" w:rsidRPr="002124DF">
        <w:rPr>
          <w:rFonts w:ascii="Ping LCG Regular" w:hAnsi="Ping LCG Regular" w:cs="Arial"/>
          <w:bCs/>
          <w:spacing w:val="-14"/>
          <w:sz w:val="18"/>
          <w:szCs w:val="18"/>
          <w:lang w:val="el-GR"/>
        </w:rPr>
        <w:t>Ι</w:t>
      </w:r>
      <w:r w:rsidRPr="002124DF">
        <w:rPr>
          <w:rFonts w:ascii="Ping LCG Regular" w:hAnsi="Ping LCG Regular" w:cs="Arial"/>
          <w:bCs/>
          <w:spacing w:val="-14"/>
          <w:sz w:val="18"/>
          <w:szCs w:val="18"/>
          <w:lang w:val="el-GR"/>
        </w:rPr>
        <w:t>: Ορισμοί και συμφωνία των Εναλλακτικών Δεικτών Μέτρησης Απόδοσης - “ΕΔΜΑ”.</w:t>
      </w:r>
    </w:p>
    <w:p w14:paraId="45CC7009" w14:textId="70578C3B" w:rsidR="00E560F3" w:rsidRPr="00C574ED" w:rsidRDefault="002A450B" w:rsidP="00E560F3">
      <w:pPr>
        <w:rPr>
          <w:rFonts w:ascii="Ping LCG Regular" w:hAnsi="Ping LCG Regular" w:cs="Arial"/>
          <w:b/>
          <w:spacing w:val="-14"/>
          <w:sz w:val="22"/>
          <w:szCs w:val="22"/>
          <w:u w:val="single"/>
          <w:lang w:val="el-GR"/>
        </w:rPr>
      </w:pPr>
      <w:r>
        <w:rPr>
          <w:rFonts w:ascii="Ping LCG Regular" w:hAnsi="Ping LCG Regular" w:cs="Arial"/>
          <w:b/>
          <w:spacing w:val="-14"/>
          <w:szCs w:val="28"/>
          <w:highlight w:val="yellow"/>
          <w:lang w:val="el-GR"/>
        </w:rPr>
        <w:br w:type="page"/>
      </w:r>
      <w:r w:rsidR="00E560F3" w:rsidRPr="00C574ED">
        <w:rPr>
          <w:rFonts w:ascii="Ping LCG Regular" w:hAnsi="Ping LCG Regular" w:cs="Arial"/>
          <w:b/>
          <w:spacing w:val="-14"/>
          <w:sz w:val="22"/>
          <w:szCs w:val="22"/>
          <w:u w:val="single"/>
          <w:lang w:val="el-GR"/>
        </w:rPr>
        <w:lastRenderedPageBreak/>
        <w:t>Εξέλιξη Βασικών Μεγεθών</w:t>
      </w:r>
      <w:r w:rsidR="003F055C" w:rsidRPr="00C574ED">
        <w:rPr>
          <w:rFonts w:ascii="Ping LCG Regular" w:hAnsi="Ping LCG Regular" w:cs="Arial"/>
          <w:b/>
          <w:spacing w:val="-14"/>
          <w:sz w:val="22"/>
          <w:szCs w:val="22"/>
          <w:u w:val="single"/>
          <w:lang w:val="el-GR"/>
        </w:rPr>
        <w:t xml:space="preserve"> Ομίλου</w:t>
      </w:r>
      <w:r w:rsidR="0090266A" w:rsidRPr="00C574ED">
        <w:rPr>
          <w:rFonts w:ascii="Ping LCG Regular" w:hAnsi="Ping LCG Regular" w:cs="Arial"/>
          <w:b/>
          <w:spacing w:val="-14"/>
          <w:sz w:val="22"/>
          <w:szCs w:val="22"/>
          <w:u w:val="single"/>
          <w:lang w:val="el-GR"/>
        </w:rPr>
        <w:t xml:space="preserve"> (€ εκατ.)</w:t>
      </w:r>
      <w:r w:rsidR="00B05E93" w:rsidRPr="00C574ED">
        <w:rPr>
          <w:rFonts w:ascii="Ping LCG Regular" w:hAnsi="Ping LCG Regular" w:cs="Arial"/>
          <w:b/>
          <w:spacing w:val="-14"/>
          <w:sz w:val="22"/>
          <w:szCs w:val="22"/>
          <w:u w:val="single"/>
          <w:lang w:val="el-GR"/>
        </w:rPr>
        <w:t xml:space="preserve"> </w:t>
      </w:r>
    </w:p>
    <w:p w14:paraId="27EDCFD9" w14:textId="77777777" w:rsidR="00F129F8" w:rsidRPr="002124DF" w:rsidRDefault="00F129F8" w:rsidP="00E560F3">
      <w:pPr>
        <w:rPr>
          <w:rFonts w:ascii="Ping LCG Regular" w:hAnsi="Ping LCG Regular" w:cs="Arial"/>
          <w:b/>
          <w:spacing w:val="-14"/>
          <w:sz w:val="22"/>
          <w:szCs w:val="22"/>
          <w:lang w:val="el-GR"/>
        </w:rPr>
      </w:pPr>
    </w:p>
    <w:p w14:paraId="4112272C" w14:textId="63562685" w:rsidR="008C141D" w:rsidRPr="009E493F" w:rsidRDefault="001D7B6E" w:rsidP="00E560F3">
      <w:pPr>
        <w:rPr>
          <w:rFonts w:ascii="Ping LCG Regular" w:hAnsi="Ping LCG Regular" w:cs="Arial"/>
          <w:b/>
          <w:spacing w:val="-14"/>
          <w:szCs w:val="28"/>
          <w:lang w:val="el-GR"/>
        </w:rPr>
      </w:pPr>
      <w:r>
        <w:rPr>
          <w:rFonts w:ascii="Ping LCG Regular" w:hAnsi="Ping LCG Regular" w:cs="Arial"/>
          <w:b/>
          <w:noProof/>
          <w:spacing w:val="-14"/>
          <w:szCs w:val="28"/>
          <w:lang w:val="el-GR"/>
        </w:rPr>
        <w:drawing>
          <wp:inline distT="0" distB="0" distL="0" distR="0" wp14:anchorId="64EBA366" wp14:editId="485C2AB5">
            <wp:extent cx="6275310" cy="1459867"/>
            <wp:effectExtent l="0" t="0" r="0" b="698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9707" cy="1474848"/>
                    </a:xfrm>
                    <a:prstGeom prst="rect">
                      <a:avLst/>
                    </a:prstGeom>
                    <a:noFill/>
                  </pic:spPr>
                </pic:pic>
              </a:graphicData>
            </a:graphic>
          </wp:inline>
        </w:drawing>
      </w:r>
    </w:p>
    <w:p w14:paraId="48F9D178" w14:textId="2C6FEDF0" w:rsidR="0006402D" w:rsidRPr="00067082" w:rsidRDefault="0006402D" w:rsidP="00E560F3">
      <w:pPr>
        <w:rPr>
          <w:rFonts w:ascii="Ping LCG Regular" w:hAnsi="Ping LCG Regular" w:cs="Arial"/>
          <w:b/>
          <w:spacing w:val="-14"/>
          <w:szCs w:val="28"/>
          <w:highlight w:val="yellow"/>
          <w:lang w:val="el-GR"/>
        </w:rPr>
      </w:pPr>
    </w:p>
    <w:p w14:paraId="67598358" w14:textId="77777777" w:rsidR="003A1049" w:rsidRDefault="003A1049" w:rsidP="00851841">
      <w:pPr>
        <w:rPr>
          <w:rFonts w:ascii="Ping LCG Regular" w:hAnsi="Ping LCG Regular" w:cs="Arial"/>
          <w:b/>
          <w:bCs/>
          <w:spacing w:val="-14"/>
          <w:lang w:val="el-GR"/>
        </w:rPr>
      </w:pPr>
    </w:p>
    <w:p w14:paraId="2B81C35B" w14:textId="5BEB278F" w:rsidR="0038307E" w:rsidRPr="00C574ED" w:rsidRDefault="0038307E" w:rsidP="00851841">
      <w:pPr>
        <w:rPr>
          <w:rFonts w:ascii="Ping LCG Regular" w:hAnsi="Ping LCG Regular" w:cs="Arial"/>
          <w:b/>
          <w:bCs/>
          <w:spacing w:val="-14"/>
          <w:sz w:val="22"/>
          <w:szCs w:val="22"/>
          <w:u w:val="single"/>
          <w:lang w:val="el-GR"/>
        </w:rPr>
      </w:pPr>
      <w:r w:rsidRPr="00C574ED">
        <w:rPr>
          <w:rFonts w:ascii="Ping LCG Regular" w:hAnsi="Ping LCG Regular" w:cs="Arial"/>
          <w:b/>
          <w:bCs/>
          <w:spacing w:val="-14"/>
          <w:sz w:val="22"/>
          <w:szCs w:val="22"/>
          <w:u w:val="single"/>
          <w:lang w:val="el-GR"/>
        </w:rPr>
        <w:t>Εξέλιξη κερδοφορίας</w:t>
      </w:r>
    </w:p>
    <w:p w14:paraId="698B25CF" w14:textId="77777777" w:rsidR="00A150AC" w:rsidRPr="008C48AC" w:rsidRDefault="00A150AC" w:rsidP="00AF6CD1">
      <w:pPr>
        <w:jc w:val="both"/>
        <w:rPr>
          <w:rFonts w:ascii="Ping LCG Regular" w:hAnsi="Ping LCG Regular" w:cs="Arial"/>
          <w:spacing w:val="-14"/>
          <w:sz w:val="22"/>
          <w:szCs w:val="22"/>
          <w:highlight w:val="yellow"/>
          <w:lang w:val="el-GR"/>
        </w:rPr>
      </w:pPr>
    </w:p>
    <w:p w14:paraId="59EFFD2E" w14:textId="2C518194" w:rsidR="00503533" w:rsidRPr="008C48AC" w:rsidRDefault="006E3827" w:rsidP="006E3827">
      <w:pPr>
        <w:jc w:val="both"/>
        <w:rPr>
          <w:rFonts w:ascii="Ping LCG Regular" w:hAnsi="Ping LCG Regular" w:cs="Arial"/>
          <w:spacing w:val="-14"/>
          <w:sz w:val="22"/>
          <w:szCs w:val="22"/>
          <w:lang w:val="el-GR"/>
        </w:rPr>
      </w:pPr>
      <w:r w:rsidRPr="008C48AC">
        <w:rPr>
          <w:rFonts w:ascii="Ping LCG Regular" w:hAnsi="Ping LCG Regular" w:cs="Arial"/>
          <w:spacing w:val="-14"/>
          <w:sz w:val="22"/>
          <w:szCs w:val="22"/>
          <w:lang w:val="el-GR"/>
        </w:rPr>
        <w:t xml:space="preserve">Αυξημένη λειτουργική κερδοφορία για το </w:t>
      </w:r>
      <w:r w:rsidR="00F743C5" w:rsidRPr="008C48AC">
        <w:rPr>
          <w:rFonts w:ascii="Ping LCG Regular" w:hAnsi="Ping LCG Regular" w:cs="Arial"/>
          <w:spacing w:val="-14"/>
          <w:sz w:val="22"/>
          <w:szCs w:val="22"/>
          <w:lang w:val="el-GR"/>
        </w:rPr>
        <w:t>α</w:t>
      </w:r>
      <w:r w:rsidR="00FD07C8" w:rsidRPr="008C48AC">
        <w:rPr>
          <w:rFonts w:ascii="Ping LCG Regular" w:hAnsi="Ping LCG Regular" w:cs="Arial"/>
          <w:spacing w:val="-14"/>
          <w:sz w:val="22"/>
          <w:szCs w:val="22"/>
          <w:lang w:val="el-GR"/>
        </w:rPr>
        <w:t xml:space="preserve">’ </w:t>
      </w:r>
      <w:r w:rsidR="0035458D" w:rsidRPr="008C48AC">
        <w:rPr>
          <w:rFonts w:ascii="Ping LCG Regular" w:hAnsi="Ping LCG Regular" w:cs="Arial"/>
          <w:spacing w:val="-14"/>
          <w:sz w:val="22"/>
          <w:szCs w:val="22"/>
          <w:lang w:val="el-GR"/>
        </w:rPr>
        <w:t>τ</w:t>
      </w:r>
      <w:r w:rsidR="00FD07C8" w:rsidRPr="008C48AC">
        <w:rPr>
          <w:rFonts w:ascii="Ping LCG Regular" w:hAnsi="Ping LCG Regular" w:cs="Arial"/>
          <w:spacing w:val="-14"/>
          <w:sz w:val="22"/>
          <w:szCs w:val="22"/>
          <w:lang w:val="el-GR"/>
        </w:rPr>
        <w:t>ρίμηνο 2023</w:t>
      </w:r>
      <w:r w:rsidRPr="008C48AC">
        <w:rPr>
          <w:rFonts w:ascii="Ping LCG Regular" w:hAnsi="Ping LCG Regular" w:cs="Arial"/>
          <w:spacing w:val="-14"/>
          <w:sz w:val="22"/>
          <w:szCs w:val="22"/>
          <w:lang w:val="el-GR"/>
        </w:rPr>
        <w:t xml:space="preserve">, </w:t>
      </w:r>
      <w:r w:rsidR="00FD07C8" w:rsidRPr="008C48AC">
        <w:rPr>
          <w:rFonts w:ascii="Ping LCG Regular" w:hAnsi="Ping LCG Regular" w:cs="Arial"/>
          <w:spacing w:val="-14"/>
          <w:sz w:val="22"/>
          <w:szCs w:val="22"/>
          <w:lang w:val="el-GR"/>
        </w:rPr>
        <w:t xml:space="preserve">λόγω </w:t>
      </w:r>
      <w:r w:rsidR="00D4673D" w:rsidRPr="008C48AC">
        <w:rPr>
          <w:rFonts w:ascii="Ping LCG Regular" w:hAnsi="Ping LCG Regular" w:cs="Arial"/>
          <w:spacing w:val="-14"/>
          <w:sz w:val="22"/>
          <w:szCs w:val="22"/>
          <w:lang w:val="el-GR"/>
        </w:rPr>
        <w:t xml:space="preserve">της μείωσης των </w:t>
      </w:r>
      <w:r w:rsidRPr="008C48AC">
        <w:rPr>
          <w:rFonts w:ascii="Ping LCG Regular" w:hAnsi="Ping LCG Regular" w:cs="Arial"/>
          <w:spacing w:val="-14"/>
          <w:sz w:val="22"/>
          <w:szCs w:val="22"/>
          <w:lang w:val="el-GR"/>
        </w:rPr>
        <w:t>λειτουργικών δαπανών, και κυρίως των δαπανών για αγορές ενέργειας</w:t>
      </w:r>
      <w:r w:rsidR="00674193" w:rsidRPr="008C48AC">
        <w:rPr>
          <w:rFonts w:ascii="Ping LCG Regular" w:hAnsi="Ping LCG Regular" w:cs="Arial"/>
          <w:spacing w:val="-14"/>
          <w:sz w:val="22"/>
          <w:szCs w:val="22"/>
          <w:lang w:val="el-GR"/>
        </w:rPr>
        <w:t>,</w:t>
      </w:r>
      <w:r w:rsidRPr="008C48AC">
        <w:rPr>
          <w:rFonts w:ascii="Ping LCG Regular" w:hAnsi="Ping LCG Regular" w:cs="Arial"/>
          <w:spacing w:val="-14"/>
          <w:sz w:val="22"/>
          <w:szCs w:val="22"/>
          <w:lang w:val="el-GR"/>
        </w:rPr>
        <w:t xml:space="preserve"> φυσικό αέριο</w:t>
      </w:r>
      <w:r w:rsidR="00674193" w:rsidRPr="008C48AC">
        <w:rPr>
          <w:rFonts w:ascii="Ping LCG Regular" w:hAnsi="Ping LCG Regular" w:cs="Arial"/>
          <w:spacing w:val="-14"/>
          <w:sz w:val="22"/>
          <w:szCs w:val="22"/>
          <w:lang w:val="el-GR"/>
        </w:rPr>
        <w:t xml:space="preserve"> και εκπομπές </w:t>
      </w:r>
      <w:r w:rsidR="00674193" w:rsidRPr="008C48AC">
        <w:rPr>
          <w:rFonts w:ascii="Ping LCG Regular" w:hAnsi="Ping LCG Regular" w:cs="Arial"/>
          <w:spacing w:val="-14"/>
          <w:sz w:val="22"/>
          <w:szCs w:val="22"/>
        </w:rPr>
        <w:t>CO</w:t>
      </w:r>
      <w:r w:rsidR="00674193" w:rsidRPr="00C574ED">
        <w:rPr>
          <w:rFonts w:ascii="Ping LCG Regular" w:hAnsi="Ping LCG Regular" w:cs="Arial"/>
          <w:spacing w:val="-14"/>
          <w:sz w:val="22"/>
          <w:szCs w:val="22"/>
          <w:vertAlign w:val="subscript"/>
          <w:lang w:val="el-GR"/>
        </w:rPr>
        <w:t>2</w:t>
      </w:r>
      <w:r w:rsidRPr="008C48AC">
        <w:rPr>
          <w:rFonts w:ascii="Ping LCG Regular" w:hAnsi="Ping LCG Regular" w:cs="Arial"/>
          <w:spacing w:val="-14"/>
          <w:sz w:val="22"/>
          <w:szCs w:val="22"/>
          <w:lang w:val="el-GR"/>
        </w:rPr>
        <w:t>. Συγκεκριμένα, τα κέρδη προ τόκων, φόρων και αποσβέσεων (EBITDA) σε επαναλαμβανόμενη βάση διαμορφώθηκαν σε €</w:t>
      </w:r>
      <w:r w:rsidR="00963766" w:rsidRPr="008C48AC">
        <w:rPr>
          <w:rFonts w:ascii="Ping LCG Regular" w:hAnsi="Ping LCG Regular" w:cs="Arial"/>
          <w:spacing w:val="-14"/>
          <w:sz w:val="22"/>
          <w:szCs w:val="22"/>
          <w:lang w:val="el-GR"/>
        </w:rPr>
        <w:t>28</w:t>
      </w:r>
      <w:r w:rsidR="00F256B2">
        <w:rPr>
          <w:rFonts w:ascii="Ping LCG Regular" w:hAnsi="Ping LCG Regular" w:cs="Arial"/>
          <w:spacing w:val="-14"/>
          <w:sz w:val="22"/>
          <w:szCs w:val="22"/>
          <w:lang w:val="el-GR"/>
        </w:rPr>
        <w:t>0</w:t>
      </w:r>
      <w:r w:rsidR="00EB3B9B" w:rsidRPr="008C48AC">
        <w:rPr>
          <w:rFonts w:ascii="Ping LCG Regular" w:hAnsi="Ping LCG Regular" w:cs="Arial"/>
          <w:spacing w:val="-14"/>
          <w:sz w:val="22"/>
          <w:szCs w:val="22"/>
          <w:lang w:val="el-GR"/>
        </w:rPr>
        <w:t>,</w:t>
      </w:r>
      <w:r w:rsidR="00F256B2">
        <w:rPr>
          <w:rFonts w:ascii="Ping LCG Regular" w:hAnsi="Ping LCG Regular" w:cs="Arial"/>
          <w:spacing w:val="-14"/>
          <w:sz w:val="22"/>
          <w:szCs w:val="22"/>
          <w:lang w:val="el-GR"/>
        </w:rPr>
        <w:t>5</w:t>
      </w:r>
      <w:r w:rsidRPr="008C48AC">
        <w:rPr>
          <w:rFonts w:ascii="Ping LCG Regular" w:hAnsi="Ping LCG Regular" w:cs="Arial"/>
          <w:spacing w:val="-14"/>
          <w:sz w:val="22"/>
          <w:szCs w:val="22"/>
          <w:lang w:val="el-GR"/>
        </w:rPr>
        <w:t xml:space="preserve"> εκατ., αυξημένα κατά €</w:t>
      </w:r>
      <w:r w:rsidR="00963766" w:rsidRPr="008C48AC">
        <w:rPr>
          <w:rFonts w:ascii="Ping LCG Regular" w:hAnsi="Ping LCG Regular" w:cs="Arial"/>
          <w:spacing w:val="-14"/>
          <w:sz w:val="22"/>
          <w:szCs w:val="22"/>
          <w:lang w:val="el-GR"/>
        </w:rPr>
        <w:t>11</w:t>
      </w:r>
      <w:r w:rsidR="00C412C9">
        <w:rPr>
          <w:rFonts w:ascii="Ping LCG Regular" w:hAnsi="Ping LCG Regular" w:cs="Arial"/>
          <w:spacing w:val="-14"/>
          <w:sz w:val="22"/>
          <w:szCs w:val="22"/>
          <w:lang w:val="el-GR"/>
        </w:rPr>
        <w:t>0,5</w:t>
      </w:r>
      <w:r w:rsidRPr="008C48AC">
        <w:rPr>
          <w:rFonts w:ascii="Ping LCG Regular" w:hAnsi="Ping LCG Regular" w:cs="Arial"/>
          <w:spacing w:val="-14"/>
          <w:sz w:val="22"/>
          <w:szCs w:val="22"/>
          <w:lang w:val="el-GR"/>
        </w:rPr>
        <w:t xml:space="preserve"> εκατ. (</w:t>
      </w:r>
      <w:r w:rsidR="00EB3B9B" w:rsidRPr="008C48AC">
        <w:rPr>
          <w:rFonts w:ascii="Ping LCG Regular" w:hAnsi="Ping LCG Regular" w:cs="Arial"/>
          <w:spacing w:val="-14"/>
          <w:sz w:val="22"/>
          <w:szCs w:val="22"/>
          <w:lang w:val="el-GR"/>
        </w:rPr>
        <w:t>6</w:t>
      </w:r>
      <w:r w:rsidR="000220AE">
        <w:rPr>
          <w:rFonts w:ascii="Ping LCG Regular" w:hAnsi="Ping LCG Regular" w:cs="Arial"/>
          <w:spacing w:val="-14"/>
          <w:sz w:val="22"/>
          <w:szCs w:val="22"/>
          <w:lang w:val="el-GR"/>
        </w:rPr>
        <w:t>5</w:t>
      </w:r>
      <w:r w:rsidR="0053237D" w:rsidRPr="008C48AC">
        <w:rPr>
          <w:rFonts w:ascii="Ping LCG Regular" w:hAnsi="Ping LCG Regular" w:cs="Arial"/>
          <w:spacing w:val="-14"/>
          <w:sz w:val="22"/>
          <w:szCs w:val="22"/>
          <w:lang w:val="el-GR"/>
        </w:rPr>
        <w:t>%</w:t>
      </w:r>
      <w:r w:rsidRPr="008C48AC">
        <w:rPr>
          <w:rFonts w:ascii="Ping LCG Regular" w:hAnsi="Ping LCG Regular" w:cs="Arial"/>
          <w:spacing w:val="-14"/>
          <w:sz w:val="22"/>
          <w:szCs w:val="22"/>
          <w:lang w:val="el-GR"/>
        </w:rPr>
        <w:t>) σε σχέση με τ</w:t>
      </w:r>
      <w:r w:rsidR="0053237D" w:rsidRPr="008C48AC">
        <w:rPr>
          <w:rFonts w:ascii="Ping LCG Regular" w:hAnsi="Ping LCG Regular" w:cs="Arial"/>
          <w:spacing w:val="-14"/>
          <w:sz w:val="22"/>
          <w:szCs w:val="22"/>
          <w:lang w:val="el-GR"/>
        </w:rPr>
        <w:t>ην αντίστοιχη περίοδο του 2022</w:t>
      </w:r>
      <w:r w:rsidRPr="008C48AC">
        <w:rPr>
          <w:rFonts w:ascii="Ping LCG Regular" w:hAnsi="Ping LCG Regular" w:cs="Arial"/>
          <w:spacing w:val="-14"/>
          <w:sz w:val="22"/>
          <w:szCs w:val="22"/>
          <w:lang w:val="el-GR"/>
        </w:rPr>
        <w:t xml:space="preserve">. </w:t>
      </w:r>
    </w:p>
    <w:p w14:paraId="4E49936C" w14:textId="77777777" w:rsidR="0053237D" w:rsidRPr="008C48AC" w:rsidRDefault="0053237D" w:rsidP="006E3827">
      <w:pPr>
        <w:jc w:val="both"/>
        <w:rPr>
          <w:rFonts w:ascii="Ping LCG Regular" w:hAnsi="Ping LCG Regular" w:cs="Arial"/>
          <w:spacing w:val="-14"/>
          <w:sz w:val="22"/>
          <w:szCs w:val="22"/>
          <w:lang w:val="el-GR"/>
        </w:rPr>
      </w:pPr>
    </w:p>
    <w:p w14:paraId="385FDC86" w14:textId="2545C613" w:rsidR="006E3827" w:rsidRPr="008C48AC" w:rsidRDefault="00D51E66" w:rsidP="006E3827">
      <w:pPr>
        <w:jc w:val="both"/>
        <w:rPr>
          <w:rFonts w:ascii="Ping LCG Regular" w:hAnsi="Ping LCG Regular" w:cs="Arial"/>
          <w:spacing w:val="-14"/>
          <w:sz w:val="22"/>
          <w:szCs w:val="22"/>
          <w:lang w:val="el-GR"/>
        </w:rPr>
      </w:pPr>
      <w:r w:rsidRPr="008C48AC">
        <w:rPr>
          <w:rFonts w:ascii="Ping LCG Regular" w:hAnsi="Ping LCG Regular" w:cs="Arial"/>
          <w:spacing w:val="-14"/>
          <w:sz w:val="22"/>
          <w:szCs w:val="22"/>
          <w:lang w:val="el-GR"/>
        </w:rPr>
        <w:t>Τα</w:t>
      </w:r>
      <w:r w:rsidR="006E3827" w:rsidRPr="008C48AC">
        <w:rPr>
          <w:rFonts w:ascii="Ping LCG Regular" w:hAnsi="Ping LCG Regular" w:cs="Arial"/>
          <w:spacing w:val="-14"/>
          <w:sz w:val="22"/>
          <w:szCs w:val="22"/>
          <w:lang w:val="el-GR"/>
        </w:rPr>
        <w:t xml:space="preserve"> αποτελέσματα προ φόρων διαμορφώθηκαν σε </w:t>
      </w:r>
      <w:r w:rsidR="003E3C32" w:rsidRPr="008C48AC">
        <w:rPr>
          <w:rFonts w:ascii="Ping LCG Regular" w:hAnsi="Ping LCG Regular" w:cs="Arial"/>
          <w:spacing w:val="-14"/>
          <w:sz w:val="22"/>
          <w:szCs w:val="22"/>
          <w:lang w:val="el-GR"/>
        </w:rPr>
        <w:t xml:space="preserve">κέρδη </w:t>
      </w:r>
      <w:r w:rsidR="006E3827" w:rsidRPr="008C48AC">
        <w:rPr>
          <w:rFonts w:ascii="Ping LCG Regular" w:hAnsi="Ping LCG Regular" w:cs="Arial"/>
          <w:spacing w:val="-14"/>
          <w:sz w:val="22"/>
          <w:szCs w:val="22"/>
          <w:lang w:val="el-GR"/>
        </w:rPr>
        <w:t>€</w:t>
      </w:r>
      <w:r w:rsidR="00575DD1" w:rsidRPr="008C48AC">
        <w:rPr>
          <w:rFonts w:ascii="Ping LCG Regular" w:hAnsi="Ping LCG Regular" w:cs="Arial"/>
          <w:spacing w:val="-14"/>
          <w:sz w:val="22"/>
          <w:szCs w:val="22"/>
          <w:lang w:val="el-GR"/>
        </w:rPr>
        <w:t>7</w:t>
      </w:r>
      <w:r w:rsidR="000220AE">
        <w:rPr>
          <w:rFonts w:ascii="Ping LCG Regular" w:hAnsi="Ping LCG Regular" w:cs="Arial"/>
          <w:spacing w:val="-14"/>
          <w:sz w:val="22"/>
          <w:szCs w:val="22"/>
          <w:lang w:val="el-GR"/>
        </w:rPr>
        <w:t>3</w:t>
      </w:r>
      <w:r w:rsidR="00575DD1" w:rsidRPr="008C48AC">
        <w:rPr>
          <w:rFonts w:ascii="Ping LCG Regular" w:hAnsi="Ping LCG Regular" w:cs="Arial"/>
          <w:spacing w:val="-14"/>
          <w:sz w:val="22"/>
          <w:szCs w:val="22"/>
          <w:lang w:val="el-GR"/>
        </w:rPr>
        <w:t>,</w:t>
      </w:r>
      <w:r w:rsidR="00C36096">
        <w:rPr>
          <w:rFonts w:ascii="Ping LCG Regular" w:hAnsi="Ping LCG Regular" w:cs="Arial"/>
          <w:spacing w:val="-14"/>
          <w:sz w:val="22"/>
          <w:szCs w:val="22"/>
          <w:lang w:val="el-GR"/>
        </w:rPr>
        <w:t>3</w:t>
      </w:r>
      <w:r w:rsidR="006E3827" w:rsidRPr="008C48AC">
        <w:rPr>
          <w:rFonts w:ascii="Ping LCG Regular" w:hAnsi="Ping LCG Regular" w:cs="Arial"/>
          <w:spacing w:val="-14"/>
          <w:sz w:val="22"/>
          <w:szCs w:val="22"/>
          <w:lang w:val="el-GR"/>
        </w:rPr>
        <w:t xml:space="preserve"> εκατ. έναντι ζημιών €</w:t>
      </w:r>
      <w:r w:rsidR="003E3C32" w:rsidRPr="008C48AC">
        <w:rPr>
          <w:rFonts w:ascii="Ping LCG Regular" w:hAnsi="Ping LCG Regular" w:cs="Arial"/>
          <w:spacing w:val="-14"/>
          <w:sz w:val="22"/>
          <w:szCs w:val="22"/>
          <w:lang w:val="el-GR"/>
        </w:rPr>
        <w:t>30,3</w:t>
      </w:r>
      <w:r w:rsidR="006E3827" w:rsidRPr="008C48AC">
        <w:rPr>
          <w:rFonts w:ascii="Ping LCG Regular" w:hAnsi="Ping LCG Regular" w:cs="Arial"/>
          <w:spacing w:val="-14"/>
          <w:sz w:val="22"/>
          <w:szCs w:val="22"/>
          <w:lang w:val="el-GR"/>
        </w:rPr>
        <w:t xml:space="preserve"> εκατ. το </w:t>
      </w:r>
      <w:r w:rsidR="00F743C5" w:rsidRPr="008C48AC">
        <w:rPr>
          <w:rFonts w:ascii="Ping LCG Regular" w:hAnsi="Ping LCG Regular" w:cs="Arial"/>
          <w:spacing w:val="-14"/>
          <w:sz w:val="22"/>
          <w:szCs w:val="22"/>
          <w:lang w:val="el-GR"/>
        </w:rPr>
        <w:t>α</w:t>
      </w:r>
      <w:r w:rsidR="003E3C32" w:rsidRPr="008C48AC">
        <w:rPr>
          <w:rFonts w:ascii="Ping LCG Regular" w:hAnsi="Ping LCG Regular" w:cs="Arial"/>
          <w:spacing w:val="-14"/>
          <w:sz w:val="22"/>
          <w:szCs w:val="22"/>
          <w:lang w:val="el-GR"/>
        </w:rPr>
        <w:t xml:space="preserve">’ τρίμηνο </w:t>
      </w:r>
      <w:r w:rsidR="006E3827" w:rsidRPr="008C48AC">
        <w:rPr>
          <w:rFonts w:ascii="Ping LCG Regular" w:hAnsi="Ping LCG Regular" w:cs="Arial"/>
          <w:spacing w:val="-14"/>
          <w:sz w:val="22"/>
          <w:szCs w:val="22"/>
          <w:lang w:val="el-GR"/>
        </w:rPr>
        <w:t>202</w:t>
      </w:r>
      <w:r w:rsidR="007A3694" w:rsidRPr="008C48AC">
        <w:rPr>
          <w:rFonts w:ascii="Ping LCG Regular" w:hAnsi="Ping LCG Regular" w:cs="Arial"/>
          <w:spacing w:val="-14"/>
          <w:sz w:val="22"/>
          <w:szCs w:val="22"/>
          <w:lang w:val="el-GR"/>
        </w:rPr>
        <w:t>2</w:t>
      </w:r>
      <w:r w:rsidR="006E3827" w:rsidRPr="008C48AC">
        <w:rPr>
          <w:rFonts w:ascii="Ping LCG Regular" w:hAnsi="Ping LCG Regular" w:cs="Arial"/>
          <w:spacing w:val="-14"/>
          <w:sz w:val="22"/>
          <w:szCs w:val="22"/>
          <w:lang w:val="el-GR"/>
        </w:rPr>
        <w:t xml:space="preserve">.  </w:t>
      </w:r>
    </w:p>
    <w:p w14:paraId="509BE1F0" w14:textId="77777777" w:rsidR="006E3827" w:rsidRPr="008C48AC" w:rsidRDefault="006E3827" w:rsidP="006E3827">
      <w:pPr>
        <w:jc w:val="both"/>
        <w:rPr>
          <w:rFonts w:ascii="Ping LCG Regular" w:hAnsi="Ping LCG Regular" w:cs="Arial"/>
          <w:spacing w:val="-14"/>
          <w:sz w:val="22"/>
          <w:szCs w:val="22"/>
          <w:lang w:val="el-GR"/>
        </w:rPr>
      </w:pPr>
    </w:p>
    <w:p w14:paraId="00170A26" w14:textId="43D53AFE" w:rsidR="00B74694" w:rsidRPr="008C48AC" w:rsidRDefault="009C32D4" w:rsidP="006E3827">
      <w:pPr>
        <w:jc w:val="both"/>
        <w:rPr>
          <w:rFonts w:ascii="Ping LCG Regular" w:hAnsi="Ping LCG Regular" w:cs="Arial"/>
          <w:spacing w:val="-14"/>
          <w:sz w:val="22"/>
          <w:szCs w:val="22"/>
          <w:lang w:val="el-GR"/>
        </w:rPr>
      </w:pPr>
      <w:r w:rsidRPr="008C48AC">
        <w:rPr>
          <w:rFonts w:ascii="Ping LCG Regular" w:hAnsi="Ping LCG Regular" w:cs="Arial"/>
          <w:spacing w:val="-14"/>
          <w:sz w:val="22"/>
          <w:szCs w:val="22"/>
          <w:lang w:val="el-GR"/>
        </w:rPr>
        <w:t>Τα</w:t>
      </w:r>
      <w:r w:rsidR="006E3827" w:rsidRPr="008C48AC">
        <w:rPr>
          <w:rFonts w:ascii="Ping LCG Regular" w:hAnsi="Ping LCG Regular" w:cs="Arial"/>
          <w:spacing w:val="-14"/>
          <w:sz w:val="22"/>
          <w:szCs w:val="22"/>
          <w:lang w:val="el-GR"/>
        </w:rPr>
        <w:t xml:space="preserve"> αποτελέσματα μετά από φόρους διαμορφώθηκαν σε </w:t>
      </w:r>
      <w:r w:rsidR="00687F99" w:rsidRPr="008C48AC">
        <w:rPr>
          <w:rFonts w:ascii="Ping LCG Regular" w:hAnsi="Ping LCG Regular" w:cs="Arial"/>
          <w:spacing w:val="-14"/>
          <w:sz w:val="22"/>
          <w:szCs w:val="22"/>
          <w:lang w:val="el-GR"/>
        </w:rPr>
        <w:t xml:space="preserve">κέρδη </w:t>
      </w:r>
      <w:r w:rsidR="006E3827" w:rsidRPr="008C48AC">
        <w:rPr>
          <w:rFonts w:ascii="Ping LCG Regular" w:hAnsi="Ping LCG Regular" w:cs="Arial"/>
          <w:spacing w:val="-14"/>
          <w:sz w:val="22"/>
          <w:szCs w:val="22"/>
          <w:lang w:val="el-GR"/>
        </w:rPr>
        <w:t>€</w:t>
      </w:r>
      <w:r w:rsidR="00575DD1" w:rsidRPr="008C48AC">
        <w:rPr>
          <w:rFonts w:ascii="Ping LCG Regular" w:hAnsi="Ping LCG Regular" w:cs="Arial"/>
          <w:spacing w:val="-14"/>
          <w:sz w:val="22"/>
          <w:szCs w:val="22"/>
          <w:lang w:val="el-GR"/>
        </w:rPr>
        <w:t>5</w:t>
      </w:r>
      <w:r w:rsidR="00DD040E">
        <w:rPr>
          <w:rFonts w:ascii="Ping LCG Regular" w:hAnsi="Ping LCG Regular" w:cs="Arial"/>
          <w:spacing w:val="-14"/>
          <w:sz w:val="22"/>
          <w:szCs w:val="22"/>
          <w:lang w:val="el-GR"/>
        </w:rPr>
        <w:t>1</w:t>
      </w:r>
      <w:r w:rsidR="00575DD1" w:rsidRPr="008C48AC">
        <w:rPr>
          <w:rFonts w:ascii="Ping LCG Regular" w:hAnsi="Ping LCG Regular" w:cs="Arial"/>
          <w:spacing w:val="-14"/>
          <w:sz w:val="22"/>
          <w:szCs w:val="22"/>
          <w:lang w:val="el-GR"/>
        </w:rPr>
        <w:t>,</w:t>
      </w:r>
      <w:r w:rsidR="00C36096">
        <w:rPr>
          <w:rFonts w:ascii="Ping LCG Regular" w:hAnsi="Ping LCG Regular" w:cs="Arial"/>
          <w:spacing w:val="-14"/>
          <w:sz w:val="22"/>
          <w:szCs w:val="22"/>
          <w:lang w:val="el-GR"/>
        </w:rPr>
        <w:t>1</w:t>
      </w:r>
      <w:r w:rsidR="006E3827" w:rsidRPr="008C48AC">
        <w:rPr>
          <w:rFonts w:ascii="Ping LCG Regular" w:hAnsi="Ping LCG Regular" w:cs="Arial"/>
          <w:spacing w:val="-14"/>
          <w:sz w:val="22"/>
          <w:szCs w:val="22"/>
          <w:lang w:val="el-GR"/>
        </w:rPr>
        <w:t xml:space="preserve"> εκατ. έναντι ζημιών €18</w:t>
      </w:r>
      <w:r w:rsidR="0068335D" w:rsidRPr="008C48AC">
        <w:rPr>
          <w:rFonts w:ascii="Ping LCG Regular" w:hAnsi="Ping LCG Regular" w:cs="Arial"/>
          <w:spacing w:val="-14"/>
          <w:sz w:val="22"/>
          <w:szCs w:val="22"/>
          <w:lang w:val="el-GR"/>
        </w:rPr>
        <w:t>5</w:t>
      </w:r>
      <w:r w:rsidR="006E3827" w:rsidRPr="008C48AC">
        <w:rPr>
          <w:rFonts w:ascii="Ping LCG Regular" w:hAnsi="Ping LCG Regular" w:cs="Arial"/>
          <w:spacing w:val="-14"/>
          <w:sz w:val="22"/>
          <w:szCs w:val="22"/>
          <w:lang w:val="el-GR"/>
        </w:rPr>
        <w:t>,</w:t>
      </w:r>
      <w:r w:rsidR="0068335D" w:rsidRPr="008C48AC">
        <w:rPr>
          <w:rFonts w:ascii="Ping LCG Regular" w:hAnsi="Ping LCG Regular" w:cs="Arial"/>
          <w:spacing w:val="-14"/>
          <w:sz w:val="22"/>
          <w:szCs w:val="22"/>
          <w:lang w:val="el-GR"/>
        </w:rPr>
        <w:t>7</w:t>
      </w:r>
      <w:r w:rsidR="006E3827" w:rsidRPr="008C48AC">
        <w:rPr>
          <w:rFonts w:ascii="Ping LCG Regular" w:hAnsi="Ping LCG Regular" w:cs="Arial"/>
          <w:spacing w:val="-14"/>
          <w:sz w:val="22"/>
          <w:szCs w:val="22"/>
          <w:lang w:val="el-GR"/>
        </w:rPr>
        <w:t xml:space="preserve"> εκατ. το </w:t>
      </w:r>
      <w:r w:rsidR="0068335D" w:rsidRPr="008C48AC">
        <w:rPr>
          <w:rFonts w:ascii="Ping LCG Regular" w:hAnsi="Ping LCG Regular" w:cs="Arial"/>
          <w:spacing w:val="-14"/>
          <w:sz w:val="22"/>
          <w:szCs w:val="22"/>
          <w:lang w:val="el-GR"/>
        </w:rPr>
        <w:t>α’ τρίμηνο 2022</w:t>
      </w:r>
      <w:r w:rsidR="006E3827" w:rsidRPr="008C48AC">
        <w:rPr>
          <w:rFonts w:ascii="Ping LCG Regular" w:hAnsi="Ping LCG Regular" w:cs="Arial"/>
          <w:spacing w:val="-14"/>
          <w:sz w:val="22"/>
          <w:szCs w:val="22"/>
          <w:lang w:val="el-GR"/>
        </w:rPr>
        <w:t xml:space="preserve">.   </w:t>
      </w:r>
    </w:p>
    <w:p w14:paraId="360C4907" w14:textId="77777777" w:rsidR="00B74694" w:rsidRPr="008C48AC" w:rsidRDefault="00B74694">
      <w:pPr>
        <w:rPr>
          <w:rFonts w:ascii="Ping LCG Regular" w:hAnsi="Ping LCG Regular" w:cs="Arial"/>
          <w:spacing w:val="-14"/>
          <w:sz w:val="22"/>
          <w:szCs w:val="22"/>
          <w:lang w:val="el-GR"/>
        </w:rPr>
      </w:pPr>
      <w:r w:rsidRPr="008C48AC">
        <w:rPr>
          <w:rFonts w:ascii="Ping LCG Regular" w:hAnsi="Ping LCG Regular" w:cs="Arial"/>
          <w:spacing w:val="-14"/>
          <w:sz w:val="22"/>
          <w:szCs w:val="22"/>
          <w:lang w:val="el-GR"/>
        </w:rPr>
        <w:br w:type="page"/>
      </w:r>
    </w:p>
    <w:p w14:paraId="4F66C34E" w14:textId="77777777" w:rsidR="001E13D4" w:rsidRPr="001E13D4" w:rsidRDefault="001E13D4" w:rsidP="001E13D4">
      <w:pPr>
        <w:jc w:val="both"/>
        <w:rPr>
          <w:rFonts w:ascii="Ping LCG Regular" w:hAnsi="Ping LCG Regular"/>
          <w:b/>
          <w:bCs/>
          <w:sz w:val="22"/>
          <w:szCs w:val="22"/>
          <w:lang w:val="el-GR"/>
        </w:rPr>
      </w:pPr>
      <w:r w:rsidRPr="001E13D4">
        <w:rPr>
          <w:rFonts w:ascii="Ping LCG Regular" w:hAnsi="Ping LCG Regular"/>
          <w:b/>
          <w:bCs/>
          <w:sz w:val="22"/>
          <w:szCs w:val="22"/>
          <w:lang w:val="el-GR"/>
        </w:rPr>
        <w:lastRenderedPageBreak/>
        <w:t xml:space="preserve">Σχολιάζοντας τα οικονομικά αποτελέσματα, ο Πρόεδρος και Διευθύνων Σύμβουλος της ΔΕΗ Α.Ε. κ. Γεώργιος Στάσσης δήλωσε: </w:t>
      </w:r>
    </w:p>
    <w:p w14:paraId="4AE3F5FA" w14:textId="77777777" w:rsidR="001E13D4" w:rsidRDefault="001E13D4" w:rsidP="001E13D4">
      <w:pPr>
        <w:jc w:val="both"/>
        <w:rPr>
          <w:rFonts w:ascii="Ping LCG Regular" w:hAnsi="Ping LCG Regular"/>
          <w:sz w:val="22"/>
          <w:szCs w:val="22"/>
          <w:lang w:val="el-GR"/>
        </w:rPr>
      </w:pPr>
    </w:p>
    <w:p w14:paraId="345F5C9B" w14:textId="67267F06" w:rsidR="001E13D4" w:rsidRPr="001E13D4" w:rsidRDefault="001E13D4" w:rsidP="001E13D4">
      <w:pPr>
        <w:jc w:val="both"/>
        <w:rPr>
          <w:rFonts w:ascii="Ping LCG Regular" w:hAnsi="Ping LCG Regular"/>
          <w:sz w:val="22"/>
          <w:szCs w:val="22"/>
          <w:lang w:val="el-GR"/>
        </w:rPr>
      </w:pPr>
      <w:r w:rsidRPr="001E13D4">
        <w:rPr>
          <w:rFonts w:ascii="Ping LCG Regular" w:hAnsi="Ping LCG Regular"/>
          <w:sz w:val="22"/>
          <w:szCs w:val="22"/>
          <w:lang w:val="el-GR"/>
        </w:rPr>
        <w:t>«Τα αποτελέσματα του α΄ τριμήνου επιβεβαιώνουν την πορεία ανάπτυξης στην οποία έχει εισέλθει η ΔΕΗ και θέτουν τις βάσεις για την επιστροφή στην διανομή μερισμάτων, αρχής γενομένης από το 2024 με βάση την κερδοφορία της τρέχουσας χρήσης.</w:t>
      </w:r>
    </w:p>
    <w:p w14:paraId="5E07837C" w14:textId="77777777" w:rsidR="00FB5F8B" w:rsidRDefault="00FB5F8B" w:rsidP="001E13D4">
      <w:pPr>
        <w:jc w:val="both"/>
        <w:rPr>
          <w:rFonts w:ascii="Ping LCG Regular" w:hAnsi="Ping LCG Regular"/>
          <w:sz w:val="22"/>
          <w:szCs w:val="22"/>
          <w:lang w:val="el-GR"/>
        </w:rPr>
      </w:pPr>
    </w:p>
    <w:p w14:paraId="497074E8" w14:textId="1F676E84" w:rsidR="001E13D4" w:rsidRPr="001E13D4" w:rsidRDefault="001E13D4" w:rsidP="001E13D4">
      <w:pPr>
        <w:jc w:val="both"/>
        <w:rPr>
          <w:rFonts w:ascii="Ping LCG Regular" w:hAnsi="Ping LCG Regular"/>
          <w:sz w:val="22"/>
          <w:szCs w:val="22"/>
          <w:lang w:val="el-GR"/>
        </w:rPr>
      </w:pPr>
      <w:r w:rsidRPr="001E13D4">
        <w:rPr>
          <w:rFonts w:ascii="Ping LCG Regular" w:hAnsi="Ping LCG Regular"/>
          <w:sz w:val="22"/>
          <w:szCs w:val="22"/>
          <w:lang w:val="el-GR"/>
        </w:rPr>
        <w:t xml:space="preserve">Για ένα ακόμη τρίμηνο, υλοποιώντας το επιχειρηματικό μας σχέδιο, συνεχίσαμε να αυξάνουμε τις επενδύσεις σε έργα τα οποία κάνουν πιο «πράσινο» το ενεργειακό μας μείγμα, ενισχύουν και εκσυγχρονίζουν το Δίκτυο Διανομής ηλεκτρικής ενέργειας και συμβάλλουν στην </w:t>
      </w:r>
      <w:proofErr w:type="spellStart"/>
      <w:r w:rsidRPr="001E13D4">
        <w:rPr>
          <w:rFonts w:ascii="Ping LCG Regular" w:hAnsi="Ping LCG Regular"/>
          <w:sz w:val="22"/>
          <w:szCs w:val="22"/>
          <w:lang w:val="el-GR"/>
        </w:rPr>
        <w:t>ψηφιοποίηση</w:t>
      </w:r>
      <w:proofErr w:type="spellEnd"/>
      <w:r w:rsidRPr="001E13D4">
        <w:rPr>
          <w:rFonts w:ascii="Ping LCG Regular" w:hAnsi="Ping LCG Regular"/>
          <w:sz w:val="22"/>
          <w:szCs w:val="22"/>
          <w:lang w:val="el-GR"/>
        </w:rPr>
        <w:t xml:space="preserve"> όλων των δραστηριοτήτων μας.</w:t>
      </w:r>
    </w:p>
    <w:p w14:paraId="56AE2323" w14:textId="77777777" w:rsidR="001E13D4" w:rsidRDefault="001E13D4" w:rsidP="001E13D4">
      <w:pPr>
        <w:jc w:val="both"/>
        <w:rPr>
          <w:rFonts w:ascii="Ping LCG Regular" w:hAnsi="Ping LCG Regular"/>
          <w:sz w:val="22"/>
          <w:szCs w:val="22"/>
          <w:lang w:val="el-GR"/>
        </w:rPr>
      </w:pPr>
    </w:p>
    <w:p w14:paraId="7A41D6DF" w14:textId="266047C5" w:rsidR="001E13D4" w:rsidRPr="001E13D4" w:rsidRDefault="001E13D4" w:rsidP="001E13D4">
      <w:pPr>
        <w:jc w:val="both"/>
        <w:rPr>
          <w:rFonts w:ascii="Ping LCG Regular" w:hAnsi="Ping LCG Regular"/>
          <w:sz w:val="22"/>
          <w:szCs w:val="22"/>
          <w:lang w:val="el-GR"/>
        </w:rPr>
      </w:pPr>
      <w:r w:rsidRPr="001E13D4">
        <w:rPr>
          <w:rFonts w:ascii="Ping LCG Regular" w:hAnsi="Ping LCG Regular"/>
          <w:sz w:val="22"/>
          <w:szCs w:val="22"/>
          <w:lang w:val="el-GR"/>
        </w:rPr>
        <w:t>Ειδικά, για το πλάνο μας για τις Ανανεώσιμες Πηγές Ενέργειας, μετά την επίτευξη του στόχου των 600</w:t>
      </w:r>
      <w:r w:rsidRPr="001E13D4">
        <w:rPr>
          <w:rFonts w:ascii="Ping LCG Regular" w:hAnsi="Ping LCG Regular"/>
          <w:sz w:val="22"/>
          <w:szCs w:val="22"/>
        </w:rPr>
        <w:t>MW</w:t>
      </w:r>
      <w:r w:rsidRPr="001E13D4">
        <w:rPr>
          <w:rFonts w:ascii="Ping LCG Regular" w:hAnsi="Ping LCG Regular"/>
          <w:sz w:val="22"/>
          <w:szCs w:val="22"/>
          <w:lang w:val="el-GR"/>
        </w:rPr>
        <w:t xml:space="preserve"> που αφορά έργα στην Ελλάδα, είτε σε λειτουργία είτε κατασκευασμένα, ξεκίνησε η κατασκευή του μεγάλου Φωτοβολταϊκού πάρκου 550</w:t>
      </w:r>
      <w:r w:rsidRPr="001E13D4">
        <w:rPr>
          <w:rFonts w:ascii="Ping LCG Regular" w:hAnsi="Ping LCG Regular"/>
          <w:sz w:val="22"/>
          <w:szCs w:val="22"/>
        </w:rPr>
        <w:t>MW</w:t>
      </w:r>
      <w:r w:rsidRPr="001E13D4">
        <w:rPr>
          <w:rFonts w:ascii="Ping LCG Regular" w:hAnsi="Ping LCG Regular"/>
          <w:sz w:val="22"/>
          <w:szCs w:val="22"/>
          <w:lang w:val="el-GR"/>
        </w:rPr>
        <w:t xml:space="preserve"> στην </w:t>
      </w:r>
      <w:proofErr w:type="spellStart"/>
      <w:r w:rsidRPr="001E13D4">
        <w:rPr>
          <w:rFonts w:ascii="Ping LCG Regular" w:hAnsi="Ping LCG Regular"/>
          <w:sz w:val="22"/>
          <w:szCs w:val="22"/>
          <w:lang w:val="el-GR"/>
        </w:rPr>
        <w:t>Πτολεμαϊδα</w:t>
      </w:r>
      <w:proofErr w:type="spellEnd"/>
      <w:r w:rsidRPr="001E13D4">
        <w:rPr>
          <w:rFonts w:ascii="Ping LCG Regular" w:hAnsi="Ping LCG Regular"/>
          <w:sz w:val="22"/>
          <w:szCs w:val="22"/>
          <w:lang w:val="el-GR"/>
        </w:rPr>
        <w:t xml:space="preserve">, έχοντας σήμερα έργα συνολικής ισχύος 1 </w:t>
      </w:r>
      <w:r w:rsidRPr="001E13D4">
        <w:rPr>
          <w:rFonts w:ascii="Ping LCG Regular" w:hAnsi="Ping LCG Regular"/>
          <w:sz w:val="22"/>
          <w:szCs w:val="22"/>
        </w:rPr>
        <w:t>GW</w:t>
      </w:r>
      <w:r w:rsidRPr="001E13D4">
        <w:rPr>
          <w:rFonts w:ascii="Ping LCG Regular" w:hAnsi="Ping LCG Regular"/>
          <w:sz w:val="22"/>
          <w:szCs w:val="22"/>
          <w:lang w:val="el-GR"/>
        </w:rPr>
        <w:t xml:space="preserve"> υπό κατασκευή. Πρόκειται για συνολική ισχύ 1,6 </w:t>
      </w:r>
      <w:r w:rsidRPr="001E13D4">
        <w:rPr>
          <w:rFonts w:ascii="Ping LCG Regular" w:hAnsi="Ping LCG Regular"/>
          <w:sz w:val="22"/>
          <w:szCs w:val="22"/>
        </w:rPr>
        <w:t>GW</w:t>
      </w:r>
      <w:r w:rsidRPr="001E13D4">
        <w:rPr>
          <w:rFonts w:ascii="Ping LCG Regular" w:hAnsi="Ping LCG Regular"/>
          <w:sz w:val="22"/>
          <w:szCs w:val="22"/>
          <w:lang w:val="el-GR"/>
        </w:rPr>
        <w:t>, η οποία αντιστοιχεί περίπου στο 30% του στόχου των 5</w:t>
      </w:r>
      <w:r w:rsidRPr="001E13D4">
        <w:rPr>
          <w:rFonts w:ascii="Ping LCG Regular" w:hAnsi="Ping LCG Regular"/>
          <w:sz w:val="22"/>
          <w:szCs w:val="22"/>
        </w:rPr>
        <w:t>GW</w:t>
      </w:r>
      <w:r w:rsidRPr="001E13D4">
        <w:rPr>
          <w:rFonts w:ascii="Ping LCG Regular" w:hAnsi="Ping LCG Regular"/>
          <w:sz w:val="22"/>
          <w:szCs w:val="22"/>
          <w:lang w:val="el-GR"/>
        </w:rPr>
        <w:t xml:space="preserve"> που έχουμε θέσει για το 2026.</w:t>
      </w:r>
    </w:p>
    <w:p w14:paraId="5CCC8122" w14:textId="77777777" w:rsidR="001E13D4" w:rsidRDefault="001E13D4" w:rsidP="001E13D4">
      <w:pPr>
        <w:jc w:val="both"/>
        <w:rPr>
          <w:rFonts w:ascii="Ping LCG Regular" w:hAnsi="Ping LCG Regular"/>
          <w:sz w:val="22"/>
          <w:szCs w:val="22"/>
          <w:lang w:val="el-GR"/>
        </w:rPr>
      </w:pPr>
    </w:p>
    <w:p w14:paraId="4ADD2D1C" w14:textId="1F349FFF" w:rsidR="001E13D4" w:rsidRPr="001E13D4" w:rsidRDefault="001E13D4" w:rsidP="001E13D4">
      <w:pPr>
        <w:jc w:val="both"/>
        <w:rPr>
          <w:rFonts w:ascii="Ping LCG Regular" w:hAnsi="Ping LCG Regular"/>
          <w:sz w:val="22"/>
          <w:szCs w:val="22"/>
          <w:lang w:val="el-GR"/>
        </w:rPr>
      </w:pPr>
      <w:r w:rsidRPr="001E13D4">
        <w:rPr>
          <w:rFonts w:ascii="Ping LCG Regular" w:hAnsi="Ping LCG Regular"/>
          <w:sz w:val="22"/>
          <w:szCs w:val="22"/>
          <w:lang w:val="el-GR"/>
        </w:rPr>
        <w:t xml:space="preserve">Παράλληλα, συνεχίζουμε να επενδύουμε στην βελτίωση της εμπειρίας των πελατών μας, προσφέροντας ένα ευρύτερο σύνολο λύσεων, τόσο σε φυσικό όσο και σε ψηφιακό επίπεδο, προκειμένου να κάνουμε τη ΔΕΗ τον καλύτερο προορισμό για υπηρεσίες που σχετίζονται με την ενέργεια. Σε αυτή την κατεύθυνση, εξακολουθούμε να αναπτύσσουμε το δίκτυο καταστημάτων μας σε όλη τη χώρα, συνεχίζουμε να εισάγουμε περισσότερα εργαλεία για να βοηθήσουμε τους πελάτες μας στην εξόφληση των λογαριασμών τους, εξελίσσοντας όμως παράλληλα και τις ψηφιακές μας υπηρεσίες όπως είναι η νέα πλατφόρμα </w:t>
      </w:r>
      <w:proofErr w:type="spellStart"/>
      <w:r w:rsidRPr="001E13D4">
        <w:rPr>
          <w:rFonts w:ascii="Ping LCG Regular" w:hAnsi="Ping LCG Regular"/>
          <w:sz w:val="22"/>
          <w:szCs w:val="22"/>
        </w:rPr>
        <w:t>myDEI</w:t>
      </w:r>
      <w:proofErr w:type="spellEnd"/>
      <w:r w:rsidRPr="001E13D4">
        <w:rPr>
          <w:rFonts w:ascii="Ping LCG Regular" w:hAnsi="Ping LCG Regular"/>
          <w:sz w:val="22"/>
          <w:szCs w:val="22"/>
          <w:lang w:val="el-GR"/>
        </w:rPr>
        <w:t xml:space="preserve">, η χρήση </w:t>
      </w:r>
      <w:r w:rsidRPr="001E13D4">
        <w:rPr>
          <w:rFonts w:ascii="Ping LCG Regular" w:hAnsi="Ping LCG Regular"/>
          <w:sz w:val="22"/>
          <w:szCs w:val="22"/>
        </w:rPr>
        <w:t>e</w:t>
      </w:r>
      <w:r w:rsidRPr="001E13D4">
        <w:rPr>
          <w:rFonts w:ascii="Ping LCG Regular" w:hAnsi="Ping LCG Regular"/>
          <w:sz w:val="22"/>
          <w:szCs w:val="22"/>
          <w:lang w:val="el-GR"/>
        </w:rPr>
        <w:t>-</w:t>
      </w:r>
      <w:r w:rsidRPr="001E13D4">
        <w:rPr>
          <w:rFonts w:ascii="Ping LCG Regular" w:hAnsi="Ping LCG Regular"/>
          <w:sz w:val="22"/>
          <w:szCs w:val="22"/>
        </w:rPr>
        <w:t>contract</w:t>
      </w:r>
      <w:r w:rsidRPr="001E13D4">
        <w:rPr>
          <w:rFonts w:ascii="Ping LCG Regular" w:hAnsi="Ping LCG Regular"/>
          <w:sz w:val="22"/>
          <w:szCs w:val="22"/>
          <w:lang w:val="el-GR"/>
        </w:rPr>
        <w:t xml:space="preserve"> για νέες πωλήσεις, καθώς και το </w:t>
      </w:r>
      <w:r w:rsidRPr="001E13D4">
        <w:rPr>
          <w:rFonts w:ascii="Ping LCG Regular" w:hAnsi="Ping LCG Regular"/>
          <w:sz w:val="22"/>
          <w:szCs w:val="22"/>
        </w:rPr>
        <w:t>e</w:t>
      </w:r>
      <w:r w:rsidRPr="001E13D4">
        <w:rPr>
          <w:rFonts w:ascii="Ping LCG Regular" w:hAnsi="Ping LCG Regular"/>
          <w:sz w:val="22"/>
          <w:szCs w:val="22"/>
          <w:lang w:val="el-GR"/>
        </w:rPr>
        <w:t>-</w:t>
      </w:r>
      <w:proofErr w:type="spellStart"/>
      <w:r w:rsidRPr="001E13D4">
        <w:rPr>
          <w:rFonts w:ascii="Ping LCG Regular" w:hAnsi="Ping LCG Regular"/>
          <w:sz w:val="22"/>
          <w:szCs w:val="22"/>
        </w:rPr>
        <w:t>SelfMetering</w:t>
      </w:r>
      <w:proofErr w:type="spellEnd"/>
      <w:r w:rsidRPr="001E13D4">
        <w:rPr>
          <w:rFonts w:ascii="Ping LCG Regular" w:hAnsi="Ping LCG Regular"/>
          <w:sz w:val="22"/>
          <w:szCs w:val="22"/>
          <w:lang w:val="el-GR"/>
        </w:rPr>
        <w:t xml:space="preserve"> που γίνονται ολοένα και πιο δημοφιλείς,  γεγονός που πιστοποιεί ότι ο μετασχηματισμός της ΔΕΗ είναι πλέον σε μεγάλο βαθμό πραγματικότητα.</w:t>
      </w:r>
    </w:p>
    <w:p w14:paraId="35A32AD0" w14:textId="77777777" w:rsidR="001E13D4" w:rsidRDefault="001E13D4" w:rsidP="001E13D4">
      <w:pPr>
        <w:jc w:val="both"/>
        <w:rPr>
          <w:rFonts w:ascii="Ping LCG Regular" w:hAnsi="Ping LCG Regular"/>
          <w:sz w:val="22"/>
          <w:szCs w:val="22"/>
          <w:lang w:val="el-GR"/>
        </w:rPr>
      </w:pPr>
    </w:p>
    <w:p w14:paraId="22186E01" w14:textId="2C82EBF7" w:rsidR="001E13D4" w:rsidRPr="001E13D4" w:rsidRDefault="001E13D4" w:rsidP="001E13D4">
      <w:pPr>
        <w:jc w:val="both"/>
        <w:rPr>
          <w:sz w:val="22"/>
          <w:szCs w:val="22"/>
          <w:lang w:val="el-GR"/>
        </w:rPr>
      </w:pPr>
      <w:r w:rsidRPr="001E13D4">
        <w:rPr>
          <w:rFonts w:ascii="Ping LCG Regular" w:hAnsi="Ping LCG Regular"/>
          <w:sz w:val="22"/>
          <w:szCs w:val="22"/>
          <w:lang w:val="el-GR"/>
        </w:rPr>
        <w:t xml:space="preserve">Για το σύνολο του έτους, αναμένουμε να υπερβούμε τον αρχικό στόχο που είχαμε θέσει για επαναλαμβανόμενο </w:t>
      </w:r>
      <w:r w:rsidRPr="001E13D4">
        <w:rPr>
          <w:rFonts w:ascii="Ping LCG Regular" w:hAnsi="Ping LCG Regular"/>
          <w:sz w:val="22"/>
          <w:szCs w:val="22"/>
        </w:rPr>
        <w:t>EBITDA</w:t>
      </w:r>
      <w:r w:rsidRPr="001E13D4">
        <w:rPr>
          <w:rFonts w:ascii="Ping LCG Regular" w:hAnsi="Ping LCG Regular"/>
          <w:sz w:val="22"/>
          <w:szCs w:val="22"/>
          <w:lang w:val="el-GR"/>
        </w:rPr>
        <w:t xml:space="preserve"> ύψους €1,1 </w:t>
      </w:r>
      <w:proofErr w:type="spellStart"/>
      <w:r w:rsidRPr="001E13D4">
        <w:rPr>
          <w:rFonts w:ascii="Ping LCG Regular" w:hAnsi="Ping LCG Regular"/>
          <w:sz w:val="22"/>
          <w:szCs w:val="22"/>
          <w:lang w:val="el-GR"/>
        </w:rPr>
        <w:t>δισ</w:t>
      </w:r>
      <w:proofErr w:type="spellEnd"/>
      <w:r w:rsidRPr="001E13D4">
        <w:rPr>
          <w:rFonts w:ascii="Ping LCG Regular" w:hAnsi="Ping LCG Regular"/>
          <w:sz w:val="22"/>
          <w:szCs w:val="22"/>
          <w:lang w:val="el-GR"/>
        </w:rPr>
        <w:t xml:space="preserve"> και να προσεγγίσουμε τα €1,2 δισ. Η ΔΕΗ, μετά από ένα έτος γεμάτο προκλήσεις συνεχίζει αποφασιστικά την υλοποίηση του πλάνου μετασχηματισμού της με επενδύσεις τόσο στην Ελλάδα όσο και στο εξωτερικό, με απώτερο στόχο την μετατροπή της σε κορυφαία εταιρεία καθαρής ενέργειας στη Νοτιοανατολική Ευρώπη.»</w:t>
      </w:r>
    </w:p>
    <w:p w14:paraId="170C56B3" w14:textId="77777777" w:rsidR="001E13D4" w:rsidRPr="001E13D4" w:rsidRDefault="001E13D4" w:rsidP="002124DF">
      <w:pPr>
        <w:jc w:val="both"/>
        <w:rPr>
          <w:rFonts w:ascii="Ping LCG Regular" w:hAnsi="Ping LCG Regular" w:cs="Arial"/>
          <w:b/>
          <w:bCs/>
          <w:color w:val="000000"/>
          <w:sz w:val="22"/>
          <w:szCs w:val="22"/>
          <w:highlight w:val="yellow"/>
          <w:lang w:val="el-GR"/>
        </w:rPr>
      </w:pPr>
    </w:p>
    <w:p w14:paraId="59F3132D" w14:textId="77AF3189" w:rsidR="00B26EE8" w:rsidRPr="00C574ED" w:rsidRDefault="00B26EE8" w:rsidP="002124DF">
      <w:pPr>
        <w:jc w:val="both"/>
        <w:rPr>
          <w:rFonts w:ascii="Ping LCG Regular" w:hAnsi="Ping LCG Regular" w:cs="Arial"/>
          <w:b/>
          <w:bCs/>
          <w:color w:val="000000"/>
          <w:sz w:val="22"/>
          <w:szCs w:val="22"/>
          <w:highlight w:val="yellow"/>
          <w:lang w:val="el-GR"/>
        </w:rPr>
      </w:pPr>
      <w:r w:rsidRPr="00C574ED">
        <w:rPr>
          <w:rFonts w:ascii="Ping LCG Regular" w:hAnsi="Ping LCG Regular" w:cs="Arial"/>
          <w:b/>
          <w:bCs/>
          <w:color w:val="000000"/>
          <w:sz w:val="22"/>
          <w:szCs w:val="22"/>
          <w:highlight w:val="yellow"/>
          <w:lang w:val="el-GR"/>
        </w:rPr>
        <w:br w:type="page"/>
      </w:r>
    </w:p>
    <w:p w14:paraId="7A6918F4" w14:textId="5A479048" w:rsidR="00413F79" w:rsidRPr="00C574ED" w:rsidRDefault="00413F79" w:rsidP="00CD3233">
      <w:pPr>
        <w:autoSpaceDE w:val="0"/>
        <w:autoSpaceDN w:val="0"/>
        <w:adjustRightInd w:val="0"/>
        <w:rPr>
          <w:rFonts w:ascii="Ping LCG Regular" w:hAnsi="Ping LCG Regular" w:cs="Arial"/>
          <w:b/>
          <w:bCs/>
          <w:spacing w:val="-14"/>
          <w:sz w:val="22"/>
          <w:szCs w:val="22"/>
          <w:highlight w:val="yellow"/>
          <w:lang w:val="el-GR"/>
        </w:rPr>
      </w:pPr>
      <w:r w:rsidRPr="00C574ED">
        <w:rPr>
          <w:rFonts w:ascii="Ping LCG Regular" w:hAnsi="Ping LCG Regular" w:cs="Arial"/>
          <w:b/>
          <w:bCs/>
          <w:color w:val="000000"/>
          <w:sz w:val="22"/>
          <w:szCs w:val="22"/>
          <w:u w:val="single"/>
          <w:lang w:val="el-GR"/>
        </w:rPr>
        <w:lastRenderedPageBreak/>
        <w:t xml:space="preserve">Λειτουργικά μεγέθη </w:t>
      </w:r>
    </w:p>
    <w:p w14:paraId="3D0351C5" w14:textId="3D075311" w:rsidR="005915DB" w:rsidRPr="008C48AC" w:rsidRDefault="005915DB" w:rsidP="00A469D4">
      <w:pPr>
        <w:jc w:val="both"/>
        <w:rPr>
          <w:rFonts w:ascii="Ping LCG Regular" w:hAnsi="Ping LCG Regular" w:cs="Arial"/>
          <w:b/>
          <w:bCs/>
          <w:spacing w:val="-14"/>
          <w:sz w:val="22"/>
          <w:szCs w:val="22"/>
          <w:highlight w:val="yellow"/>
          <w:lang w:val="el-GR"/>
        </w:rPr>
      </w:pPr>
      <w:bookmarkStart w:id="2" w:name="_Hlk69205105"/>
    </w:p>
    <w:bookmarkEnd w:id="2"/>
    <w:p w14:paraId="3557ED74" w14:textId="77777777" w:rsidR="00413F79" w:rsidRPr="00C574ED" w:rsidRDefault="00413F79" w:rsidP="00413F79">
      <w:pPr>
        <w:autoSpaceDE w:val="0"/>
        <w:autoSpaceDN w:val="0"/>
        <w:adjustRightInd w:val="0"/>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Το α’ τρίμηνο 2023 η εγχώρια ζήτηση ηλεκτρικής ενέργειας μειώθηκε κατά 11% σε σχέση με την αντίστοιχη περίοδο του 2022  (13.204 </w:t>
      </w:r>
      <w:proofErr w:type="spellStart"/>
      <w:r w:rsidRPr="00C574ED">
        <w:rPr>
          <w:rFonts w:ascii="Ping LCG Regular" w:hAnsi="Ping LCG Regular" w:cs="Arial"/>
          <w:spacing w:val="-14"/>
          <w:sz w:val="22"/>
          <w:szCs w:val="22"/>
          <w:lang w:val="el-GR"/>
        </w:rPr>
        <w:t>GWh</w:t>
      </w:r>
      <w:proofErr w:type="spellEnd"/>
      <w:r w:rsidRPr="00C574ED">
        <w:rPr>
          <w:rFonts w:ascii="Ping LCG Regular" w:hAnsi="Ping LCG Regular" w:cs="Arial"/>
          <w:spacing w:val="-14"/>
          <w:sz w:val="22"/>
          <w:szCs w:val="22"/>
          <w:lang w:val="el-GR"/>
        </w:rPr>
        <w:t xml:space="preserve"> έναντι 14.828 </w:t>
      </w:r>
      <w:proofErr w:type="spellStart"/>
      <w:r w:rsidRPr="00C574ED">
        <w:rPr>
          <w:rFonts w:ascii="Ping LCG Regular" w:hAnsi="Ping LCG Regular" w:cs="Arial"/>
          <w:spacing w:val="-14"/>
          <w:sz w:val="22"/>
          <w:szCs w:val="22"/>
          <w:lang w:val="el-GR"/>
        </w:rPr>
        <w:t>GWh</w:t>
      </w:r>
      <w:proofErr w:type="spellEnd"/>
      <w:r w:rsidRPr="00C574ED">
        <w:rPr>
          <w:rFonts w:ascii="Ping LCG Regular" w:hAnsi="Ping LCG Regular" w:cs="Arial"/>
          <w:spacing w:val="-14"/>
          <w:sz w:val="22"/>
          <w:szCs w:val="22"/>
          <w:lang w:val="el-GR"/>
        </w:rPr>
        <w:t>) ως αποτέλεσμα της μείωσης της ζήτησης από τους καταναλωτές λόγω της ενεργειακής κρίσης και των κινήτρων που παρέχει η Πολιτεία για εξοικονόμηση ενέργειας, καθώς και λόγω των ηπιότερων καιρικών συνθηκών το α’ τρίμηνο 2023 σε σχέση με την αντίστοιχη περυσινή περίοδο. Σε επίπεδο συνολικής ζήτησης, περιλαμβάνοντας δηλαδή την ηλεκτρική ενέργεια για εξαγωγές, καταγράφηκε μείωση κατά 11,9%.</w:t>
      </w:r>
    </w:p>
    <w:p w14:paraId="093D56C8" w14:textId="77777777" w:rsidR="00413F79" w:rsidRPr="00C574ED" w:rsidRDefault="00413F79" w:rsidP="00413F79">
      <w:pPr>
        <w:autoSpaceDE w:val="0"/>
        <w:autoSpaceDN w:val="0"/>
        <w:adjustRightInd w:val="0"/>
        <w:jc w:val="both"/>
        <w:rPr>
          <w:rFonts w:ascii="Ping LCG Regular" w:hAnsi="Ping LCG Regular" w:cs="Arial"/>
          <w:spacing w:val="-14"/>
          <w:sz w:val="22"/>
          <w:szCs w:val="22"/>
          <w:lang w:val="el-GR"/>
        </w:rPr>
      </w:pPr>
    </w:p>
    <w:p w14:paraId="1136EFC1" w14:textId="4AD267D6" w:rsidR="00413F79" w:rsidRPr="00C574ED" w:rsidRDefault="00413F79" w:rsidP="00413F79">
      <w:pPr>
        <w:autoSpaceDE w:val="0"/>
        <w:autoSpaceDN w:val="0"/>
        <w:adjustRightInd w:val="0"/>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Το μέσο μερίδιο της ΔΕΗ στην αγορά προμήθειας στο σύνολο της χώρας μειώθηκε σε 6</w:t>
      </w:r>
      <w:r w:rsidR="006F4CBE" w:rsidRPr="00EA7607">
        <w:rPr>
          <w:rFonts w:ascii="Ping LCG Regular" w:hAnsi="Ping LCG Regular" w:cs="Arial"/>
          <w:spacing w:val="-14"/>
          <w:sz w:val="22"/>
          <w:szCs w:val="22"/>
          <w:lang w:val="el-GR"/>
        </w:rPr>
        <w:t>0</w:t>
      </w:r>
      <w:r w:rsidRPr="00C574ED">
        <w:rPr>
          <w:rFonts w:ascii="Ping LCG Regular" w:hAnsi="Ping LCG Regular" w:cs="Arial"/>
          <w:spacing w:val="-14"/>
          <w:sz w:val="22"/>
          <w:szCs w:val="22"/>
          <w:lang w:val="el-GR"/>
        </w:rPr>
        <w:t>,</w:t>
      </w:r>
      <w:r w:rsidR="006F4CBE" w:rsidRPr="00EA7607">
        <w:rPr>
          <w:rFonts w:ascii="Ping LCG Regular" w:hAnsi="Ping LCG Regular" w:cs="Arial"/>
          <w:spacing w:val="-14"/>
          <w:sz w:val="22"/>
          <w:szCs w:val="22"/>
          <w:lang w:val="el-GR"/>
        </w:rPr>
        <w:t>9</w:t>
      </w:r>
      <w:r w:rsidRPr="00C574ED">
        <w:rPr>
          <w:rFonts w:ascii="Ping LCG Regular" w:hAnsi="Ping LCG Regular" w:cs="Arial"/>
          <w:spacing w:val="-14"/>
          <w:sz w:val="22"/>
          <w:szCs w:val="22"/>
          <w:lang w:val="el-GR"/>
        </w:rPr>
        <w:t>% το α’ τρίμηνο 2023 από 64% το αντίστοιχο τρίμηνο του 2022. Ειδικότερα, το μέσο μερίδιο αγοράς στο Διασυνδεδεμένο Σύστημα μειώθηκε σε 6</w:t>
      </w:r>
      <w:r w:rsidR="00E126B1">
        <w:rPr>
          <w:rFonts w:ascii="Ping LCG Regular" w:hAnsi="Ping LCG Regular" w:cs="Arial"/>
          <w:spacing w:val="-14"/>
          <w:sz w:val="22"/>
          <w:szCs w:val="22"/>
          <w:lang w:val="el-GR"/>
        </w:rPr>
        <w:t>1</w:t>
      </w:r>
      <w:r w:rsidRPr="00C574ED">
        <w:rPr>
          <w:rFonts w:ascii="Ping LCG Regular" w:hAnsi="Ping LCG Regular" w:cs="Arial"/>
          <w:spacing w:val="-14"/>
          <w:sz w:val="22"/>
          <w:szCs w:val="22"/>
          <w:lang w:val="el-GR"/>
        </w:rPr>
        <w:t>,</w:t>
      </w:r>
      <w:r w:rsidR="00E126B1">
        <w:rPr>
          <w:rFonts w:ascii="Ping LCG Regular" w:hAnsi="Ping LCG Regular" w:cs="Arial"/>
          <w:spacing w:val="-14"/>
          <w:sz w:val="22"/>
          <w:szCs w:val="22"/>
          <w:lang w:val="el-GR"/>
        </w:rPr>
        <w:t>5</w:t>
      </w:r>
      <w:r w:rsidRPr="00C574ED">
        <w:rPr>
          <w:rFonts w:ascii="Ping LCG Regular" w:hAnsi="Ping LCG Regular" w:cs="Arial"/>
          <w:spacing w:val="-14"/>
          <w:sz w:val="22"/>
          <w:szCs w:val="22"/>
          <w:lang w:val="el-GR"/>
        </w:rPr>
        <w:t>% τον Μάρτιο 2023 (από 6</w:t>
      </w:r>
      <w:r w:rsidR="00E479F1">
        <w:rPr>
          <w:rFonts w:ascii="Ping LCG Regular" w:hAnsi="Ping LCG Regular" w:cs="Arial"/>
          <w:spacing w:val="-14"/>
          <w:sz w:val="22"/>
          <w:szCs w:val="22"/>
          <w:lang w:val="el-GR"/>
        </w:rPr>
        <w:t>4</w:t>
      </w:r>
      <w:r w:rsidRPr="00C574ED">
        <w:rPr>
          <w:rFonts w:ascii="Ping LCG Regular" w:hAnsi="Ping LCG Regular" w:cs="Arial"/>
          <w:spacing w:val="-14"/>
          <w:sz w:val="22"/>
          <w:szCs w:val="22"/>
          <w:lang w:val="el-GR"/>
        </w:rPr>
        <w:t>,</w:t>
      </w:r>
      <w:r w:rsidR="00E479F1">
        <w:rPr>
          <w:rFonts w:ascii="Ping LCG Regular" w:hAnsi="Ping LCG Regular" w:cs="Arial"/>
          <w:spacing w:val="-14"/>
          <w:sz w:val="22"/>
          <w:szCs w:val="22"/>
          <w:lang w:val="el-GR"/>
        </w:rPr>
        <w:t>4</w:t>
      </w:r>
      <w:r w:rsidRPr="00C574ED">
        <w:rPr>
          <w:rFonts w:ascii="Ping LCG Regular" w:hAnsi="Ping LCG Regular" w:cs="Arial"/>
          <w:spacing w:val="-14"/>
          <w:sz w:val="22"/>
          <w:szCs w:val="22"/>
          <w:lang w:val="el-GR"/>
        </w:rPr>
        <w:t>% τον Μάρτιο 2022), ενώ το μέσο μερίδιο ανά τάση, ήταν 83,9% (από 90,9%) στην Υψηλή Τάση, 33,6% (από 40,5%) στη Μέση Τάση και 65,2% (από 66%) στη Χαμηλή Τάση.</w:t>
      </w:r>
    </w:p>
    <w:p w14:paraId="03988254" w14:textId="77777777" w:rsidR="00413F79" w:rsidRPr="00C574ED" w:rsidRDefault="00413F79" w:rsidP="00413F79">
      <w:pPr>
        <w:autoSpaceDE w:val="0"/>
        <w:autoSpaceDN w:val="0"/>
        <w:adjustRightInd w:val="0"/>
        <w:jc w:val="both"/>
        <w:rPr>
          <w:rFonts w:ascii="Ping LCG Regular" w:hAnsi="Ping LCG Regular" w:cs="Arial"/>
          <w:spacing w:val="-14"/>
          <w:sz w:val="22"/>
          <w:szCs w:val="22"/>
          <w:lang w:val="el-GR"/>
        </w:rPr>
      </w:pPr>
    </w:p>
    <w:p w14:paraId="0CCC815F" w14:textId="77777777" w:rsidR="00413F79" w:rsidRDefault="00413F79" w:rsidP="00413F79">
      <w:pPr>
        <w:autoSpaceDE w:val="0"/>
        <w:autoSpaceDN w:val="0"/>
        <w:adjustRightInd w:val="0"/>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Στην παραγωγή ηλεκτρικής ενέργειας, το μέσο μερίδιο της ΔΕΗ μειώθηκε σε 39,2% το α’ τρίμηνο 2023 από 46,9% το α΄ τρίμηνο 2022, κυρίως λόγω της χαμηλότερης παραγωγής από μονάδες φυσικού αερίου. </w:t>
      </w:r>
    </w:p>
    <w:p w14:paraId="587EDBFD" w14:textId="77777777" w:rsidR="00717D05" w:rsidRPr="007C7DB0" w:rsidRDefault="00717D05" w:rsidP="008F43B8">
      <w:pPr>
        <w:autoSpaceDE w:val="0"/>
        <w:autoSpaceDN w:val="0"/>
        <w:adjustRightInd w:val="0"/>
        <w:jc w:val="both"/>
        <w:rPr>
          <w:rFonts w:ascii="Ping LCG Regular" w:hAnsi="Ping LCG Regular" w:cs="Arial"/>
          <w:b/>
          <w:bCs/>
          <w:color w:val="FF0000"/>
          <w:spacing w:val="-14"/>
          <w:sz w:val="20"/>
          <w:szCs w:val="20"/>
          <w:highlight w:val="yellow"/>
          <w:lang w:val="el-GR"/>
        </w:rPr>
      </w:pPr>
    </w:p>
    <w:p w14:paraId="3853E67C" w14:textId="1F086FAC" w:rsidR="008C4360" w:rsidRPr="00A23ABE" w:rsidRDefault="0079343B" w:rsidP="008F43B8">
      <w:pPr>
        <w:autoSpaceDE w:val="0"/>
        <w:autoSpaceDN w:val="0"/>
        <w:adjustRightInd w:val="0"/>
        <w:jc w:val="both"/>
        <w:rPr>
          <w:rFonts w:ascii="Ping LCG Regular" w:hAnsi="Ping LCG Regular" w:cs="Arial"/>
          <w:b/>
          <w:bCs/>
          <w:color w:val="FF0000"/>
          <w:spacing w:val="-14"/>
          <w:sz w:val="20"/>
          <w:szCs w:val="20"/>
          <w:lang w:val="el-GR"/>
        </w:rPr>
      </w:pPr>
      <w:r>
        <w:rPr>
          <w:rFonts w:ascii="Ping LCG Regular" w:hAnsi="Ping LCG Regular" w:cs="Arial"/>
          <w:b/>
          <w:bCs/>
          <w:noProof/>
          <w:color w:val="FF0000"/>
          <w:spacing w:val="-14"/>
          <w:sz w:val="20"/>
          <w:szCs w:val="20"/>
          <w:lang w:val="el-GR"/>
        </w:rPr>
        <w:drawing>
          <wp:inline distT="0" distB="0" distL="0" distR="0" wp14:anchorId="11A57104" wp14:editId="7C4BCF8E">
            <wp:extent cx="6370282" cy="2401041"/>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1523" cy="2409047"/>
                    </a:xfrm>
                    <a:prstGeom prst="rect">
                      <a:avLst/>
                    </a:prstGeom>
                    <a:noFill/>
                  </pic:spPr>
                </pic:pic>
              </a:graphicData>
            </a:graphic>
          </wp:inline>
        </w:drawing>
      </w:r>
    </w:p>
    <w:p w14:paraId="3C8A2FBD" w14:textId="7858DA2F" w:rsidR="008F43B8" w:rsidRPr="00C01CB3" w:rsidRDefault="008F43B8" w:rsidP="00413F79">
      <w:pPr>
        <w:autoSpaceDE w:val="0"/>
        <w:autoSpaceDN w:val="0"/>
        <w:adjustRightInd w:val="0"/>
        <w:jc w:val="both"/>
        <w:rPr>
          <w:rFonts w:ascii="Ping LCG Regular" w:hAnsi="Ping LCG Regular" w:cs="Arial"/>
          <w:b/>
          <w:bCs/>
          <w:color w:val="FF0000"/>
          <w:spacing w:val="-14"/>
          <w:sz w:val="20"/>
          <w:szCs w:val="20"/>
          <w:highlight w:val="yellow"/>
          <w:lang w:val="el-GR"/>
        </w:rPr>
      </w:pPr>
    </w:p>
    <w:p w14:paraId="34618082" w14:textId="3834B8AD" w:rsidR="001D2DA4" w:rsidRPr="00C01CB3" w:rsidRDefault="001D2DA4" w:rsidP="00413F79">
      <w:pPr>
        <w:autoSpaceDE w:val="0"/>
        <w:autoSpaceDN w:val="0"/>
        <w:adjustRightInd w:val="0"/>
        <w:jc w:val="both"/>
        <w:rPr>
          <w:rFonts w:ascii="Ping LCG Regular" w:hAnsi="Ping LCG Regular" w:cs="Arial"/>
          <w:b/>
          <w:bCs/>
          <w:color w:val="FF0000"/>
          <w:spacing w:val="-14"/>
          <w:sz w:val="22"/>
          <w:szCs w:val="22"/>
          <w:lang w:val="el-GR"/>
        </w:rPr>
      </w:pPr>
    </w:p>
    <w:p w14:paraId="3B0CA6E2" w14:textId="77777777" w:rsidR="00431E6B" w:rsidRDefault="00431E6B" w:rsidP="00413F79">
      <w:pPr>
        <w:autoSpaceDE w:val="0"/>
        <w:autoSpaceDN w:val="0"/>
        <w:adjustRightInd w:val="0"/>
        <w:jc w:val="both"/>
        <w:rPr>
          <w:rFonts w:ascii="Ping LCG Regular" w:hAnsi="Ping LCG Regular" w:cs="Arial"/>
          <w:spacing w:val="-14"/>
          <w:sz w:val="22"/>
          <w:szCs w:val="22"/>
          <w:lang w:val="el-GR"/>
        </w:rPr>
      </w:pPr>
    </w:p>
    <w:p w14:paraId="03EE78B5" w14:textId="104D3009" w:rsidR="00413F79" w:rsidRPr="00C574ED" w:rsidRDefault="00413F79" w:rsidP="00413F79">
      <w:pPr>
        <w:autoSpaceDE w:val="0"/>
        <w:autoSpaceDN w:val="0"/>
        <w:adjustRightInd w:val="0"/>
        <w:rPr>
          <w:rFonts w:ascii="Ping LCG Regular" w:hAnsi="Ping LCG Regular" w:cs="Arial"/>
          <w:b/>
          <w:bCs/>
          <w:color w:val="000000"/>
          <w:sz w:val="22"/>
          <w:szCs w:val="22"/>
          <w:u w:val="single"/>
          <w:lang w:val="el-GR"/>
        </w:rPr>
      </w:pPr>
      <w:r w:rsidRPr="00C574ED">
        <w:rPr>
          <w:rFonts w:ascii="Ping LCG Regular" w:hAnsi="Ping LCG Regular" w:cs="Arial"/>
          <w:b/>
          <w:bCs/>
          <w:color w:val="000000"/>
          <w:sz w:val="22"/>
          <w:szCs w:val="22"/>
          <w:u w:val="single"/>
          <w:lang w:val="el-GR"/>
        </w:rPr>
        <w:t>Ανάλυση Εσόδων &amp; Λειτουργικών δαπανών Ομίλου ΔΕΗ</w:t>
      </w:r>
    </w:p>
    <w:p w14:paraId="2066C6DF" w14:textId="3E46B069" w:rsidR="00A33C79" w:rsidRPr="00C574ED" w:rsidRDefault="00A33C79" w:rsidP="00A33C79">
      <w:pPr>
        <w:jc w:val="both"/>
        <w:rPr>
          <w:rFonts w:ascii="Ping LCG Regular" w:hAnsi="Ping LCG Regular" w:cs="Arial"/>
          <w:b/>
          <w:bCs/>
          <w:spacing w:val="-14"/>
          <w:sz w:val="22"/>
          <w:szCs w:val="22"/>
          <w:lang w:val="el-GR"/>
        </w:rPr>
      </w:pPr>
    </w:p>
    <w:p w14:paraId="21E82DFC" w14:textId="7296C8EB" w:rsidR="00A33C79" w:rsidRPr="00C574ED" w:rsidRDefault="00A33C79" w:rsidP="00A33C79">
      <w:pPr>
        <w:jc w:val="both"/>
        <w:rPr>
          <w:rFonts w:ascii="Ping LCG Regular" w:hAnsi="Ping LCG Regular" w:cs="Arial"/>
          <w:b/>
          <w:bCs/>
          <w:spacing w:val="-14"/>
          <w:sz w:val="22"/>
          <w:szCs w:val="22"/>
          <w:lang w:val="el-GR"/>
        </w:rPr>
      </w:pPr>
      <w:r w:rsidRPr="00C574ED">
        <w:rPr>
          <w:rFonts w:ascii="Ping LCG Regular" w:hAnsi="Ping LCG Regular" w:cs="Arial"/>
          <w:b/>
          <w:bCs/>
          <w:spacing w:val="-14"/>
          <w:sz w:val="22"/>
          <w:szCs w:val="22"/>
          <w:lang w:val="el-GR"/>
        </w:rPr>
        <w:t>Έσοδα</w:t>
      </w:r>
    </w:p>
    <w:p w14:paraId="6338CF46" w14:textId="0481928D" w:rsidR="00A33C79" w:rsidRPr="00C574ED" w:rsidRDefault="00A33C79" w:rsidP="00A33C79">
      <w:pPr>
        <w:widowControl w:val="0"/>
        <w:autoSpaceDE w:val="0"/>
        <w:autoSpaceDN w:val="0"/>
        <w:adjustRightInd w:val="0"/>
        <w:ind w:right="20"/>
        <w:jc w:val="both"/>
        <w:rPr>
          <w:rFonts w:ascii="Ping LCG Regular" w:hAnsi="Ping LCG Regular" w:cs="Arial"/>
          <w:spacing w:val="-14"/>
          <w:sz w:val="22"/>
          <w:szCs w:val="22"/>
          <w:lang w:val="el-GR"/>
        </w:rPr>
      </w:pPr>
    </w:p>
    <w:p w14:paraId="033F562A" w14:textId="136E329E" w:rsidR="00356CF2" w:rsidRPr="00C574ED" w:rsidRDefault="00A33C79" w:rsidP="00A33C79">
      <w:pPr>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 κύκλος εργασιών, </w:t>
      </w:r>
      <w:r w:rsidR="00A843F6" w:rsidRPr="00C574ED">
        <w:rPr>
          <w:rFonts w:ascii="Ping LCG Regular" w:hAnsi="Ping LCG Regular" w:cs="Arial"/>
          <w:spacing w:val="-14"/>
          <w:sz w:val="22"/>
          <w:szCs w:val="22"/>
          <w:lang w:val="el-GR"/>
        </w:rPr>
        <w:t xml:space="preserve">μειώθηκε </w:t>
      </w:r>
      <w:r w:rsidRPr="00C574ED">
        <w:rPr>
          <w:rFonts w:ascii="Ping LCG Regular" w:hAnsi="Ping LCG Regular" w:cs="Arial"/>
          <w:spacing w:val="-14"/>
          <w:sz w:val="22"/>
          <w:szCs w:val="22"/>
          <w:lang w:val="el-GR"/>
        </w:rPr>
        <w:t xml:space="preserve">το </w:t>
      </w:r>
      <w:r w:rsidR="00F743C5" w:rsidRPr="00C574ED">
        <w:rPr>
          <w:rFonts w:ascii="Ping LCG Regular" w:hAnsi="Ping LCG Regular" w:cs="Arial"/>
          <w:spacing w:val="-14"/>
          <w:sz w:val="22"/>
          <w:szCs w:val="22"/>
          <w:lang w:val="el-GR"/>
        </w:rPr>
        <w:t>α</w:t>
      </w:r>
      <w:r w:rsidR="007A3694" w:rsidRPr="00C574ED">
        <w:rPr>
          <w:rFonts w:ascii="Ping LCG Regular" w:hAnsi="Ping LCG Regular" w:cs="Arial"/>
          <w:spacing w:val="-14"/>
          <w:sz w:val="22"/>
          <w:szCs w:val="22"/>
          <w:lang w:val="el-GR"/>
        </w:rPr>
        <w:t>’ τρίμηνο 2023</w:t>
      </w:r>
      <w:r w:rsidRPr="00C574ED">
        <w:rPr>
          <w:rFonts w:ascii="Ping LCG Regular" w:hAnsi="Ping LCG Regular" w:cs="Arial"/>
          <w:spacing w:val="-14"/>
          <w:sz w:val="22"/>
          <w:szCs w:val="22"/>
          <w:lang w:val="el-GR"/>
        </w:rPr>
        <w:t xml:space="preserve"> κατά €</w:t>
      </w:r>
      <w:r w:rsidR="00933380" w:rsidRPr="00C574ED">
        <w:rPr>
          <w:rFonts w:ascii="Ping LCG Regular" w:hAnsi="Ping LCG Regular" w:cs="Arial"/>
          <w:spacing w:val="-14"/>
          <w:sz w:val="22"/>
          <w:szCs w:val="22"/>
          <w:lang w:val="el-GR"/>
        </w:rPr>
        <w:t>2</w:t>
      </w:r>
      <w:r w:rsidR="00063EFC">
        <w:rPr>
          <w:rFonts w:ascii="Ping LCG Regular" w:hAnsi="Ping LCG Regular" w:cs="Arial"/>
          <w:spacing w:val="-14"/>
          <w:sz w:val="22"/>
          <w:szCs w:val="22"/>
          <w:lang w:val="el-GR"/>
        </w:rPr>
        <w:t>5</w:t>
      </w:r>
      <w:r w:rsidR="005A12C9">
        <w:rPr>
          <w:rFonts w:ascii="Ping LCG Regular" w:hAnsi="Ping LCG Regular" w:cs="Arial"/>
          <w:spacing w:val="-14"/>
          <w:sz w:val="22"/>
          <w:szCs w:val="22"/>
          <w:lang w:val="el-GR"/>
        </w:rPr>
        <w:t>4</w:t>
      </w:r>
      <w:r w:rsidR="00214DCC" w:rsidRPr="00C574ED">
        <w:rPr>
          <w:rFonts w:ascii="Ping LCG Regular" w:hAnsi="Ping LCG Regular" w:cs="Arial"/>
          <w:spacing w:val="-14"/>
          <w:sz w:val="22"/>
          <w:szCs w:val="22"/>
          <w:lang w:val="el-GR"/>
        </w:rPr>
        <w:t>,</w:t>
      </w:r>
      <w:r w:rsidR="005A12C9">
        <w:rPr>
          <w:rFonts w:ascii="Ping LCG Regular" w:hAnsi="Ping LCG Regular" w:cs="Arial"/>
          <w:spacing w:val="-14"/>
          <w:sz w:val="22"/>
          <w:szCs w:val="22"/>
          <w:lang w:val="el-GR"/>
        </w:rPr>
        <w:t>5</w:t>
      </w:r>
      <w:r w:rsidRPr="00C574ED">
        <w:rPr>
          <w:rFonts w:ascii="Ping LCG Regular" w:hAnsi="Ping LCG Regular" w:cs="Arial"/>
          <w:spacing w:val="-14"/>
          <w:sz w:val="22"/>
          <w:szCs w:val="22"/>
          <w:lang w:val="el-GR"/>
        </w:rPr>
        <w:t xml:space="preserve"> εκατ. ή </w:t>
      </w:r>
      <w:r w:rsidR="00214DCC" w:rsidRPr="00C574ED">
        <w:rPr>
          <w:rFonts w:ascii="Ping LCG Regular" w:hAnsi="Ping LCG Regular" w:cs="Arial"/>
          <w:spacing w:val="-14"/>
          <w:sz w:val="22"/>
          <w:szCs w:val="22"/>
          <w:lang w:val="el-GR"/>
        </w:rPr>
        <w:t>11</w:t>
      </w:r>
      <w:r w:rsidR="00063EFC">
        <w:rPr>
          <w:rFonts w:ascii="Ping LCG Regular" w:hAnsi="Ping LCG Regular" w:cs="Arial"/>
          <w:spacing w:val="-14"/>
          <w:sz w:val="22"/>
          <w:szCs w:val="22"/>
          <w:lang w:val="el-GR"/>
        </w:rPr>
        <w:t>,</w:t>
      </w:r>
      <w:r w:rsidR="00C71570">
        <w:rPr>
          <w:rFonts w:ascii="Ping LCG Regular" w:hAnsi="Ping LCG Regular" w:cs="Arial"/>
          <w:spacing w:val="-14"/>
          <w:sz w:val="22"/>
          <w:szCs w:val="22"/>
          <w:lang w:val="el-GR"/>
        </w:rPr>
        <w:t>3</w:t>
      </w:r>
      <w:r w:rsidRPr="00C574ED">
        <w:rPr>
          <w:rFonts w:ascii="Ping LCG Regular" w:hAnsi="Ping LCG Regular" w:cs="Arial"/>
          <w:spacing w:val="-14"/>
          <w:sz w:val="22"/>
          <w:szCs w:val="22"/>
          <w:lang w:val="el-GR"/>
        </w:rPr>
        <w:t xml:space="preserve">% </w:t>
      </w:r>
      <w:r w:rsidR="006077BF" w:rsidRPr="00C574ED">
        <w:rPr>
          <w:rFonts w:ascii="Ping LCG Regular" w:hAnsi="Ping LCG Regular" w:cs="Arial"/>
          <w:spacing w:val="-14"/>
          <w:sz w:val="22"/>
          <w:szCs w:val="22"/>
          <w:lang w:val="el-GR"/>
        </w:rPr>
        <w:t>κυρίως</w:t>
      </w:r>
      <w:r w:rsidR="000D12D8" w:rsidRPr="00C574ED">
        <w:rPr>
          <w:rFonts w:ascii="Ping LCG Regular" w:hAnsi="Ping LCG Regular" w:cs="Arial"/>
          <w:spacing w:val="-14"/>
          <w:sz w:val="22"/>
          <w:szCs w:val="22"/>
          <w:lang w:val="el-GR"/>
        </w:rPr>
        <w:t xml:space="preserve"> </w:t>
      </w:r>
      <w:r w:rsidRPr="00C574ED">
        <w:rPr>
          <w:rFonts w:ascii="Ping LCG Regular" w:hAnsi="Ping LCG Regular" w:cs="Arial"/>
          <w:spacing w:val="-14"/>
          <w:sz w:val="22"/>
          <w:szCs w:val="22"/>
          <w:lang w:val="el-GR"/>
        </w:rPr>
        <w:t xml:space="preserve">λόγω της </w:t>
      </w:r>
      <w:r w:rsidR="00AC17A3" w:rsidRPr="00C574ED">
        <w:rPr>
          <w:rFonts w:ascii="Ping LCG Regular" w:hAnsi="Ping LCG Regular" w:cs="Arial"/>
          <w:spacing w:val="-14"/>
          <w:sz w:val="22"/>
          <w:szCs w:val="22"/>
          <w:lang w:val="el-GR"/>
        </w:rPr>
        <w:t xml:space="preserve">μείωσης </w:t>
      </w:r>
      <w:r w:rsidR="000C0603" w:rsidRPr="00C574ED">
        <w:rPr>
          <w:rFonts w:ascii="Ping LCG Regular" w:hAnsi="Ping LCG Regular" w:cs="Arial"/>
          <w:spacing w:val="-14"/>
          <w:sz w:val="22"/>
          <w:szCs w:val="22"/>
          <w:lang w:val="el-GR"/>
        </w:rPr>
        <w:t xml:space="preserve">του όγκου </w:t>
      </w:r>
      <w:r w:rsidR="00F4138C" w:rsidRPr="00C574ED">
        <w:rPr>
          <w:rFonts w:ascii="Ping LCG Regular" w:hAnsi="Ping LCG Regular" w:cs="Arial"/>
          <w:spacing w:val="-14"/>
          <w:sz w:val="22"/>
          <w:szCs w:val="22"/>
          <w:lang w:val="el-GR"/>
        </w:rPr>
        <w:t>των πωλήσεων</w:t>
      </w:r>
      <w:r w:rsidR="00103F15" w:rsidRPr="00C574ED">
        <w:rPr>
          <w:rFonts w:ascii="Ping LCG Regular" w:hAnsi="Ping LCG Regular" w:cs="Arial"/>
          <w:spacing w:val="-14"/>
          <w:sz w:val="22"/>
          <w:szCs w:val="22"/>
          <w:lang w:val="el-GR"/>
        </w:rPr>
        <w:t xml:space="preserve"> ηλεκτρικής ενέργειας</w:t>
      </w:r>
      <w:r w:rsidRPr="00C574ED">
        <w:rPr>
          <w:rFonts w:ascii="Ping LCG Regular" w:hAnsi="Ping LCG Regular" w:cs="Arial"/>
          <w:spacing w:val="-14"/>
          <w:sz w:val="22"/>
          <w:szCs w:val="22"/>
          <w:lang w:val="el-GR"/>
        </w:rPr>
        <w:t xml:space="preserve"> ως αποτέλεσμα της </w:t>
      </w:r>
      <w:r w:rsidR="00D257E0" w:rsidRPr="00C574ED">
        <w:rPr>
          <w:rFonts w:ascii="Ping LCG Regular" w:hAnsi="Ping LCG Regular" w:cs="Arial"/>
          <w:spacing w:val="-14"/>
          <w:sz w:val="22"/>
          <w:szCs w:val="22"/>
          <w:lang w:val="el-GR"/>
        </w:rPr>
        <w:t>πτώσης της εγχώριας ζήτησης</w:t>
      </w:r>
      <w:r w:rsidR="006077BF" w:rsidRPr="00C574ED">
        <w:rPr>
          <w:rFonts w:ascii="Ping LCG Regular" w:hAnsi="Ping LCG Regular" w:cs="Arial"/>
          <w:spacing w:val="-14"/>
          <w:sz w:val="22"/>
          <w:szCs w:val="22"/>
          <w:lang w:val="el-GR"/>
        </w:rPr>
        <w:t>, καθώς και της</w:t>
      </w:r>
      <w:r w:rsidR="008D42EE" w:rsidRPr="00C574ED">
        <w:rPr>
          <w:rFonts w:ascii="Ping LCG Regular" w:hAnsi="Ping LCG Regular" w:cs="Arial"/>
          <w:spacing w:val="-14"/>
          <w:sz w:val="22"/>
          <w:szCs w:val="22"/>
          <w:lang w:val="el-GR"/>
        </w:rPr>
        <w:t xml:space="preserve"> μείωσης του μεριδίου</w:t>
      </w:r>
      <w:r w:rsidR="006B2560" w:rsidRPr="00C574ED">
        <w:rPr>
          <w:rFonts w:ascii="Ping LCG Regular" w:hAnsi="Ping LCG Regular" w:cs="Arial"/>
          <w:spacing w:val="-14"/>
          <w:sz w:val="22"/>
          <w:szCs w:val="22"/>
          <w:lang w:val="el-GR"/>
        </w:rPr>
        <w:t xml:space="preserve"> αγοράς</w:t>
      </w:r>
      <w:r w:rsidR="008D42EE" w:rsidRPr="00C574ED">
        <w:rPr>
          <w:rFonts w:ascii="Ping LCG Regular" w:hAnsi="Ping LCG Regular" w:cs="Arial"/>
          <w:spacing w:val="-14"/>
          <w:sz w:val="22"/>
          <w:szCs w:val="22"/>
          <w:lang w:val="el-GR"/>
        </w:rPr>
        <w:t xml:space="preserve"> στην </w:t>
      </w:r>
      <w:r w:rsidR="00356CF2" w:rsidRPr="00C574ED">
        <w:rPr>
          <w:rFonts w:ascii="Ping LCG Regular" w:hAnsi="Ping LCG Regular" w:cs="Arial"/>
          <w:spacing w:val="-14"/>
          <w:sz w:val="22"/>
          <w:szCs w:val="22"/>
          <w:lang w:val="el-GR"/>
        </w:rPr>
        <w:t>προμήθεια ηλεκτρικής ενέργειας.</w:t>
      </w:r>
    </w:p>
    <w:p w14:paraId="15748926" w14:textId="682CFD89" w:rsidR="00A33C79" w:rsidRPr="00C574ED" w:rsidRDefault="00356CF2" w:rsidP="00A33C79">
      <w:pPr>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 </w:t>
      </w:r>
    </w:p>
    <w:p w14:paraId="4EE023E8" w14:textId="46BB44B4" w:rsidR="00A33C79" w:rsidRPr="00C574ED" w:rsidRDefault="00A33C79" w:rsidP="00A33C79">
      <w:pPr>
        <w:widowControl w:val="0"/>
        <w:autoSpaceDE w:val="0"/>
        <w:autoSpaceDN w:val="0"/>
        <w:adjustRightInd w:val="0"/>
        <w:ind w:right="20"/>
        <w:jc w:val="both"/>
        <w:rPr>
          <w:rFonts w:ascii="Ping LCG Regular" w:hAnsi="Ping LCG Regular" w:cs="Arial"/>
          <w:b/>
          <w:spacing w:val="-14"/>
          <w:sz w:val="22"/>
          <w:szCs w:val="22"/>
          <w:lang w:val="el-GR"/>
        </w:rPr>
      </w:pPr>
      <w:r w:rsidRPr="00C574ED">
        <w:rPr>
          <w:rFonts w:ascii="Ping LCG Regular" w:hAnsi="Ping LCG Regular" w:cs="Arial"/>
          <w:b/>
          <w:spacing w:val="-14"/>
          <w:sz w:val="22"/>
          <w:szCs w:val="22"/>
          <w:lang w:val="el-GR"/>
        </w:rPr>
        <w:t xml:space="preserve">Λειτουργικές Δαπάνες </w:t>
      </w:r>
    </w:p>
    <w:p w14:paraId="07CE5580" w14:textId="3EB303AC" w:rsidR="00A33C79" w:rsidRPr="00C574ED" w:rsidRDefault="00A33C79" w:rsidP="00A33C79">
      <w:pPr>
        <w:widowControl w:val="0"/>
        <w:autoSpaceDE w:val="0"/>
        <w:autoSpaceDN w:val="0"/>
        <w:adjustRightInd w:val="0"/>
        <w:ind w:right="20"/>
        <w:jc w:val="both"/>
        <w:rPr>
          <w:rFonts w:ascii="Ping LCG Regular" w:hAnsi="Ping LCG Regular" w:cs="Arial"/>
          <w:spacing w:val="-14"/>
          <w:sz w:val="22"/>
          <w:szCs w:val="22"/>
          <w:lang w:val="el-GR"/>
        </w:rPr>
      </w:pPr>
    </w:p>
    <w:p w14:paraId="11B2B74A" w14:textId="73EA4E13" w:rsidR="00A33C79" w:rsidRPr="00C574ED" w:rsidRDefault="00A33C79" w:rsidP="00A33C79">
      <w:pPr>
        <w:ind w:firstLine="11"/>
        <w:jc w:val="both"/>
        <w:rPr>
          <w:rFonts w:ascii="Ping LCG Regular" w:hAnsi="Ping LCG Regular" w:cs="Arial"/>
          <w:spacing w:val="-14"/>
          <w:sz w:val="22"/>
          <w:szCs w:val="22"/>
          <w:lang w:val="el-GR"/>
        </w:rPr>
      </w:pPr>
      <w:bookmarkStart w:id="3" w:name="_Hlk69239273"/>
      <w:r w:rsidRPr="00C574ED">
        <w:rPr>
          <w:rFonts w:ascii="Ping LCG Regular" w:hAnsi="Ping LCG Regular" w:cs="Arial"/>
          <w:spacing w:val="-14"/>
          <w:sz w:val="22"/>
          <w:szCs w:val="22"/>
          <w:lang w:val="el-GR"/>
        </w:rPr>
        <w:t xml:space="preserve">Οι προ αποσβέσεων λειτουργικές δαπάνες το </w:t>
      </w:r>
      <w:r w:rsidR="00F743C5" w:rsidRPr="00C574ED">
        <w:rPr>
          <w:rFonts w:ascii="Ping LCG Regular" w:hAnsi="Ping LCG Regular" w:cs="Arial"/>
          <w:spacing w:val="-14"/>
          <w:sz w:val="22"/>
          <w:szCs w:val="22"/>
          <w:lang w:val="el-GR"/>
        </w:rPr>
        <w:t>α</w:t>
      </w:r>
      <w:r w:rsidR="0002667F" w:rsidRPr="00C574ED">
        <w:rPr>
          <w:rFonts w:ascii="Ping LCG Regular" w:hAnsi="Ping LCG Regular" w:cs="Arial"/>
          <w:spacing w:val="-14"/>
          <w:sz w:val="22"/>
          <w:szCs w:val="22"/>
          <w:lang w:val="el-GR"/>
        </w:rPr>
        <w:t>’ τρίμηνο 2023</w:t>
      </w:r>
      <w:r w:rsidRPr="00C574ED">
        <w:rPr>
          <w:rFonts w:ascii="Ping LCG Regular" w:hAnsi="Ping LCG Regular" w:cs="Arial"/>
          <w:spacing w:val="-14"/>
          <w:sz w:val="22"/>
          <w:szCs w:val="22"/>
          <w:lang w:val="el-GR"/>
        </w:rPr>
        <w:t xml:space="preserve"> </w:t>
      </w:r>
      <w:r w:rsidR="00DE42E0" w:rsidRPr="00C574ED">
        <w:rPr>
          <w:rFonts w:ascii="Ping LCG Regular" w:hAnsi="Ping LCG Regular" w:cs="Arial"/>
          <w:spacing w:val="-14"/>
          <w:sz w:val="22"/>
          <w:szCs w:val="22"/>
          <w:lang w:val="el-GR"/>
        </w:rPr>
        <w:t>μειώθηκαν</w:t>
      </w:r>
      <w:r w:rsidRPr="00C574ED">
        <w:rPr>
          <w:rFonts w:ascii="Ping LCG Regular" w:hAnsi="Ping LCG Regular" w:cs="Arial"/>
          <w:spacing w:val="-14"/>
          <w:sz w:val="22"/>
          <w:szCs w:val="22"/>
          <w:lang w:val="el-GR"/>
        </w:rPr>
        <w:t xml:space="preserve"> κατά  1</w:t>
      </w:r>
      <w:r w:rsidR="00CB5D70">
        <w:rPr>
          <w:rFonts w:ascii="Ping LCG Regular" w:hAnsi="Ping LCG Regular" w:cs="Arial"/>
          <w:spacing w:val="-14"/>
          <w:sz w:val="22"/>
          <w:szCs w:val="22"/>
          <w:lang w:val="el-GR"/>
        </w:rPr>
        <w:t>7,</w:t>
      </w:r>
      <w:r w:rsidR="004B55B3">
        <w:rPr>
          <w:rFonts w:ascii="Ping LCG Regular" w:hAnsi="Ping LCG Regular" w:cs="Arial"/>
          <w:spacing w:val="-14"/>
          <w:sz w:val="22"/>
          <w:szCs w:val="22"/>
          <w:lang w:val="el-GR"/>
        </w:rPr>
        <w:t>6</w:t>
      </w:r>
      <w:r w:rsidR="00CB5D70">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 xml:space="preserve"> </w:t>
      </w:r>
      <w:r w:rsidR="001974E7" w:rsidRPr="00C574ED">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€1</w:t>
      </w:r>
      <w:r w:rsidR="00B909C4" w:rsidRPr="00C574ED">
        <w:rPr>
          <w:rFonts w:ascii="Ping LCG Regular" w:hAnsi="Ping LCG Regular" w:cs="Arial"/>
          <w:spacing w:val="-14"/>
          <w:sz w:val="22"/>
          <w:szCs w:val="22"/>
          <w:lang w:val="el-GR"/>
        </w:rPr>
        <w:t>.7</w:t>
      </w:r>
      <w:r w:rsidR="00B85D9B">
        <w:rPr>
          <w:rFonts w:ascii="Ping LCG Regular" w:hAnsi="Ping LCG Regular" w:cs="Arial"/>
          <w:spacing w:val="-14"/>
          <w:sz w:val="22"/>
          <w:szCs w:val="22"/>
          <w:lang w:val="el-GR"/>
        </w:rPr>
        <w:t>1</w:t>
      </w:r>
      <w:r w:rsidR="004B55B3">
        <w:rPr>
          <w:rFonts w:ascii="Ping LCG Regular" w:hAnsi="Ping LCG Regular" w:cs="Arial"/>
          <w:spacing w:val="-14"/>
          <w:sz w:val="22"/>
          <w:szCs w:val="22"/>
          <w:lang w:val="el-GR"/>
        </w:rPr>
        <w:t>2.3</w:t>
      </w:r>
      <w:r w:rsidRPr="00C574ED">
        <w:rPr>
          <w:rFonts w:ascii="Ping LCG Regular" w:hAnsi="Ping LCG Regular" w:cs="Arial"/>
          <w:spacing w:val="-14"/>
          <w:sz w:val="22"/>
          <w:szCs w:val="22"/>
          <w:lang w:val="el-GR"/>
        </w:rPr>
        <w:t xml:space="preserve"> εκατ. έναντι €</w:t>
      </w:r>
      <w:r w:rsidR="00B909C4" w:rsidRPr="00C574ED">
        <w:rPr>
          <w:rFonts w:ascii="Ping LCG Regular" w:hAnsi="Ping LCG Regular" w:cs="Arial"/>
          <w:spacing w:val="-14"/>
          <w:sz w:val="22"/>
          <w:szCs w:val="22"/>
          <w:lang w:val="el-GR"/>
        </w:rPr>
        <w:t>2.077,</w:t>
      </w:r>
      <w:r w:rsidR="00995A6E" w:rsidRPr="00C574ED">
        <w:rPr>
          <w:rFonts w:ascii="Ping LCG Regular" w:hAnsi="Ping LCG Regular" w:cs="Arial"/>
          <w:spacing w:val="-14"/>
          <w:sz w:val="22"/>
          <w:szCs w:val="22"/>
          <w:lang w:val="el-GR"/>
        </w:rPr>
        <w:t>3</w:t>
      </w:r>
      <w:r w:rsidRPr="00C574ED">
        <w:rPr>
          <w:rFonts w:ascii="Ping LCG Regular" w:hAnsi="Ping LCG Regular" w:cs="Arial"/>
          <w:spacing w:val="-14"/>
          <w:sz w:val="22"/>
          <w:szCs w:val="22"/>
          <w:lang w:val="el-GR"/>
        </w:rPr>
        <w:t xml:space="preserve"> εκατ.</w:t>
      </w:r>
      <w:r w:rsidR="001974E7" w:rsidRPr="00C574ED">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 xml:space="preserve">, κυρίως ως αποτέλεσμα </w:t>
      </w:r>
      <w:r w:rsidR="00FA3707" w:rsidRPr="00C574ED">
        <w:rPr>
          <w:rFonts w:ascii="Ping LCG Regular" w:hAnsi="Ping LCG Regular" w:cs="Arial"/>
          <w:spacing w:val="-14"/>
          <w:sz w:val="22"/>
          <w:szCs w:val="22"/>
          <w:lang w:val="el-GR"/>
        </w:rPr>
        <w:t>της προαναφερθείσας μείωσης των</w:t>
      </w:r>
      <w:r w:rsidRPr="00C574ED">
        <w:rPr>
          <w:rFonts w:ascii="Ping LCG Regular" w:hAnsi="Ping LCG Regular" w:cs="Arial"/>
          <w:spacing w:val="-14"/>
          <w:sz w:val="22"/>
          <w:szCs w:val="22"/>
          <w:lang w:val="el-GR"/>
        </w:rPr>
        <w:t xml:space="preserve"> δαπανών για αγορά </w:t>
      </w:r>
      <w:r w:rsidR="000F60B4" w:rsidRPr="00C574ED">
        <w:rPr>
          <w:rFonts w:ascii="Ping LCG Regular" w:hAnsi="Ping LCG Regular" w:cs="Arial"/>
          <w:spacing w:val="-14"/>
          <w:sz w:val="22"/>
          <w:szCs w:val="22"/>
          <w:lang w:val="el-GR"/>
        </w:rPr>
        <w:t>φυσικού αερίου</w:t>
      </w:r>
      <w:r w:rsidRPr="00C574ED">
        <w:rPr>
          <w:rFonts w:ascii="Ping LCG Regular" w:hAnsi="Ping LCG Regular" w:cs="Arial"/>
          <w:spacing w:val="-14"/>
          <w:sz w:val="22"/>
          <w:szCs w:val="22"/>
          <w:lang w:val="el-GR"/>
        </w:rPr>
        <w:t xml:space="preserve">, ενέργειας και δικαιωμάτων εκπομπών </w:t>
      </w:r>
      <w:r w:rsidRPr="00C574ED">
        <w:rPr>
          <w:rFonts w:ascii="Ping LCG Regular" w:hAnsi="Ping LCG Regular" w:cs="Arial"/>
          <w:spacing w:val="-14"/>
          <w:sz w:val="22"/>
          <w:szCs w:val="22"/>
        </w:rPr>
        <w:t>CO</w:t>
      </w:r>
      <w:r w:rsidRPr="00C574ED">
        <w:rPr>
          <w:rFonts w:ascii="Ping LCG Regular" w:hAnsi="Ping LCG Regular" w:cs="Arial"/>
          <w:spacing w:val="-14"/>
          <w:sz w:val="22"/>
          <w:szCs w:val="22"/>
          <w:vertAlign w:val="subscript"/>
          <w:lang w:val="el-GR"/>
        </w:rPr>
        <w:t>2,</w:t>
      </w:r>
      <w:r w:rsidR="007D3FD5" w:rsidRPr="00C574ED">
        <w:rPr>
          <w:rFonts w:ascii="Ping LCG Regular" w:hAnsi="Ping LCG Regular" w:cs="Arial"/>
          <w:b/>
          <w:bCs/>
          <w:spacing w:val="-14"/>
          <w:sz w:val="22"/>
          <w:szCs w:val="22"/>
          <w:lang w:val="el-GR"/>
        </w:rPr>
        <w:t xml:space="preserve">. </w:t>
      </w:r>
    </w:p>
    <w:p w14:paraId="2A6C1D3A" w14:textId="20E1463A" w:rsidR="00531F75" w:rsidRPr="00C574ED" w:rsidRDefault="00531F75" w:rsidP="00A33C79">
      <w:pPr>
        <w:autoSpaceDE w:val="0"/>
        <w:autoSpaceDN w:val="0"/>
        <w:adjustRightInd w:val="0"/>
        <w:jc w:val="both"/>
        <w:rPr>
          <w:rFonts w:ascii="Ping LCG Regular" w:hAnsi="Ping LCG Regular" w:cs="Arial"/>
          <w:spacing w:val="-14"/>
          <w:sz w:val="22"/>
          <w:szCs w:val="22"/>
          <w:lang w:val="el-GR"/>
        </w:rPr>
      </w:pPr>
      <w:bookmarkStart w:id="4" w:name="_Hlk68767691"/>
    </w:p>
    <w:bookmarkEnd w:id="3"/>
    <w:bookmarkEnd w:id="4"/>
    <w:p w14:paraId="574B102E" w14:textId="77777777" w:rsidR="00A33C79" w:rsidRPr="00C574ED" w:rsidRDefault="00A33C79" w:rsidP="00A33C79">
      <w:pPr>
        <w:widowControl w:val="0"/>
        <w:autoSpaceDE w:val="0"/>
        <w:autoSpaceDN w:val="0"/>
        <w:adjustRightInd w:val="0"/>
        <w:ind w:left="1" w:right="18"/>
        <w:rPr>
          <w:rFonts w:ascii="Ping LCG Regular" w:hAnsi="Ping LCG Regular" w:cs="Arial"/>
          <w:i/>
          <w:iCs/>
          <w:spacing w:val="-14"/>
          <w:sz w:val="22"/>
          <w:szCs w:val="22"/>
          <w:lang w:val="el-GR"/>
        </w:rPr>
      </w:pPr>
      <w:r w:rsidRPr="00C574ED">
        <w:rPr>
          <w:rFonts w:ascii="Ping LCG Regular" w:hAnsi="Ping LCG Regular" w:cs="Arial"/>
          <w:bCs/>
          <w:i/>
          <w:iCs/>
          <w:spacing w:val="-14"/>
          <w:sz w:val="22"/>
          <w:szCs w:val="22"/>
          <w:lang w:val="el-GR"/>
        </w:rPr>
        <w:t>Δαπάνες Ενεργειακού Μείγματος</w:t>
      </w:r>
      <w:r w:rsidRPr="00C574ED" w:rsidDel="002974C9">
        <w:rPr>
          <w:rFonts w:ascii="Ping LCG Regular" w:hAnsi="Ping LCG Regular" w:cs="Arial"/>
          <w:i/>
          <w:iCs/>
          <w:spacing w:val="-14"/>
          <w:sz w:val="22"/>
          <w:szCs w:val="22"/>
          <w:lang w:val="el-GR"/>
        </w:rPr>
        <w:t xml:space="preserve"> </w:t>
      </w:r>
    </w:p>
    <w:p w14:paraId="430836FE" w14:textId="3E426A33" w:rsidR="00A33C79" w:rsidRPr="00C574ED" w:rsidRDefault="00A33C79" w:rsidP="00A33C79">
      <w:pPr>
        <w:widowControl w:val="0"/>
        <w:autoSpaceDE w:val="0"/>
        <w:autoSpaceDN w:val="0"/>
        <w:adjustRightInd w:val="0"/>
        <w:ind w:left="1" w:right="21"/>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Οι δαπάνες για υγρά καύσιμα, φυσικό αέριο, </w:t>
      </w:r>
      <w:r w:rsidRPr="00C574ED">
        <w:rPr>
          <w:rFonts w:ascii="Ping LCG Regular" w:hAnsi="Ping LCG Regular" w:cs="Arial"/>
          <w:spacing w:val="-14"/>
          <w:sz w:val="22"/>
          <w:szCs w:val="22"/>
        </w:rPr>
        <w:t>CO</w:t>
      </w:r>
      <w:r w:rsidRPr="00C574ED">
        <w:rPr>
          <w:rFonts w:ascii="Ping LCG Regular" w:hAnsi="Ping LCG Regular" w:cs="Arial"/>
          <w:spacing w:val="-14"/>
          <w:sz w:val="22"/>
          <w:szCs w:val="22"/>
          <w:vertAlign w:val="subscript"/>
          <w:lang w:val="el-GR"/>
        </w:rPr>
        <w:t>2</w:t>
      </w:r>
      <w:r w:rsidRPr="00C574ED">
        <w:rPr>
          <w:rFonts w:ascii="Ping LCG Regular" w:hAnsi="Ping LCG Regular" w:cs="Arial"/>
          <w:spacing w:val="-14"/>
          <w:sz w:val="22"/>
          <w:szCs w:val="22"/>
          <w:lang w:val="el-GR"/>
        </w:rPr>
        <w:t xml:space="preserve">, λιγνίτη τρίτων και αγορές ηλεκτρικής ενέργειας </w:t>
      </w:r>
      <w:r w:rsidR="003413E4" w:rsidRPr="00C574ED">
        <w:rPr>
          <w:rFonts w:ascii="Ping LCG Regular" w:hAnsi="Ping LCG Regular" w:cs="Arial"/>
          <w:spacing w:val="-14"/>
          <w:sz w:val="22"/>
          <w:szCs w:val="22"/>
          <w:lang w:val="el-GR"/>
        </w:rPr>
        <w:t>μειώ</w:t>
      </w:r>
      <w:r w:rsidRPr="00C574ED">
        <w:rPr>
          <w:rFonts w:ascii="Ping LCG Regular" w:hAnsi="Ping LCG Regular" w:cs="Arial"/>
          <w:spacing w:val="-14"/>
          <w:sz w:val="22"/>
          <w:szCs w:val="22"/>
          <w:lang w:val="el-GR"/>
        </w:rPr>
        <w:t>θηκαν κατά €</w:t>
      </w:r>
      <w:r w:rsidR="003413E4" w:rsidRPr="00C574ED">
        <w:rPr>
          <w:rFonts w:ascii="Ping LCG Regular" w:hAnsi="Ping LCG Regular" w:cs="Arial"/>
          <w:spacing w:val="-14"/>
          <w:sz w:val="22"/>
          <w:szCs w:val="22"/>
          <w:lang w:val="el-GR"/>
        </w:rPr>
        <w:t>385</w:t>
      </w:r>
      <w:r w:rsidR="00773312">
        <w:rPr>
          <w:rFonts w:ascii="Ping LCG Regular" w:hAnsi="Ping LCG Regular" w:cs="Arial"/>
          <w:spacing w:val="-14"/>
          <w:sz w:val="22"/>
          <w:szCs w:val="22"/>
          <w:lang w:val="el-GR"/>
        </w:rPr>
        <w:t>,1</w:t>
      </w:r>
      <w:r w:rsidRPr="00C574ED">
        <w:rPr>
          <w:rFonts w:ascii="Ping LCG Regular" w:hAnsi="Ping LCG Regular" w:cs="Arial"/>
          <w:spacing w:val="-14"/>
          <w:sz w:val="22"/>
          <w:szCs w:val="22"/>
          <w:lang w:val="el-GR"/>
        </w:rPr>
        <w:t xml:space="preserve"> εκατ. (</w:t>
      </w:r>
      <w:r w:rsidR="00F23FA1" w:rsidRPr="00C574ED">
        <w:rPr>
          <w:rFonts w:ascii="Ping LCG Regular" w:hAnsi="Ping LCG Regular" w:cs="Arial"/>
          <w:spacing w:val="-14"/>
          <w:sz w:val="22"/>
          <w:szCs w:val="22"/>
          <w:lang w:val="el-GR"/>
        </w:rPr>
        <w:t>22,</w:t>
      </w:r>
      <w:r w:rsidR="00F75837" w:rsidRPr="00C574ED">
        <w:rPr>
          <w:rFonts w:ascii="Ping LCG Regular" w:hAnsi="Ping LCG Regular" w:cs="Arial"/>
          <w:spacing w:val="-14"/>
          <w:sz w:val="22"/>
          <w:szCs w:val="22"/>
          <w:lang w:val="el-GR"/>
        </w:rPr>
        <w:t>6</w:t>
      </w:r>
      <w:r w:rsidRPr="00C574ED">
        <w:rPr>
          <w:rFonts w:ascii="Ping LCG Regular" w:hAnsi="Ping LCG Regular" w:cs="Arial"/>
          <w:spacing w:val="-14"/>
          <w:sz w:val="22"/>
          <w:szCs w:val="22"/>
          <w:lang w:val="el-GR"/>
        </w:rPr>
        <w:t xml:space="preserve">%) σε σχέση με το </w:t>
      </w:r>
      <w:r w:rsidR="00F23FA1" w:rsidRPr="00C574ED">
        <w:rPr>
          <w:rFonts w:ascii="Ping LCG Regular" w:hAnsi="Ping LCG Regular" w:cs="Arial"/>
          <w:spacing w:val="-14"/>
          <w:sz w:val="22"/>
          <w:szCs w:val="22"/>
          <w:lang w:val="el-GR"/>
        </w:rPr>
        <w:t>α’ τρίμηνο 2022</w:t>
      </w:r>
      <w:r w:rsidRPr="00C574ED">
        <w:rPr>
          <w:rFonts w:ascii="Ping LCG Regular" w:hAnsi="Ping LCG Regular" w:cs="Arial"/>
          <w:spacing w:val="-14"/>
          <w:sz w:val="22"/>
          <w:szCs w:val="22"/>
          <w:lang w:val="el-GR"/>
        </w:rPr>
        <w:t xml:space="preserve">.  </w:t>
      </w:r>
    </w:p>
    <w:p w14:paraId="2D327C93" w14:textId="77777777" w:rsidR="00A33C79" w:rsidRPr="00C574ED" w:rsidRDefault="00A33C79" w:rsidP="00A33C79">
      <w:pPr>
        <w:widowControl w:val="0"/>
        <w:autoSpaceDE w:val="0"/>
        <w:autoSpaceDN w:val="0"/>
        <w:adjustRightInd w:val="0"/>
        <w:ind w:left="284" w:right="21"/>
        <w:jc w:val="both"/>
        <w:rPr>
          <w:rFonts w:ascii="Ping LCG Regular" w:hAnsi="Ping LCG Regular" w:cs="Arial"/>
          <w:spacing w:val="-14"/>
          <w:sz w:val="22"/>
          <w:szCs w:val="22"/>
          <w:lang w:val="el-GR"/>
        </w:rPr>
      </w:pPr>
    </w:p>
    <w:p w14:paraId="1A0E98E9" w14:textId="77777777" w:rsidR="00A33C79" w:rsidRPr="00C574ED" w:rsidRDefault="00A33C79" w:rsidP="00A33C79">
      <w:pPr>
        <w:widowControl w:val="0"/>
        <w:autoSpaceDE w:val="0"/>
        <w:autoSpaceDN w:val="0"/>
        <w:adjustRightInd w:val="0"/>
        <w:ind w:left="1" w:right="18"/>
        <w:rPr>
          <w:rFonts w:ascii="Ping LCG Regular" w:hAnsi="Ping LCG Regular" w:cs="Arial"/>
          <w:bCs/>
          <w:i/>
          <w:iCs/>
          <w:spacing w:val="-14"/>
          <w:sz w:val="22"/>
          <w:szCs w:val="22"/>
          <w:lang w:val="el-GR"/>
        </w:rPr>
      </w:pPr>
      <w:bookmarkStart w:id="5" w:name="_Hlk81171604"/>
      <w:r w:rsidRPr="00C574ED">
        <w:rPr>
          <w:rFonts w:ascii="Ping LCG Regular" w:hAnsi="Ping LCG Regular" w:cs="Arial"/>
          <w:bCs/>
          <w:i/>
          <w:iCs/>
          <w:spacing w:val="-14"/>
          <w:sz w:val="22"/>
          <w:szCs w:val="22"/>
          <w:lang w:val="el-GR"/>
        </w:rPr>
        <w:t xml:space="preserve">Δαπάνες Μισθοδοσίας </w:t>
      </w:r>
    </w:p>
    <w:p w14:paraId="56586E72" w14:textId="36B199B6" w:rsidR="00A33C79" w:rsidRPr="00C574ED" w:rsidRDefault="00974600" w:rsidP="00974600">
      <w:pPr>
        <w:widowControl w:val="0"/>
        <w:autoSpaceDE w:val="0"/>
        <w:autoSpaceDN w:val="0"/>
        <w:adjustRightInd w:val="0"/>
        <w:ind w:left="1" w:right="18"/>
        <w:jc w:val="both"/>
        <w:rPr>
          <w:rFonts w:ascii="Ping LCG Regular" w:hAnsi="Ping LCG Regular" w:cs="Arial"/>
          <w:bCs/>
          <w:spacing w:val="-14"/>
          <w:sz w:val="22"/>
          <w:szCs w:val="22"/>
          <w:lang w:val="el-GR"/>
        </w:rPr>
      </w:pPr>
      <w:r w:rsidRPr="00C574ED">
        <w:rPr>
          <w:rFonts w:ascii="Ping LCG Regular" w:hAnsi="Ping LCG Regular" w:cs="Arial"/>
          <w:bCs/>
          <w:spacing w:val="-14"/>
          <w:sz w:val="22"/>
          <w:szCs w:val="22"/>
          <w:lang w:val="el-GR"/>
        </w:rPr>
        <w:t xml:space="preserve">Η δαπάνη μισθοδοσίας </w:t>
      </w:r>
      <w:r w:rsidR="009B2A8B" w:rsidRPr="00C574ED">
        <w:rPr>
          <w:rFonts w:ascii="Ping LCG Regular" w:hAnsi="Ping LCG Regular" w:cs="Arial"/>
          <w:bCs/>
          <w:spacing w:val="-14"/>
          <w:sz w:val="22"/>
          <w:szCs w:val="22"/>
          <w:lang w:val="el-GR"/>
        </w:rPr>
        <w:t xml:space="preserve">παρέμεινε ουσιαστικά σταθερή στα </w:t>
      </w:r>
      <w:r w:rsidRPr="00C574ED">
        <w:rPr>
          <w:rFonts w:ascii="Ping LCG Regular" w:hAnsi="Ping LCG Regular" w:cs="Arial"/>
          <w:bCs/>
          <w:spacing w:val="-14"/>
          <w:sz w:val="22"/>
          <w:szCs w:val="22"/>
          <w:lang w:val="el-GR"/>
        </w:rPr>
        <w:t>€</w:t>
      </w:r>
      <w:r w:rsidR="009B2A8B" w:rsidRPr="00C574ED">
        <w:rPr>
          <w:rFonts w:ascii="Ping LCG Regular" w:hAnsi="Ping LCG Regular" w:cs="Arial"/>
          <w:bCs/>
          <w:spacing w:val="-14"/>
          <w:sz w:val="22"/>
          <w:szCs w:val="22"/>
          <w:lang w:val="el-GR"/>
        </w:rPr>
        <w:t xml:space="preserve">180,5 </w:t>
      </w:r>
      <w:r w:rsidRPr="00C574ED">
        <w:rPr>
          <w:rFonts w:ascii="Ping LCG Regular" w:hAnsi="Ping LCG Regular" w:cs="Arial"/>
          <w:bCs/>
          <w:spacing w:val="-14"/>
          <w:sz w:val="22"/>
          <w:szCs w:val="22"/>
          <w:lang w:val="el-GR"/>
        </w:rPr>
        <w:t>εκατ. το α’ τρίμηνο 2023</w:t>
      </w:r>
      <w:r w:rsidR="009B2A8B" w:rsidRPr="00C574ED">
        <w:rPr>
          <w:rFonts w:ascii="Ping LCG Regular" w:hAnsi="Ping LCG Regular" w:cs="Arial"/>
          <w:bCs/>
          <w:spacing w:val="-14"/>
          <w:sz w:val="22"/>
          <w:szCs w:val="22"/>
          <w:lang w:val="el-GR"/>
        </w:rPr>
        <w:t xml:space="preserve"> με το </w:t>
      </w:r>
      <w:r w:rsidRPr="00C574ED">
        <w:rPr>
          <w:rFonts w:ascii="Ping LCG Regular" w:hAnsi="Ping LCG Regular" w:cs="Arial"/>
          <w:bCs/>
          <w:spacing w:val="-14"/>
          <w:sz w:val="22"/>
          <w:szCs w:val="22"/>
          <w:lang w:val="el-GR"/>
        </w:rPr>
        <w:t xml:space="preserve"> μισθοδοτούμενο τακτικό προσωπικό </w:t>
      </w:r>
      <w:r w:rsidR="009B2A8B" w:rsidRPr="00C574ED">
        <w:rPr>
          <w:rFonts w:ascii="Ping LCG Regular" w:hAnsi="Ping LCG Regular" w:cs="Arial"/>
          <w:bCs/>
          <w:spacing w:val="-14"/>
          <w:sz w:val="22"/>
          <w:szCs w:val="22"/>
          <w:lang w:val="el-GR"/>
        </w:rPr>
        <w:t xml:space="preserve">να </w:t>
      </w:r>
      <w:r w:rsidR="00707AE4" w:rsidRPr="00C574ED">
        <w:rPr>
          <w:rFonts w:ascii="Ping LCG Regular" w:hAnsi="Ping LCG Regular" w:cs="Arial"/>
          <w:bCs/>
          <w:spacing w:val="-14"/>
          <w:sz w:val="22"/>
          <w:szCs w:val="22"/>
          <w:lang w:val="el-GR"/>
        </w:rPr>
        <w:t>διαμορφώνεται σε</w:t>
      </w:r>
      <w:r w:rsidRPr="00C574ED">
        <w:rPr>
          <w:rFonts w:ascii="Ping LCG Regular" w:hAnsi="Ping LCG Regular" w:cs="Arial"/>
          <w:bCs/>
          <w:spacing w:val="-14"/>
          <w:sz w:val="22"/>
          <w:szCs w:val="22"/>
          <w:lang w:val="el-GR"/>
        </w:rPr>
        <w:t xml:space="preserve"> </w:t>
      </w:r>
      <w:r w:rsidR="0072077D">
        <w:rPr>
          <w:rFonts w:ascii="Ping LCG Regular" w:hAnsi="Ping LCG Regular" w:cs="Arial"/>
          <w:bCs/>
          <w:spacing w:val="-14"/>
          <w:sz w:val="22"/>
          <w:szCs w:val="22"/>
          <w:lang w:val="el-GR"/>
        </w:rPr>
        <w:t>12.953</w:t>
      </w:r>
      <w:r w:rsidRPr="00C574ED">
        <w:rPr>
          <w:rFonts w:ascii="Ping LCG Regular" w:hAnsi="Ping LCG Regular" w:cs="Arial"/>
          <w:bCs/>
          <w:spacing w:val="-14"/>
          <w:sz w:val="22"/>
          <w:szCs w:val="22"/>
          <w:lang w:val="el-GR"/>
        </w:rPr>
        <w:t xml:space="preserve"> εργαζόμενους (από 12.493 εργαζόμενους στο τέλος του α’ τριμήνου 2022).</w:t>
      </w:r>
    </w:p>
    <w:p w14:paraId="1991E9C0" w14:textId="77777777" w:rsidR="00A33C79" w:rsidRPr="00C574ED" w:rsidRDefault="00A33C79" w:rsidP="00A33C79">
      <w:pPr>
        <w:widowControl w:val="0"/>
        <w:autoSpaceDE w:val="0"/>
        <w:autoSpaceDN w:val="0"/>
        <w:adjustRightInd w:val="0"/>
        <w:ind w:left="1" w:right="18"/>
        <w:jc w:val="both"/>
        <w:rPr>
          <w:rFonts w:ascii="Ping LCG Regular" w:hAnsi="Ping LCG Regular" w:cs="Arial"/>
          <w:bCs/>
          <w:spacing w:val="-14"/>
          <w:sz w:val="22"/>
          <w:szCs w:val="22"/>
          <w:lang w:val="el-GR"/>
        </w:rPr>
      </w:pPr>
    </w:p>
    <w:p w14:paraId="0DC13887" w14:textId="77777777" w:rsidR="00A33C79" w:rsidRPr="00C574ED" w:rsidRDefault="00A33C79" w:rsidP="00C574ED">
      <w:pPr>
        <w:widowControl w:val="0"/>
        <w:autoSpaceDE w:val="0"/>
        <w:autoSpaceDN w:val="0"/>
        <w:adjustRightInd w:val="0"/>
        <w:ind w:left="1" w:right="18"/>
        <w:rPr>
          <w:rFonts w:ascii="Ping LCG Regular" w:hAnsi="Ping LCG Regular" w:cs="Arial"/>
          <w:bCs/>
          <w:i/>
          <w:iCs/>
          <w:spacing w:val="-14"/>
          <w:sz w:val="22"/>
          <w:szCs w:val="22"/>
          <w:lang w:val="el-GR"/>
        </w:rPr>
      </w:pPr>
      <w:r w:rsidRPr="00C574ED">
        <w:rPr>
          <w:rFonts w:ascii="Ping LCG Regular" w:hAnsi="Ping LCG Regular" w:cs="Arial"/>
          <w:bCs/>
          <w:i/>
          <w:iCs/>
          <w:spacing w:val="-14"/>
          <w:sz w:val="22"/>
          <w:szCs w:val="22"/>
          <w:lang w:val="el-GR"/>
        </w:rPr>
        <w:t>Προβλέψεις</w:t>
      </w:r>
    </w:p>
    <w:p w14:paraId="17974A0A" w14:textId="1C1CB28F" w:rsidR="00A33C79" w:rsidRPr="00F07FD3" w:rsidRDefault="00A33C79" w:rsidP="00A33C79">
      <w:pPr>
        <w:jc w:val="both"/>
        <w:rPr>
          <w:rFonts w:ascii="Ping LCG Regular" w:hAnsi="Ping LCG Regular" w:cs="Arial"/>
          <w:b/>
          <w:spacing w:val="-14"/>
          <w:lang w:val="el-GR"/>
        </w:rPr>
      </w:pPr>
      <w:r w:rsidRPr="00F07FD3">
        <w:rPr>
          <w:rFonts w:ascii="Ping LCG Regular" w:hAnsi="Ping LCG Regular" w:cs="Arial"/>
          <w:bCs/>
          <w:spacing w:val="-14"/>
          <w:lang w:val="el-GR"/>
        </w:rPr>
        <w:t xml:space="preserve">Το </w:t>
      </w:r>
      <w:r w:rsidR="000F5624" w:rsidRPr="00F07FD3">
        <w:rPr>
          <w:rFonts w:ascii="Ping LCG Regular" w:hAnsi="Ping LCG Regular" w:cs="Arial"/>
          <w:bCs/>
          <w:spacing w:val="-14"/>
          <w:lang w:val="el-GR"/>
        </w:rPr>
        <w:t>α’ τρίμηνο 2023</w:t>
      </w:r>
      <w:r w:rsidRPr="00F07FD3">
        <w:rPr>
          <w:rFonts w:ascii="Ping LCG Regular" w:hAnsi="Ping LCG Regular" w:cs="Arial"/>
          <w:bCs/>
          <w:spacing w:val="-14"/>
          <w:lang w:val="el-GR"/>
        </w:rPr>
        <w:t xml:space="preserve">  καταγράφηκε αύξηση των προβλέψεων για επισφαλείς απαιτήσεις πελατών κατά €</w:t>
      </w:r>
      <w:r w:rsidR="00F11BFD">
        <w:rPr>
          <w:rFonts w:ascii="Ping LCG Regular" w:hAnsi="Ping LCG Regular" w:cs="Arial"/>
          <w:bCs/>
          <w:spacing w:val="-14"/>
          <w:lang w:val="el-GR"/>
        </w:rPr>
        <w:t>3</w:t>
      </w:r>
      <w:r w:rsidR="004E5311">
        <w:rPr>
          <w:rFonts w:ascii="Ping LCG Regular" w:hAnsi="Ping LCG Regular" w:cs="Arial"/>
          <w:bCs/>
          <w:spacing w:val="-14"/>
          <w:lang w:val="el-GR"/>
        </w:rPr>
        <w:t>4,1</w:t>
      </w:r>
      <w:r w:rsidRPr="00F07FD3">
        <w:rPr>
          <w:rFonts w:ascii="Ping LCG Regular" w:hAnsi="Ping LCG Regular" w:cs="Arial"/>
          <w:bCs/>
          <w:spacing w:val="-14"/>
          <w:lang w:val="el-GR"/>
        </w:rPr>
        <w:t xml:space="preserve"> εκατ. έναντι </w:t>
      </w:r>
      <w:r w:rsidR="00227CA4" w:rsidRPr="00F07FD3">
        <w:rPr>
          <w:rFonts w:ascii="Ping LCG Regular" w:hAnsi="Ping LCG Regular" w:cs="Arial"/>
          <w:bCs/>
          <w:spacing w:val="-14"/>
          <w:lang w:val="el-GR"/>
        </w:rPr>
        <w:t xml:space="preserve">αύξησης </w:t>
      </w:r>
      <w:r w:rsidR="00B04545">
        <w:rPr>
          <w:rFonts w:ascii="Ping LCG Regular" w:hAnsi="Ping LCG Regular" w:cs="Arial"/>
          <w:bCs/>
          <w:spacing w:val="-14"/>
          <w:lang w:val="el-GR"/>
        </w:rPr>
        <w:t xml:space="preserve">κατά </w:t>
      </w:r>
      <w:r w:rsidR="00B04545" w:rsidRPr="00F07FD3">
        <w:rPr>
          <w:rFonts w:ascii="Ping LCG Regular" w:hAnsi="Ping LCG Regular" w:cs="Arial"/>
          <w:bCs/>
          <w:spacing w:val="-14"/>
          <w:lang w:val="el-GR"/>
        </w:rPr>
        <w:t xml:space="preserve"> €45,9 εκατ. </w:t>
      </w:r>
      <w:r w:rsidR="00B04545" w:rsidRPr="00F07FD3">
        <w:rPr>
          <w:rFonts w:ascii="Ping LCG Regular" w:hAnsi="Ping LCG Regular" w:cs="Arial"/>
          <w:b/>
          <w:bCs/>
          <w:spacing w:val="-14"/>
          <w:lang w:val="el-GR"/>
        </w:rPr>
        <w:t xml:space="preserve"> </w:t>
      </w:r>
      <w:r w:rsidRPr="00F07FD3">
        <w:rPr>
          <w:rFonts w:ascii="Ping LCG Regular" w:hAnsi="Ping LCG Regular" w:cs="Arial"/>
          <w:bCs/>
          <w:spacing w:val="-14"/>
          <w:lang w:val="el-GR"/>
        </w:rPr>
        <w:t xml:space="preserve">το </w:t>
      </w:r>
      <w:r w:rsidR="00227CA4" w:rsidRPr="00F07FD3">
        <w:rPr>
          <w:rFonts w:ascii="Ping LCG Regular" w:hAnsi="Ping LCG Regular" w:cs="Arial"/>
          <w:bCs/>
          <w:spacing w:val="-14"/>
          <w:lang w:val="el-GR"/>
        </w:rPr>
        <w:t xml:space="preserve">αντίστοιχο τρίμηνο </w:t>
      </w:r>
      <w:r w:rsidR="00FC2DB6" w:rsidRPr="00F07FD3">
        <w:rPr>
          <w:rFonts w:ascii="Ping LCG Regular" w:hAnsi="Ping LCG Regular" w:cs="Arial"/>
          <w:bCs/>
          <w:spacing w:val="-14"/>
          <w:lang w:val="el-GR"/>
        </w:rPr>
        <w:t xml:space="preserve">του </w:t>
      </w:r>
      <w:r w:rsidR="00227CA4" w:rsidRPr="00F07FD3">
        <w:rPr>
          <w:rFonts w:ascii="Ping LCG Regular" w:hAnsi="Ping LCG Regular" w:cs="Arial"/>
          <w:bCs/>
          <w:spacing w:val="-14"/>
          <w:lang w:val="el-GR"/>
        </w:rPr>
        <w:t>2022</w:t>
      </w:r>
      <w:r w:rsidR="00B04545">
        <w:rPr>
          <w:rFonts w:ascii="Ping LCG Regular" w:hAnsi="Ping LCG Regular" w:cs="Arial"/>
          <w:bCs/>
          <w:spacing w:val="-14"/>
          <w:lang w:val="el-GR"/>
        </w:rPr>
        <w:t>.</w:t>
      </w:r>
      <w:r w:rsidRPr="00F07FD3">
        <w:rPr>
          <w:rFonts w:ascii="Ping LCG Regular" w:hAnsi="Ping LCG Regular" w:cs="Arial"/>
          <w:bCs/>
          <w:spacing w:val="-14"/>
          <w:lang w:val="el-GR"/>
        </w:rPr>
        <w:t xml:space="preserve"> </w:t>
      </w:r>
      <w:bookmarkEnd w:id="5"/>
    </w:p>
    <w:p w14:paraId="02504BCB" w14:textId="77777777" w:rsidR="00A33C79" w:rsidRPr="00C574ED" w:rsidRDefault="00A33C79" w:rsidP="00A33C79">
      <w:pPr>
        <w:widowControl w:val="0"/>
        <w:autoSpaceDE w:val="0"/>
        <w:autoSpaceDN w:val="0"/>
        <w:adjustRightInd w:val="0"/>
        <w:ind w:right="20"/>
        <w:jc w:val="both"/>
        <w:rPr>
          <w:rFonts w:ascii="Ping LCG Regular" w:hAnsi="Ping LCG Regular" w:cs="Arial"/>
          <w:b/>
          <w:spacing w:val="-14"/>
          <w:sz w:val="22"/>
          <w:szCs w:val="22"/>
          <w:lang w:val="el-GR"/>
        </w:rPr>
      </w:pPr>
    </w:p>
    <w:p w14:paraId="5D7865BB" w14:textId="77777777" w:rsidR="00A33C79" w:rsidRPr="00C574ED" w:rsidRDefault="00A33C79" w:rsidP="00A33C79">
      <w:pPr>
        <w:widowControl w:val="0"/>
        <w:autoSpaceDE w:val="0"/>
        <w:autoSpaceDN w:val="0"/>
        <w:adjustRightInd w:val="0"/>
        <w:ind w:right="20"/>
        <w:jc w:val="both"/>
        <w:rPr>
          <w:rFonts w:ascii="Ping LCG Regular" w:hAnsi="Ping LCG Regular" w:cs="Arial"/>
          <w:b/>
          <w:spacing w:val="-14"/>
          <w:sz w:val="22"/>
          <w:szCs w:val="22"/>
          <w:lang w:val="el-GR"/>
        </w:rPr>
      </w:pPr>
      <w:bookmarkStart w:id="6" w:name="_Hlk81171663"/>
      <w:r w:rsidRPr="00C574ED">
        <w:rPr>
          <w:rFonts w:ascii="Ping LCG Regular" w:hAnsi="Ping LCG Regular" w:cs="Arial"/>
          <w:b/>
          <w:spacing w:val="-14"/>
          <w:sz w:val="22"/>
          <w:szCs w:val="22"/>
          <w:lang w:val="el-GR"/>
        </w:rPr>
        <w:t>Επενδύσεις</w:t>
      </w:r>
    </w:p>
    <w:p w14:paraId="6EE3AD6A" w14:textId="77777777" w:rsidR="00A33C79" w:rsidRPr="00C574ED" w:rsidRDefault="00A33C79" w:rsidP="00A33C79">
      <w:pPr>
        <w:widowControl w:val="0"/>
        <w:autoSpaceDE w:val="0"/>
        <w:autoSpaceDN w:val="0"/>
        <w:adjustRightInd w:val="0"/>
        <w:ind w:right="18"/>
        <w:jc w:val="both"/>
        <w:rPr>
          <w:rFonts w:ascii="Ping LCG Regular" w:hAnsi="Ping LCG Regular" w:cs="Arial"/>
          <w:spacing w:val="-14"/>
          <w:sz w:val="22"/>
          <w:szCs w:val="22"/>
          <w:lang w:val="el-GR"/>
        </w:rPr>
      </w:pPr>
    </w:p>
    <w:p w14:paraId="2F80AB27" w14:textId="32ECAA8A" w:rsidR="00A33C79" w:rsidRPr="00C574ED" w:rsidRDefault="00A33C79" w:rsidP="00A33C79">
      <w:pPr>
        <w:widowControl w:val="0"/>
        <w:autoSpaceDE w:val="0"/>
        <w:autoSpaceDN w:val="0"/>
        <w:adjustRightInd w:val="0"/>
        <w:ind w:right="18"/>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Οι συνολικές επενδύσεις το </w:t>
      </w:r>
      <w:r w:rsidR="00681652" w:rsidRPr="00C574ED">
        <w:rPr>
          <w:rFonts w:ascii="Ping LCG Regular" w:hAnsi="Ping LCG Regular" w:cs="Arial"/>
          <w:spacing w:val="-14"/>
          <w:sz w:val="22"/>
          <w:szCs w:val="22"/>
          <w:lang w:val="el-GR"/>
        </w:rPr>
        <w:t xml:space="preserve">α’ τρίμηνο 2023 </w:t>
      </w:r>
      <w:r w:rsidRPr="00C574ED">
        <w:rPr>
          <w:rFonts w:ascii="Ping LCG Regular" w:hAnsi="Ping LCG Regular" w:cs="Arial"/>
          <w:spacing w:val="-14"/>
          <w:sz w:val="22"/>
          <w:szCs w:val="22"/>
          <w:lang w:val="el-GR"/>
        </w:rPr>
        <w:t>διαμορφώθηκαν σε €</w:t>
      </w:r>
      <w:r w:rsidR="00681652" w:rsidRPr="00C574ED">
        <w:rPr>
          <w:rFonts w:ascii="Ping LCG Regular" w:hAnsi="Ping LCG Regular" w:cs="Arial"/>
          <w:spacing w:val="-14"/>
          <w:sz w:val="22"/>
          <w:szCs w:val="22"/>
          <w:lang w:val="el-GR"/>
        </w:rPr>
        <w:t>195</w:t>
      </w:r>
      <w:r w:rsidRPr="00C574ED">
        <w:rPr>
          <w:rFonts w:ascii="Ping LCG Regular" w:hAnsi="Ping LCG Regular" w:cs="Arial"/>
          <w:spacing w:val="-14"/>
          <w:sz w:val="22"/>
          <w:szCs w:val="22"/>
          <w:lang w:val="el-GR"/>
        </w:rPr>
        <w:t>,</w:t>
      </w:r>
      <w:r w:rsidR="00681652" w:rsidRPr="00C574ED">
        <w:rPr>
          <w:rFonts w:ascii="Ping LCG Regular" w:hAnsi="Ping LCG Regular" w:cs="Arial"/>
          <w:spacing w:val="-14"/>
          <w:sz w:val="22"/>
          <w:szCs w:val="22"/>
          <w:lang w:val="el-GR"/>
        </w:rPr>
        <w:t>5</w:t>
      </w:r>
      <w:r w:rsidRPr="00C574ED">
        <w:rPr>
          <w:rFonts w:ascii="Ping LCG Regular" w:hAnsi="Ping LCG Regular" w:cs="Arial"/>
          <w:spacing w:val="-14"/>
          <w:sz w:val="22"/>
          <w:szCs w:val="22"/>
          <w:lang w:val="el-GR"/>
        </w:rPr>
        <w:t xml:space="preserve"> εκατ. έναντι €</w:t>
      </w:r>
      <w:r w:rsidR="00681652" w:rsidRPr="00C574ED">
        <w:rPr>
          <w:rFonts w:ascii="Ping LCG Regular" w:hAnsi="Ping LCG Regular" w:cs="Arial"/>
          <w:spacing w:val="-14"/>
          <w:sz w:val="22"/>
          <w:szCs w:val="22"/>
          <w:lang w:val="el-GR"/>
        </w:rPr>
        <w:t>102</w:t>
      </w:r>
      <w:r w:rsidRPr="00C574ED">
        <w:rPr>
          <w:rFonts w:ascii="Ping LCG Regular" w:hAnsi="Ping LCG Regular" w:cs="Arial"/>
          <w:spacing w:val="-14"/>
          <w:sz w:val="22"/>
          <w:szCs w:val="22"/>
          <w:lang w:val="el-GR"/>
        </w:rPr>
        <w:t xml:space="preserve"> εκατ. το </w:t>
      </w:r>
      <w:r w:rsidR="00D50531" w:rsidRPr="00C574ED">
        <w:rPr>
          <w:rFonts w:ascii="Ping LCG Regular" w:hAnsi="Ping LCG Regular" w:cs="Arial"/>
          <w:spacing w:val="-14"/>
          <w:sz w:val="22"/>
          <w:szCs w:val="22"/>
          <w:lang w:val="el-GR"/>
        </w:rPr>
        <w:t xml:space="preserve">α’ τρίμηνο </w:t>
      </w:r>
      <w:r w:rsidRPr="00C574ED">
        <w:rPr>
          <w:rFonts w:ascii="Ping LCG Regular" w:hAnsi="Ping LCG Regular" w:cs="Arial"/>
          <w:spacing w:val="-14"/>
          <w:sz w:val="22"/>
          <w:szCs w:val="22"/>
          <w:lang w:val="el-GR"/>
        </w:rPr>
        <w:t>202</w:t>
      </w:r>
      <w:r w:rsidR="00D50531" w:rsidRPr="00C574ED">
        <w:rPr>
          <w:rFonts w:ascii="Ping LCG Regular" w:hAnsi="Ping LCG Regular" w:cs="Arial"/>
          <w:spacing w:val="-14"/>
          <w:sz w:val="22"/>
          <w:szCs w:val="22"/>
          <w:lang w:val="el-GR"/>
        </w:rPr>
        <w:t>2</w:t>
      </w:r>
      <w:r w:rsidRPr="00C574ED">
        <w:rPr>
          <w:rFonts w:ascii="Ping LCG Regular" w:hAnsi="Ping LCG Regular" w:cs="Arial"/>
          <w:spacing w:val="-14"/>
          <w:sz w:val="22"/>
          <w:szCs w:val="22"/>
          <w:lang w:val="el-GR"/>
        </w:rPr>
        <w:t xml:space="preserve">. </w:t>
      </w:r>
    </w:p>
    <w:p w14:paraId="7632C384" w14:textId="4EA14FEC" w:rsidR="00A33C79" w:rsidRPr="00C574ED" w:rsidRDefault="00A33C79" w:rsidP="00A33C79">
      <w:pPr>
        <w:widowControl w:val="0"/>
        <w:autoSpaceDE w:val="0"/>
        <w:autoSpaceDN w:val="0"/>
        <w:adjustRightInd w:val="0"/>
        <w:ind w:right="18"/>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Όπως φαίνεται και στον παρακάτω πίνακα, μεγάλο μέρος της αύξησης οφείλεται στις αυξημένες επενδύσεις σε έργα για το Δίκτυο Διανομής, έργα ΑΠΕ</w:t>
      </w:r>
      <w:r w:rsidR="00C242DB">
        <w:rPr>
          <w:rFonts w:ascii="Ping LCG Regular" w:hAnsi="Ping LCG Regular" w:cs="Arial"/>
          <w:spacing w:val="-14"/>
          <w:sz w:val="22"/>
          <w:szCs w:val="22"/>
          <w:lang w:val="el-GR"/>
        </w:rPr>
        <w:t xml:space="preserve"> </w:t>
      </w:r>
      <w:r w:rsidR="003F6066">
        <w:rPr>
          <w:rFonts w:ascii="Ping LCG Regular" w:hAnsi="Ping LCG Regular" w:cs="Arial"/>
          <w:spacing w:val="-14"/>
          <w:sz w:val="22"/>
          <w:szCs w:val="22"/>
          <w:lang w:val="el-GR"/>
        </w:rPr>
        <w:t>καθώς και σ</w:t>
      </w:r>
      <w:r w:rsidR="003F6066" w:rsidRPr="003F6066">
        <w:rPr>
          <w:rFonts w:ascii="Ping LCG Regular" w:hAnsi="Ping LCG Regular" w:cs="Arial"/>
          <w:spacing w:val="-14"/>
          <w:sz w:val="22"/>
          <w:szCs w:val="22"/>
          <w:lang w:val="el-GR"/>
        </w:rPr>
        <w:t xml:space="preserve">τη νέα μονάδα Φυσικού Αερίου  </w:t>
      </w:r>
      <w:r w:rsidR="004D3CD0" w:rsidRPr="00C574ED">
        <w:rPr>
          <w:rFonts w:ascii="Ping LCG Regular" w:hAnsi="Ping LCG Regular" w:cs="Arial"/>
          <w:spacing w:val="-14"/>
          <w:sz w:val="22"/>
          <w:szCs w:val="22"/>
          <w:lang w:val="el-GR"/>
        </w:rPr>
        <w:t>840</w:t>
      </w:r>
      <w:r w:rsidR="003F6066">
        <w:rPr>
          <w:rFonts w:ascii="Ping LCG Regular" w:hAnsi="Ping LCG Regular" w:cs="Arial"/>
          <w:spacing w:val="-14"/>
          <w:sz w:val="22"/>
          <w:szCs w:val="22"/>
          <w:lang w:val="el-GR"/>
        </w:rPr>
        <w:t xml:space="preserve"> </w:t>
      </w:r>
      <w:r w:rsidR="003F6066">
        <w:rPr>
          <w:rFonts w:ascii="Ping LCG Regular" w:hAnsi="Ping LCG Regular" w:cs="Arial"/>
          <w:spacing w:val="-14"/>
          <w:sz w:val="22"/>
          <w:szCs w:val="22"/>
        </w:rPr>
        <w:t>MW</w:t>
      </w:r>
      <w:r w:rsidR="003F6066" w:rsidRPr="00C574ED">
        <w:rPr>
          <w:rFonts w:ascii="Ping LCG Regular" w:hAnsi="Ping LCG Regular" w:cs="Arial"/>
          <w:spacing w:val="-14"/>
          <w:sz w:val="22"/>
          <w:szCs w:val="22"/>
          <w:lang w:val="el-GR"/>
        </w:rPr>
        <w:t xml:space="preserve"> </w:t>
      </w:r>
      <w:r w:rsidR="003F6066">
        <w:rPr>
          <w:rFonts w:ascii="Ping LCG Regular" w:hAnsi="Ping LCG Regular" w:cs="Arial"/>
          <w:spacing w:val="-14"/>
          <w:sz w:val="22"/>
          <w:szCs w:val="22"/>
          <w:lang w:val="el-GR"/>
        </w:rPr>
        <w:t>στην Αλεξανδρούπολη.</w:t>
      </w:r>
    </w:p>
    <w:p w14:paraId="56E75F90" w14:textId="77777777" w:rsidR="004D3CD0" w:rsidRPr="00C574ED" w:rsidRDefault="004D3CD0" w:rsidP="00A33C79">
      <w:pPr>
        <w:widowControl w:val="0"/>
        <w:autoSpaceDE w:val="0"/>
        <w:autoSpaceDN w:val="0"/>
        <w:adjustRightInd w:val="0"/>
        <w:ind w:right="18"/>
        <w:jc w:val="both"/>
        <w:rPr>
          <w:rFonts w:ascii="Ping LCG Regular" w:hAnsi="Ping LCG Regular" w:cs="Arial"/>
          <w:spacing w:val="-14"/>
          <w:sz w:val="22"/>
          <w:szCs w:val="22"/>
          <w:lang w:val="el-GR"/>
        </w:rPr>
      </w:pPr>
    </w:p>
    <w:p w14:paraId="1483A2AE" w14:textId="77777777" w:rsidR="00A33C79" w:rsidRPr="00C01CB3" w:rsidRDefault="00A33C79" w:rsidP="00A33C79">
      <w:pPr>
        <w:autoSpaceDE w:val="0"/>
        <w:autoSpaceDN w:val="0"/>
        <w:ind w:right="18"/>
        <w:jc w:val="both"/>
        <w:rPr>
          <w:rFonts w:ascii="Ping LCG Regular" w:hAnsi="Ping LCG Regular" w:cs="Arial"/>
          <w:spacing w:val="-14"/>
          <w:sz w:val="22"/>
          <w:szCs w:val="22"/>
          <w:lang w:val="el-GR"/>
        </w:rPr>
      </w:pPr>
      <w:bookmarkStart w:id="7" w:name="_Hlk68249913"/>
      <w:r w:rsidRPr="00C01CB3">
        <w:rPr>
          <w:rFonts w:ascii="Ping LCG Regular" w:hAnsi="Ping LCG Regular" w:cs="Arial"/>
          <w:spacing w:val="-14"/>
          <w:sz w:val="22"/>
          <w:szCs w:val="22"/>
          <w:lang w:val="el-GR"/>
        </w:rPr>
        <w:t>Η σύνθεση των κύριων επενδύσεων έχει ως εξής :</w:t>
      </w:r>
    </w:p>
    <w:p w14:paraId="63783BE1" w14:textId="1DCBACA8" w:rsidR="00A33C79" w:rsidRPr="00C574ED" w:rsidRDefault="006F002F" w:rsidP="00A33C79">
      <w:pPr>
        <w:autoSpaceDE w:val="0"/>
        <w:autoSpaceDN w:val="0"/>
        <w:ind w:right="18"/>
        <w:jc w:val="both"/>
        <w:rPr>
          <w:rFonts w:ascii="Ping LCG Regular" w:hAnsi="Ping LCG Regular" w:cs="Arial"/>
          <w:spacing w:val="-14"/>
          <w:sz w:val="22"/>
          <w:szCs w:val="22"/>
          <w:lang w:val="el-GR"/>
        </w:rPr>
      </w:pPr>
      <w:r w:rsidRPr="006F002F">
        <w:rPr>
          <w:rFonts w:ascii="Ping LCG Regular" w:hAnsi="Ping LCG Regular" w:cs="Arial"/>
          <w:spacing w:val="-14"/>
          <w:sz w:val="22"/>
          <w:szCs w:val="22"/>
          <w:lang w:val="el-GR"/>
        </w:rPr>
        <w:t xml:space="preserve"> </w:t>
      </w:r>
    </w:p>
    <w:p w14:paraId="6ACF8B86" w14:textId="5EE9D70E" w:rsidR="00DA2748" w:rsidRDefault="002D4203" w:rsidP="00A33C79">
      <w:pPr>
        <w:autoSpaceDE w:val="0"/>
        <w:autoSpaceDN w:val="0"/>
        <w:ind w:right="18"/>
        <w:jc w:val="both"/>
        <w:rPr>
          <w:rFonts w:ascii="Ping LCG Regular" w:hAnsi="Ping LCG Regular" w:cs="Arial"/>
          <w:spacing w:val="-14"/>
          <w:sz w:val="22"/>
          <w:szCs w:val="22"/>
          <w:lang w:val="el-GR"/>
        </w:rPr>
      </w:pPr>
      <w:r w:rsidRPr="002D4203">
        <w:rPr>
          <w:noProof/>
        </w:rPr>
        <w:drawing>
          <wp:inline distT="0" distB="0" distL="0" distR="0" wp14:anchorId="6239C4DD" wp14:editId="6204F3B4">
            <wp:extent cx="6210935" cy="18808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1880870"/>
                    </a:xfrm>
                    <a:prstGeom prst="rect">
                      <a:avLst/>
                    </a:prstGeom>
                    <a:noFill/>
                    <a:ln>
                      <a:noFill/>
                    </a:ln>
                  </pic:spPr>
                </pic:pic>
              </a:graphicData>
            </a:graphic>
          </wp:inline>
        </w:drawing>
      </w:r>
    </w:p>
    <w:p w14:paraId="43E8BDA5" w14:textId="05BA3C4B" w:rsidR="00DA2748" w:rsidRDefault="00DA2748" w:rsidP="00A33C79">
      <w:pPr>
        <w:autoSpaceDE w:val="0"/>
        <w:autoSpaceDN w:val="0"/>
        <w:ind w:right="18"/>
        <w:jc w:val="both"/>
        <w:rPr>
          <w:rFonts w:ascii="Ping LCG Regular" w:hAnsi="Ping LCG Regular" w:cs="Arial"/>
          <w:spacing w:val="-14"/>
          <w:sz w:val="22"/>
          <w:szCs w:val="22"/>
          <w:lang w:val="el-GR"/>
        </w:rPr>
      </w:pPr>
    </w:p>
    <w:p w14:paraId="5761E039" w14:textId="77777777" w:rsidR="00A33C79" w:rsidRPr="00C574ED" w:rsidRDefault="00A33C79" w:rsidP="00A33C79">
      <w:pPr>
        <w:rPr>
          <w:rFonts w:ascii="Ping LCG Regular" w:hAnsi="Ping LCG Regular" w:cs="Arial"/>
          <w:b/>
          <w:bCs/>
          <w:spacing w:val="-14"/>
          <w:sz w:val="22"/>
          <w:szCs w:val="22"/>
          <w:lang w:val="el-GR"/>
        </w:rPr>
      </w:pPr>
      <w:bookmarkStart w:id="8" w:name="_Hlk88923084"/>
      <w:bookmarkStart w:id="9" w:name="_Hlk88922774"/>
      <w:bookmarkStart w:id="10" w:name="_Hlk68249947"/>
      <w:bookmarkStart w:id="11" w:name="_Hlk88594727"/>
      <w:bookmarkEnd w:id="7"/>
      <w:r w:rsidRPr="00C574ED">
        <w:rPr>
          <w:rFonts w:ascii="Ping LCG Regular" w:hAnsi="Ping LCG Regular" w:cs="Arial"/>
          <w:b/>
          <w:bCs/>
          <w:spacing w:val="-14"/>
          <w:sz w:val="22"/>
          <w:szCs w:val="22"/>
          <w:lang w:val="el-GR"/>
        </w:rPr>
        <w:t>Καθαρό Χρέος</w:t>
      </w:r>
    </w:p>
    <w:p w14:paraId="60E3D361" w14:textId="77777777" w:rsidR="00A33C79" w:rsidRPr="00C574ED" w:rsidRDefault="00A33C79" w:rsidP="00A33C79">
      <w:pPr>
        <w:jc w:val="both"/>
        <w:rPr>
          <w:rFonts w:ascii="Ping LCG Regular" w:hAnsi="Ping LCG Regular"/>
          <w:spacing w:val="-14"/>
          <w:sz w:val="22"/>
          <w:szCs w:val="22"/>
          <w:lang w:val="el-GR"/>
        </w:rPr>
      </w:pPr>
      <w:bookmarkStart w:id="12" w:name="_Hlk81172011"/>
    </w:p>
    <w:p w14:paraId="3BAF2126" w14:textId="1AF67F4B" w:rsidR="00A33C79" w:rsidRPr="00740750" w:rsidRDefault="00A33C79" w:rsidP="00EA59E9">
      <w:pPr>
        <w:jc w:val="both"/>
        <w:rPr>
          <w:rFonts w:ascii="Ping LCG Regular" w:hAnsi="Ping LCG Regular"/>
          <w:spacing w:val="-14"/>
          <w:sz w:val="22"/>
          <w:szCs w:val="22"/>
          <w:lang w:val="el-GR"/>
        </w:rPr>
      </w:pPr>
      <w:r w:rsidRPr="00C574ED">
        <w:rPr>
          <w:rFonts w:ascii="Ping LCG Regular" w:hAnsi="Ping LCG Regular"/>
          <w:spacing w:val="-14"/>
          <w:sz w:val="22"/>
          <w:szCs w:val="22"/>
          <w:lang w:val="el-GR"/>
        </w:rPr>
        <w:t xml:space="preserve">Το </w:t>
      </w:r>
      <w:r w:rsidRPr="00D4633B">
        <w:rPr>
          <w:rFonts w:ascii="Ping LCG Regular" w:hAnsi="Ping LCG Regular"/>
          <w:spacing w:val="-14"/>
          <w:sz w:val="22"/>
          <w:szCs w:val="22"/>
          <w:lang w:val="el-GR"/>
        </w:rPr>
        <w:t>καθαρό χρέος στις 31.</w:t>
      </w:r>
      <w:r w:rsidR="004E406D" w:rsidRPr="00D4633B">
        <w:rPr>
          <w:rFonts w:ascii="Ping LCG Regular" w:hAnsi="Ping LCG Regular"/>
          <w:spacing w:val="-14"/>
          <w:sz w:val="22"/>
          <w:szCs w:val="22"/>
          <w:lang w:val="el-GR"/>
        </w:rPr>
        <w:t>03</w:t>
      </w:r>
      <w:r w:rsidRPr="00D4633B">
        <w:rPr>
          <w:rFonts w:ascii="Ping LCG Regular" w:hAnsi="Ping LCG Regular"/>
          <w:spacing w:val="-14"/>
          <w:sz w:val="22"/>
          <w:szCs w:val="22"/>
          <w:lang w:val="el-GR"/>
        </w:rPr>
        <w:t>.202</w:t>
      </w:r>
      <w:r w:rsidR="004E406D" w:rsidRPr="00D4633B">
        <w:rPr>
          <w:rFonts w:ascii="Ping LCG Regular" w:hAnsi="Ping LCG Regular"/>
          <w:spacing w:val="-14"/>
          <w:sz w:val="22"/>
          <w:szCs w:val="22"/>
          <w:lang w:val="el-GR"/>
        </w:rPr>
        <w:t>3</w:t>
      </w:r>
      <w:r w:rsidRPr="00D4633B">
        <w:rPr>
          <w:rFonts w:ascii="Ping LCG Regular" w:hAnsi="Ping LCG Regular"/>
          <w:spacing w:val="-14"/>
          <w:sz w:val="22"/>
          <w:szCs w:val="22"/>
          <w:lang w:val="el-GR"/>
        </w:rPr>
        <w:t xml:space="preserve"> ήταν €</w:t>
      </w:r>
      <w:r w:rsidR="004E406D" w:rsidRPr="00D4633B">
        <w:rPr>
          <w:rFonts w:ascii="Ping LCG Regular" w:hAnsi="Ping LCG Regular"/>
          <w:spacing w:val="-14"/>
          <w:sz w:val="22"/>
          <w:szCs w:val="22"/>
          <w:lang w:val="el-GR"/>
        </w:rPr>
        <w:t>2.0</w:t>
      </w:r>
      <w:r w:rsidR="00013593" w:rsidRPr="00D4633B">
        <w:rPr>
          <w:rFonts w:ascii="Ping LCG Regular" w:hAnsi="Ping LCG Regular"/>
          <w:spacing w:val="-14"/>
          <w:sz w:val="22"/>
          <w:szCs w:val="22"/>
          <w:lang w:val="el-GR"/>
        </w:rPr>
        <w:t>30,4</w:t>
      </w:r>
      <w:r w:rsidRPr="00D4633B">
        <w:rPr>
          <w:rFonts w:ascii="Ping LCG Regular" w:hAnsi="Ping LCG Regular"/>
          <w:spacing w:val="-14"/>
          <w:sz w:val="22"/>
          <w:szCs w:val="22"/>
          <w:lang w:val="el-GR"/>
        </w:rPr>
        <w:t xml:space="preserve"> εκατ., </w:t>
      </w:r>
      <w:r w:rsidR="006D03C5" w:rsidRPr="00D4633B">
        <w:rPr>
          <w:rFonts w:ascii="Ping LCG Regular" w:hAnsi="Ping LCG Regular"/>
          <w:spacing w:val="-14"/>
          <w:sz w:val="22"/>
          <w:szCs w:val="22"/>
          <w:lang w:val="el-GR"/>
        </w:rPr>
        <w:t xml:space="preserve">αυξημένο </w:t>
      </w:r>
      <w:r w:rsidRPr="00D4633B">
        <w:rPr>
          <w:rFonts w:ascii="Ping LCG Regular" w:hAnsi="Ping LCG Regular"/>
          <w:spacing w:val="-14"/>
          <w:sz w:val="22"/>
          <w:szCs w:val="22"/>
          <w:lang w:val="el-GR"/>
        </w:rPr>
        <w:t>κατά €</w:t>
      </w:r>
      <w:r w:rsidR="006D03C5" w:rsidRPr="00D4633B">
        <w:rPr>
          <w:rFonts w:ascii="Ping LCG Regular" w:hAnsi="Ping LCG Regular"/>
          <w:spacing w:val="-14"/>
          <w:sz w:val="22"/>
          <w:szCs w:val="22"/>
          <w:lang w:val="el-GR"/>
        </w:rPr>
        <w:t>642,3</w:t>
      </w:r>
      <w:r w:rsidRPr="00D4633B">
        <w:rPr>
          <w:rFonts w:ascii="Ping LCG Regular" w:hAnsi="Ping LCG Regular"/>
          <w:spacing w:val="-14"/>
          <w:sz w:val="22"/>
          <w:szCs w:val="22"/>
          <w:lang w:val="el-GR"/>
        </w:rPr>
        <w:t xml:space="preserve"> εκατ. σε σχέση με την 31.12.202</w:t>
      </w:r>
      <w:r w:rsidR="006D03C5" w:rsidRPr="00D4633B">
        <w:rPr>
          <w:rFonts w:ascii="Ping LCG Regular" w:hAnsi="Ping LCG Regular"/>
          <w:spacing w:val="-14"/>
          <w:sz w:val="22"/>
          <w:szCs w:val="22"/>
          <w:lang w:val="el-GR"/>
        </w:rPr>
        <w:t>2</w:t>
      </w:r>
      <w:r w:rsidRPr="00D4633B">
        <w:rPr>
          <w:rFonts w:ascii="Ping LCG Regular" w:hAnsi="Ping LCG Regular"/>
          <w:spacing w:val="-14"/>
          <w:sz w:val="22"/>
          <w:szCs w:val="22"/>
          <w:lang w:val="el-GR"/>
        </w:rPr>
        <w:t xml:space="preserve"> (€1.</w:t>
      </w:r>
      <w:r w:rsidR="006D03C5" w:rsidRPr="00D4633B">
        <w:rPr>
          <w:rFonts w:ascii="Ping LCG Regular" w:hAnsi="Ping LCG Regular"/>
          <w:spacing w:val="-14"/>
          <w:sz w:val="22"/>
          <w:szCs w:val="22"/>
          <w:lang w:val="el-GR"/>
        </w:rPr>
        <w:t>388,1</w:t>
      </w:r>
      <w:r w:rsidRPr="00D4633B">
        <w:rPr>
          <w:rFonts w:ascii="Ping LCG Regular" w:hAnsi="Ping LCG Regular"/>
          <w:spacing w:val="-14"/>
          <w:sz w:val="22"/>
          <w:szCs w:val="22"/>
          <w:lang w:val="el-GR"/>
        </w:rPr>
        <w:t xml:space="preserve"> εκατ.), </w:t>
      </w:r>
      <w:r w:rsidR="00FD14D2" w:rsidRPr="00D4633B">
        <w:rPr>
          <w:rFonts w:ascii="Ping LCG Regular" w:hAnsi="Ping LCG Regular"/>
          <w:spacing w:val="-14"/>
          <w:sz w:val="22"/>
          <w:szCs w:val="22"/>
          <w:lang w:val="el-GR"/>
        </w:rPr>
        <w:t xml:space="preserve">λόγω της </w:t>
      </w:r>
      <w:r w:rsidRPr="00D4633B">
        <w:rPr>
          <w:rFonts w:ascii="Ping LCG Regular" w:hAnsi="Ping LCG Regular"/>
          <w:spacing w:val="-14"/>
          <w:sz w:val="22"/>
          <w:szCs w:val="22"/>
          <w:lang w:val="el-GR"/>
        </w:rPr>
        <w:t>επίπτωση</w:t>
      </w:r>
      <w:r w:rsidR="00FD14D2" w:rsidRPr="00D4633B">
        <w:rPr>
          <w:rFonts w:ascii="Ping LCG Regular" w:hAnsi="Ping LCG Regular"/>
          <w:spacing w:val="-14"/>
          <w:sz w:val="22"/>
          <w:szCs w:val="22"/>
          <w:lang w:val="el-GR"/>
        </w:rPr>
        <w:t>ς</w:t>
      </w:r>
      <w:r w:rsidRPr="00D4633B">
        <w:rPr>
          <w:rFonts w:ascii="Ping LCG Regular" w:hAnsi="Ping LCG Regular"/>
          <w:spacing w:val="-14"/>
          <w:sz w:val="22"/>
          <w:szCs w:val="22"/>
          <w:lang w:val="el-GR"/>
        </w:rPr>
        <w:t xml:space="preserve"> από το αρνητικό κεφάλαιο κίνησης στο α΄ τρίμηνο του 202</w:t>
      </w:r>
      <w:r w:rsidR="006D03C5" w:rsidRPr="00D4633B">
        <w:rPr>
          <w:rFonts w:ascii="Ping LCG Regular" w:hAnsi="Ping LCG Regular"/>
          <w:spacing w:val="-14"/>
          <w:sz w:val="22"/>
          <w:szCs w:val="22"/>
          <w:lang w:val="el-GR"/>
        </w:rPr>
        <w:t>3</w:t>
      </w:r>
      <w:r w:rsidR="00EE6E54" w:rsidRPr="00D4633B">
        <w:rPr>
          <w:rFonts w:ascii="Ping LCG Regular" w:hAnsi="Ping LCG Regular"/>
          <w:spacing w:val="-14"/>
          <w:sz w:val="22"/>
          <w:szCs w:val="22"/>
          <w:lang w:val="el-GR"/>
        </w:rPr>
        <w:t xml:space="preserve"> το οποίο κατά βάση επηρεάστηκε</w:t>
      </w:r>
      <w:r w:rsidR="00D67701" w:rsidRPr="00D4633B">
        <w:rPr>
          <w:rFonts w:ascii="Ping LCG Regular" w:hAnsi="Ping LCG Regular"/>
          <w:spacing w:val="-14"/>
          <w:sz w:val="22"/>
          <w:szCs w:val="22"/>
          <w:lang w:val="el-GR"/>
        </w:rPr>
        <w:t xml:space="preserve"> από την πληρωμή</w:t>
      </w:r>
      <w:r w:rsidR="00551B14" w:rsidRPr="00D4633B">
        <w:rPr>
          <w:rFonts w:ascii="Ping LCG Regular" w:hAnsi="Ping LCG Regular"/>
          <w:spacing w:val="-14"/>
          <w:sz w:val="22"/>
          <w:szCs w:val="22"/>
          <w:lang w:val="el-GR"/>
        </w:rPr>
        <w:t xml:space="preserve"> για τα </w:t>
      </w:r>
      <w:r w:rsidR="00551B14" w:rsidRPr="00946E12">
        <w:rPr>
          <w:rFonts w:ascii="Ping LCG Regular" w:hAnsi="Ping LCG Regular"/>
          <w:spacing w:val="-14"/>
          <w:sz w:val="22"/>
          <w:szCs w:val="22"/>
          <w:lang w:val="el-GR"/>
        </w:rPr>
        <w:t xml:space="preserve">δικαιώματα εκπομπών </w:t>
      </w:r>
      <w:r w:rsidR="00551B14" w:rsidRPr="00946E12">
        <w:rPr>
          <w:rFonts w:ascii="Ping LCG Regular" w:hAnsi="Ping LCG Regular"/>
          <w:spacing w:val="-14"/>
          <w:sz w:val="22"/>
          <w:szCs w:val="22"/>
        </w:rPr>
        <w:t>CO</w:t>
      </w:r>
      <w:r w:rsidR="00551B14" w:rsidRPr="00946E12">
        <w:rPr>
          <w:rFonts w:ascii="Ping LCG Regular" w:hAnsi="Ping LCG Regular"/>
          <w:spacing w:val="-14"/>
          <w:sz w:val="22"/>
          <w:szCs w:val="22"/>
          <w:vertAlign w:val="subscript"/>
          <w:lang w:val="el-GR"/>
        </w:rPr>
        <w:t>2</w:t>
      </w:r>
      <w:r w:rsidR="00551B14" w:rsidRPr="00946E12">
        <w:rPr>
          <w:rFonts w:ascii="Ping LCG Regular" w:hAnsi="Ping LCG Regular"/>
          <w:spacing w:val="-14"/>
          <w:sz w:val="22"/>
          <w:szCs w:val="22"/>
          <w:lang w:val="el-GR"/>
        </w:rPr>
        <w:t xml:space="preserve"> για τη συμμόρφωση του</w:t>
      </w:r>
      <w:r w:rsidR="00D87F74" w:rsidRPr="00946E12">
        <w:rPr>
          <w:rFonts w:ascii="Ping LCG Regular" w:hAnsi="Ping LCG Regular"/>
          <w:spacing w:val="-14"/>
          <w:sz w:val="22"/>
          <w:szCs w:val="22"/>
          <w:lang w:val="el-GR"/>
        </w:rPr>
        <w:t xml:space="preserve"> έτους</w:t>
      </w:r>
      <w:r w:rsidR="00551B14" w:rsidRPr="00946E12">
        <w:rPr>
          <w:rFonts w:ascii="Ping LCG Regular" w:hAnsi="Ping LCG Regular"/>
          <w:spacing w:val="-14"/>
          <w:sz w:val="22"/>
          <w:szCs w:val="22"/>
          <w:lang w:val="el-GR"/>
        </w:rPr>
        <w:t xml:space="preserve"> 2022</w:t>
      </w:r>
      <w:r w:rsidR="00037936" w:rsidRPr="00946E12">
        <w:rPr>
          <w:rFonts w:ascii="Ping LCG Regular" w:hAnsi="Ping LCG Regular"/>
          <w:spacing w:val="-14"/>
          <w:sz w:val="22"/>
          <w:szCs w:val="22"/>
          <w:lang w:val="el-GR"/>
        </w:rPr>
        <w:t>, η οποία γίνεται κάθε χρόνο μέχρι το τέλος Μαρτίου</w:t>
      </w:r>
      <w:r w:rsidR="008D3248" w:rsidRPr="00946E12">
        <w:rPr>
          <w:rFonts w:ascii="Ping LCG Regular" w:hAnsi="Ping LCG Regular"/>
          <w:spacing w:val="-14"/>
          <w:sz w:val="22"/>
          <w:szCs w:val="22"/>
          <w:lang w:val="el-GR"/>
        </w:rPr>
        <w:t xml:space="preserve"> του επόμενου έτους</w:t>
      </w:r>
      <w:r w:rsidRPr="00D4633B">
        <w:rPr>
          <w:rFonts w:ascii="Ping LCG Regular" w:hAnsi="Ping LCG Regular"/>
          <w:spacing w:val="-14"/>
          <w:sz w:val="22"/>
          <w:szCs w:val="22"/>
          <w:lang w:val="el-GR"/>
        </w:rPr>
        <w:t>.</w:t>
      </w:r>
      <w:r w:rsidRPr="00C574ED">
        <w:rPr>
          <w:rFonts w:ascii="Ping LCG Regular" w:hAnsi="Ping LCG Regular"/>
          <w:spacing w:val="-14"/>
          <w:sz w:val="22"/>
          <w:szCs w:val="22"/>
          <w:lang w:val="el-GR"/>
        </w:rPr>
        <w:t xml:space="preserve">  </w:t>
      </w:r>
      <w:bookmarkEnd w:id="8"/>
      <w:r w:rsidR="00740750" w:rsidRPr="00C01CB3">
        <w:rPr>
          <w:rFonts w:ascii="Ping LCG Regular" w:hAnsi="Ping LCG Regular"/>
          <w:color w:val="FF0000"/>
          <w:spacing w:val="-14"/>
          <w:sz w:val="22"/>
          <w:szCs w:val="22"/>
          <w:lang w:val="el-GR"/>
        </w:rPr>
        <w:t xml:space="preserve"> </w:t>
      </w:r>
    </w:p>
    <w:p w14:paraId="4B0C32E2" w14:textId="77777777" w:rsidR="00EA59E9" w:rsidRPr="00AE3B99" w:rsidRDefault="00EA59E9" w:rsidP="00EA59E9">
      <w:pPr>
        <w:jc w:val="both"/>
        <w:rPr>
          <w:rFonts w:ascii="Ping LCG Regular" w:hAnsi="Ping LCG Regular" w:cs="Arial"/>
          <w:spacing w:val="-14"/>
          <w:sz w:val="22"/>
          <w:szCs w:val="22"/>
          <w:lang w:val="el-GR"/>
        </w:rPr>
      </w:pPr>
    </w:p>
    <w:p w14:paraId="694F56D6" w14:textId="77777777" w:rsidR="00C81884" w:rsidRDefault="00C81884" w:rsidP="00A33C79">
      <w:pPr>
        <w:rPr>
          <w:rFonts w:ascii="Ping LCG Regular" w:hAnsi="Ping LCG Regular" w:cs="Arial"/>
          <w:spacing w:val="-14"/>
          <w:sz w:val="22"/>
          <w:szCs w:val="22"/>
          <w:lang w:val="el-GR"/>
        </w:rPr>
      </w:pPr>
    </w:p>
    <w:p w14:paraId="14244804" w14:textId="77777777" w:rsidR="00C81884" w:rsidRDefault="00C81884" w:rsidP="00A33C79">
      <w:pPr>
        <w:rPr>
          <w:rFonts w:ascii="Ping LCG Regular" w:hAnsi="Ping LCG Regular" w:cs="Arial"/>
          <w:spacing w:val="-14"/>
          <w:sz w:val="22"/>
          <w:szCs w:val="22"/>
          <w:lang w:val="el-GR"/>
        </w:rPr>
      </w:pPr>
    </w:p>
    <w:p w14:paraId="3A78BA0E" w14:textId="77777777" w:rsidR="00C81884" w:rsidRDefault="00C81884" w:rsidP="00A33C79">
      <w:pPr>
        <w:rPr>
          <w:rFonts w:ascii="Ping LCG Regular" w:hAnsi="Ping LCG Regular" w:cs="Arial"/>
          <w:spacing w:val="-14"/>
          <w:sz w:val="22"/>
          <w:szCs w:val="22"/>
          <w:lang w:val="el-GR"/>
        </w:rPr>
      </w:pPr>
    </w:p>
    <w:p w14:paraId="774D2DC7" w14:textId="77777777" w:rsidR="00C81884" w:rsidRDefault="00C81884" w:rsidP="00A33C79">
      <w:pPr>
        <w:rPr>
          <w:rFonts w:ascii="Ping LCG Regular" w:hAnsi="Ping LCG Regular" w:cs="Arial"/>
          <w:spacing w:val="-14"/>
          <w:sz w:val="22"/>
          <w:szCs w:val="22"/>
          <w:lang w:val="el-GR"/>
        </w:rPr>
      </w:pPr>
    </w:p>
    <w:p w14:paraId="09C04619" w14:textId="77777777" w:rsidR="00C81884" w:rsidRDefault="00C81884" w:rsidP="00A33C79">
      <w:pPr>
        <w:rPr>
          <w:rFonts w:ascii="Ping LCG Regular" w:hAnsi="Ping LCG Regular" w:cs="Arial"/>
          <w:spacing w:val="-14"/>
          <w:sz w:val="22"/>
          <w:szCs w:val="22"/>
          <w:lang w:val="el-GR"/>
        </w:rPr>
      </w:pPr>
    </w:p>
    <w:p w14:paraId="48977A7B" w14:textId="304DDA7D" w:rsidR="00A33C79" w:rsidRDefault="00A33C79" w:rsidP="00A33C79">
      <w:pPr>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lastRenderedPageBreak/>
        <w:t>Ακολουθεί η εξέλιξη του Καθαρού Χρέους:</w:t>
      </w:r>
    </w:p>
    <w:p w14:paraId="3FC369D7" w14:textId="77777777" w:rsidR="00E81AE8" w:rsidRPr="00C574ED" w:rsidRDefault="00E81AE8" w:rsidP="00A33C79">
      <w:pPr>
        <w:rPr>
          <w:rFonts w:ascii="Ping LCG Regular" w:hAnsi="Ping LCG Regular" w:cs="Arial"/>
          <w:spacing w:val="-14"/>
          <w:sz w:val="22"/>
          <w:szCs w:val="22"/>
          <w:lang w:val="el-GR"/>
        </w:rPr>
      </w:pPr>
    </w:p>
    <w:bookmarkEnd w:id="9"/>
    <w:bookmarkEnd w:id="12"/>
    <w:p w14:paraId="7642AC0E" w14:textId="46DB68B8" w:rsidR="00A33C79" w:rsidRPr="00C574ED" w:rsidRDefault="002D4203" w:rsidP="00A33C79">
      <w:pPr>
        <w:rPr>
          <w:rFonts w:ascii="Ping LCG Regular" w:hAnsi="Ping LCG Regular" w:cs="Arial"/>
          <w:spacing w:val="-14"/>
          <w:sz w:val="22"/>
          <w:szCs w:val="22"/>
          <w:highlight w:val="yellow"/>
          <w:lang w:val="el-GR"/>
        </w:rPr>
      </w:pPr>
      <w:r w:rsidRPr="00FF4EAB">
        <w:rPr>
          <w:noProof/>
        </w:rPr>
        <w:drawing>
          <wp:inline distT="0" distB="0" distL="0" distR="0" wp14:anchorId="6A4D3F3F" wp14:editId="75855998">
            <wp:extent cx="6210935" cy="156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1562735"/>
                    </a:xfrm>
                    <a:prstGeom prst="rect">
                      <a:avLst/>
                    </a:prstGeom>
                    <a:noFill/>
                    <a:ln>
                      <a:noFill/>
                    </a:ln>
                  </pic:spPr>
                </pic:pic>
              </a:graphicData>
            </a:graphic>
          </wp:inline>
        </w:drawing>
      </w:r>
    </w:p>
    <w:bookmarkEnd w:id="6"/>
    <w:bookmarkEnd w:id="10"/>
    <w:bookmarkEnd w:id="11"/>
    <w:p w14:paraId="76CF7A16" w14:textId="3642768B" w:rsidR="00A33C79" w:rsidRPr="00C574ED" w:rsidRDefault="00462666" w:rsidP="00A33C79">
      <w:pPr>
        <w:rPr>
          <w:rFonts w:ascii="Ping LCG Regular" w:hAnsi="Ping LCG Regular" w:cs="Arial"/>
          <w:spacing w:val="-14"/>
          <w:sz w:val="22"/>
          <w:szCs w:val="22"/>
          <w:lang w:val="el-GR"/>
        </w:rPr>
      </w:pPr>
      <w:r w:rsidRPr="00462666">
        <w:rPr>
          <w:rFonts w:ascii="Ping LCG Regular" w:hAnsi="Ping LCG Regular" w:cs="Arial"/>
          <w:spacing w:val="-14"/>
          <w:sz w:val="22"/>
          <w:szCs w:val="22"/>
          <w:lang w:val="el-GR"/>
        </w:rPr>
        <w:t xml:space="preserve"> </w:t>
      </w:r>
      <w:r w:rsidR="006F002F" w:rsidRPr="006F002F">
        <w:rPr>
          <w:rFonts w:ascii="Ping LCG Regular" w:hAnsi="Ping LCG Regular" w:cs="Arial"/>
          <w:spacing w:val="-14"/>
          <w:sz w:val="22"/>
          <w:szCs w:val="22"/>
          <w:lang w:val="el-GR"/>
        </w:rPr>
        <w:t xml:space="preserve"> </w:t>
      </w:r>
      <w:r w:rsidR="00A33C79" w:rsidRPr="00C574ED">
        <w:rPr>
          <w:rFonts w:ascii="Ping LCG Regular" w:hAnsi="Ping LCG Regular" w:cs="Arial"/>
          <w:spacing w:val="-14"/>
          <w:sz w:val="22"/>
          <w:szCs w:val="22"/>
          <w:lang w:val="el-GR"/>
        </w:rPr>
        <w:t xml:space="preserve"> </w:t>
      </w:r>
    </w:p>
    <w:p w14:paraId="108B9881" w14:textId="77777777" w:rsidR="00A33C79" w:rsidRPr="00C574ED" w:rsidRDefault="00A33C79" w:rsidP="00A33C79">
      <w:pPr>
        <w:rPr>
          <w:rFonts w:ascii="Ping LCG Regular" w:hAnsi="Ping LCG Regular" w:cs="Arial"/>
          <w:spacing w:val="-14"/>
          <w:sz w:val="22"/>
          <w:szCs w:val="22"/>
          <w:lang w:val="el-GR"/>
        </w:rPr>
      </w:pPr>
    </w:p>
    <w:p w14:paraId="56663FBD" w14:textId="12F58221" w:rsidR="00A33C79" w:rsidRPr="00872A1E" w:rsidRDefault="00A33C79" w:rsidP="00A33C79">
      <w:pPr>
        <w:widowControl w:val="0"/>
        <w:autoSpaceDE w:val="0"/>
        <w:autoSpaceDN w:val="0"/>
        <w:adjustRightInd w:val="0"/>
        <w:ind w:left="284" w:right="18" w:hanging="284"/>
        <w:jc w:val="both"/>
        <w:rPr>
          <w:rFonts w:ascii="Ping LCG Regular" w:hAnsi="Ping LCG Regular" w:cs="Arial"/>
          <w:iCs/>
          <w:color w:val="FF0000"/>
          <w:spacing w:val="-14"/>
          <w:sz w:val="22"/>
          <w:highlight w:val="yellow"/>
          <w:lang w:val="el-GR"/>
        </w:rPr>
      </w:pPr>
    </w:p>
    <w:p w14:paraId="2BA81C50" w14:textId="06FADC0E" w:rsidR="0067593D" w:rsidRDefault="0067593D">
      <w:pPr>
        <w:rPr>
          <w:rFonts w:ascii="Ping LCG Regular" w:hAnsi="Ping LCG Regular" w:cs="Arial"/>
          <w:iCs/>
          <w:spacing w:val="-14"/>
          <w:sz w:val="22"/>
          <w:highlight w:val="yellow"/>
          <w:lang w:val="el-GR"/>
        </w:rPr>
      </w:pPr>
      <w:r>
        <w:rPr>
          <w:rFonts w:ascii="Ping LCG Regular" w:hAnsi="Ping LCG Regular" w:cs="Arial"/>
          <w:iCs/>
          <w:spacing w:val="-14"/>
          <w:sz w:val="22"/>
          <w:highlight w:val="yellow"/>
          <w:lang w:val="el-GR"/>
        </w:rPr>
        <w:br w:type="page"/>
      </w:r>
    </w:p>
    <w:p w14:paraId="29334026" w14:textId="4A44B833" w:rsidR="00454FD8" w:rsidRPr="00FD35CF" w:rsidRDefault="00454FD8" w:rsidP="002124DF">
      <w:pPr>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lastRenderedPageBreak/>
        <w:t>Για περισσότερες πληροφορίες παρακαλούμε απευθυνθείτε στη Διεύθυνση Επενδυτικών Σχέσεων (</w:t>
      </w:r>
      <w:proofErr w:type="spellStart"/>
      <w:r w:rsidRPr="00FD35CF">
        <w:rPr>
          <w:rFonts w:ascii="Ping LCG Regular" w:hAnsi="Ping LCG Regular" w:cs="Arial"/>
          <w:spacing w:val="-14"/>
          <w:sz w:val="22"/>
          <w:szCs w:val="22"/>
        </w:rPr>
        <w:t>ir</w:t>
      </w:r>
      <w:proofErr w:type="spellEnd"/>
      <w:r w:rsidRPr="00FD35CF">
        <w:rPr>
          <w:rFonts w:ascii="Ping LCG Regular" w:hAnsi="Ping LCG Regular" w:cs="Arial"/>
          <w:spacing w:val="-14"/>
          <w:sz w:val="22"/>
          <w:szCs w:val="22"/>
          <w:lang w:val="el-GR"/>
        </w:rPr>
        <w:t>@</w:t>
      </w:r>
      <w:proofErr w:type="spellStart"/>
      <w:r w:rsidRPr="00FD35CF">
        <w:rPr>
          <w:rFonts w:ascii="Ping LCG Regular" w:hAnsi="Ping LCG Regular" w:cs="Arial"/>
          <w:spacing w:val="-14"/>
          <w:sz w:val="22"/>
          <w:szCs w:val="22"/>
        </w:rPr>
        <w:t>dei</w:t>
      </w:r>
      <w:proofErr w:type="spellEnd"/>
      <w:r w:rsidRPr="00FD35CF">
        <w:rPr>
          <w:rFonts w:ascii="Ping LCG Regular" w:hAnsi="Ping LCG Regular" w:cs="Arial"/>
          <w:spacing w:val="-14"/>
          <w:sz w:val="22"/>
          <w:szCs w:val="22"/>
          <w:lang w:val="el-GR"/>
        </w:rPr>
        <w:t>.</w:t>
      </w:r>
      <w:r w:rsidRPr="00FD35CF">
        <w:rPr>
          <w:rFonts w:ascii="Ping LCG Regular" w:hAnsi="Ping LCG Regular" w:cs="Arial"/>
          <w:spacing w:val="-14"/>
          <w:sz w:val="22"/>
          <w:szCs w:val="22"/>
        </w:rPr>
        <w:t>gr</w:t>
      </w:r>
      <w:r w:rsidRPr="00FD35CF">
        <w:rPr>
          <w:rFonts w:ascii="Ping LCG Regular" w:hAnsi="Ping LCG Regular" w:cs="Arial"/>
          <w:spacing w:val="-14"/>
          <w:sz w:val="22"/>
          <w:szCs w:val="22"/>
          <w:lang w:val="el-GR"/>
        </w:rPr>
        <w:t>):</w:t>
      </w:r>
    </w:p>
    <w:p w14:paraId="2E30B34B" w14:textId="77777777" w:rsidR="00454FD8" w:rsidRPr="00FD35CF" w:rsidRDefault="00454FD8" w:rsidP="00C574ED">
      <w:pPr>
        <w:pStyle w:val="af1"/>
        <w:numPr>
          <w:ilvl w:val="0"/>
          <w:numId w:val="17"/>
        </w:numPr>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 xml:space="preserve">κ. Ιωάννη </w:t>
      </w:r>
      <w:proofErr w:type="spellStart"/>
      <w:r w:rsidRPr="00FD35CF">
        <w:rPr>
          <w:rFonts w:ascii="Ping LCG Regular" w:hAnsi="Ping LCG Regular" w:cs="Arial"/>
          <w:spacing w:val="-14"/>
          <w:sz w:val="22"/>
          <w:szCs w:val="22"/>
        </w:rPr>
        <w:t>Στέφο</w:t>
      </w:r>
      <w:proofErr w:type="spellEnd"/>
      <w:r w:rsidRPr="00FD35CF">
        <w:rPr>
          <w:rFonts w:ascii="Ping LCG Regular" w:hAnsi="Ping LCG Regular" w:cs="Arial"/>
          <w:spacing w:val="-14"/>
          <w:sz w:val="22"/>
          <w:szCs w:val="22"/>
        </w:rPr>
        <w:t xml:space="preserve">, Διευθυντή Επενδυτικών Σχέσεων, </w:t>
      </w:r>
    </w:p>
    <w:p w14:paraId="1D5B14A6" w14:textId="0F33CA48" w:rsidR="00454FD8" w:rsidRPr="00FD35CF" w:rsidRDefault="000E26A3" w:rsidP="00C574ED">
      <w:pPr>
        <w:pStyle w:val="af1"/>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ab/>
      </w:r>
      <w:proofErr w:type="spellStart"/>
      <w:r w:rsidR="00454FD8" w:rsidRPr="00FD35CF">
        <w:rPr>
          <w:rFonts w:ascii="Ping LCG Regular" w:hAnsi="Ping LCG Regular" w:cs="Arial"/>
          <w:spacing w:val="-14"/>
          <w:sz w:val="22"/>
          <w:szCs w:val="22"/>
        </w:rPr>
        <w:t>τηλ</w:t>
      </w:r>
      <w:proofErr w:type="spellEnd"/>
      <w:r w:rsidR="00454FD8" w:rsidRPr="00FD35CF">
        <w:rPr>
          <w:rFonts w:ascii="Ping LCG Regular" w:hAnsi="Ping LCG Regular" w:cs="Arial"/>
          <w:spacing w:val="-14"/>
          <w:sz w:val="22"/>
          <w:szCs w:val="22"/>
          <w:lang w:val="en-US"/>
        </w:rPr>
        <w:t xml:space="preserve">. 210 5292153, e-mail: i.stefos@dei.gr, </w:t>
      </w:r>
      <w:r w:rsidR="00454FD8" w:rsidRPr="00FD35CF">
        <w:rPr>
          <w:rFonts w:ascii="Ping LCG Regular" w:hAnsi="Ping LCG Regular" w:cs="Arial"/>
          <w:spacing w:val="-14"/>
          <w:sz w:val="22"/>
          <w:szCs w:val="22"/>
        </w:rPr>
        <w:t xml:space="preserve"> και</w:t>
      </w:r>
    </w:p>
    <w:p w14:paraId="4A33D3F5" w14:textId="77777777" w:rsidR="00454FD8" w:rsidRPr="00FD35CF" w:rsidRDefault="00454FD8" w:rsidP="00C574ED">
      <w:pPr>
        <w:pStyle w:val="af1"/>
        <w:numPr>
          <w:ilvl w:val="0"/>
          <w:numId w:val="17"/>
        </w:numPr>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 xml:space="preserve">κ. Εμμανουήλ Χατζάκη, Διευθυντή Κλάδου Σχέσεων με Αγορές, </w:t>
      </w:r>
    </w:p>
    <w:p w14:paraId="3CA133C4" w14:textId="23A56A3E" w:rsidR="000E26A3" w:rsidRPr="00FD35CF" w:rsidRDefault="000E26A3" w:rsidP="00C574ED">
      <w:pPr>
        <w:pStyle w:val="af1"/>
        <w:ind w:left="426" w:hanging="426"/>
        <w:jc w:val="both"/>
        <w:rPr>
          <w:rFonts w:ascii="Ping LCG Regular" w:hAnsi="Ping LCG Regular" w:cs="Arial"/>
          <w:spacing w:val="-14"/>
          <w:sz w:val="22"/>
          <w:szCs w:val="22"/>
          <w:lang w:val="en-US"/>
        </w:rPr>
      </w:pPr>
      <w:r w:rsidRPr="00FD35CF">
        <w:rPr>
          <w:rFonts w:ascii="Ping LCG Regular" w:hAnsi="Ping LCG Regular" w:cs="Arial"/>
          <w:spacing w:val="-14"/>
          <w:sz w:val="22"/>
          <w:szCs w:val="22"/>
        </w:rPr>
        <w:tab/>
      </w:r>
      <w:proofErr w:type="spellStart"/>
      <w:r w:rsidR="00454FD8" w:rsidRPr="00FD35CF">
        <w:rPr>
          <w:rFonts w:ascii="Ping LCG Regular" w:hAnsi="Ping LCG Regular" w:cs="Arial"/>
          <w:spacing w:val="-14"/>
          <w:sz w:val="22"/>
          <w:szCs w:val="22"/>
        </w:rPr>
        <w:t>τηλ</w:t>
      </w:r>
      <w:proofErr w:type="spellEnd"/>
      <w:r w:rsidR="00454FD8" w:rsidRPr="00FD35CF">
        <w:rPr>
          <w:rFonts w:ascii="Ping LCG Regular" w:hAnsi="Ping LCG Regular" w:cs="Arial"/>
          <w:spacing w:val="-14"/>
          <w:sz w:val="22"/>
          <w:szCs w:val="22"/>
          <w:lang w:val="en-US"/>
        </w:rPr>
        <w:t xml:space="preserve">. 210 5235832, e-mail: </w:t>
      </w:r>
      <w:hyperlink r:id="rId16" w:history="1">
        <w:r w:rsidR="00A04BBB" w:rsidRPr="003F02CA">
          <w:rPr>
            <w:rStyle w:val="-"/>
            <w:rFonts w:ascii="Ping LCG Regular" w:hAnsi="Ping LCG Regular" w:cs="Arial"/>
            <w:spacing w:val="-14"/>
            <w:sz w:val="22"/>
            <w:szCs w:val="22"/>
            <w:lang w:val="en-US"/>
          </w:rPr>
          <w:t>e.chatzakis@dei.gr</w:t>
        </w:r>
      </w:hyperlink>
      <w:r w:rsidR="00454FD8" w:rsidRPr="00FD35CF">
        <w:rPr>
          <w:rFonts w:ascii="Ping LCG Regular" w:hAnsi="Ping LCG Regular" w:cs="Arial"/>
          <w:spacing w:val="-14"/>
          <w:sz w:val="22"/>
          <w:szCs w:val="22"/>
          <w:lang w:val="en-US"/>
        </w:rPr>
        <w:t>.</w:t>
      </w:r>
    </w:p>
    <w:p w14:paraId="388076DB" w14:textId="7CB3F2FD" w:rsidR="00E32210" w:rsidRPr="00FD35CF" w:rsidRDefault="00E32210" w:rsidP="00C574ED">
      <w:pPr>
        <w:pStyle w:val="af1"/>
        <w:ind w:left="426" w:hanging="426"/>
        <w:jc w:val="both"/>
        <w:rPr>
          <w:sz w:val="22"/>
          <w:szCs w:val="22"/>
          <w:highlight w:val="yellow"/>
          <w:lang w:val="en-US"/>
        </w:rPr>
      </w:pPr>
    </w:p>
    <w:p w14:paraId="6713FD94" w14:textId="77777777" w:rsidR="000A2A5C" w:rsidRPr="00FD35CF" w:rsidRDefault="000A2A5C" w:rsidP="000A2A5C">
      <w:pPr>
        <w:spacing w:after="200" w:line="276" w:lineRule="auto"/>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Το Δελτίο Τύπου είναι διαθέσιμο στον διαδικτυακό τόπο της ΔΕΗ Α.Ε (</w:t>
      </w:r>
      <w:hyperlink r:id="rId17" w:history="1">
        <w:r w:rsidRPr="00FD35CF">
          <w:rPr>
            <w:rStyle w:val="-"/>
            <w:rFonts w:ascii="Ping LCG Regular" w:hAnsi="Ping LCG Regular" w:cs="Arial"/>
            <w:spacing w:val="-14"/>
            <w:sz w:val="22"/>
            <w:szCs w:val="22"/>
          </w:rPr>
          <w:t>www</w:t>
        </w:r>
        <w:r w:rsidRPr="00FD35CF">
          <w:rPr>
            <w:rStyle w:val="-"/>
            <w:rFonts w:ascii="Ping LCG Regular" w:hAnsi="Ping LCG Regular"/>
            <w:sz w:val="22"/>
            <w:szCs w:val="22"/>
            <w:lang w:val="el-GR"/>
          </w:rPr>
          <w:t>.</w:t>
        </w:r>
        <w:proofErr w:type="spellStart"/>
        <w:r w:rsidRPr="00FD35CF">
          <w:rPr>
            <w:rStyle w:val="-"/>
            <w:rFonts w:ascii="Ping LCG Regular" w:hAnsi="Ping LCG Regular" w:cs="Arial"/>
            <w:spacing w:val="-14"/>
            <w:sz w:val="22"/>
            <w:szCs w:val="22"/>
          </w:rPr>
          <w:t>dei</w:t>
        </w:r>
        <w:proofErr w:type="spellEnd"/>
        <w:r w:rsidRPr="00FD35CF">
          <w:rPr>
            <w:rStyle w:val="-"/>
            <w:rFonts w:ascii="Ping LCG Regular" w:hAnsi="Ping LCG Regular"/>
            <w:sz w:val="22"/>
            <w:szCs w:val="22"/>
            <w:lang w:val="el-GR"/>
          </w:rPr>
          <w:t>.</w:t>
        </w:r>
        <w:r w:rsidRPr="00FD35CF">
          <w:rPr>
            <w:rStyle w:val="-"/>
            <w:rFonts w:ascii="Ping LCG Regular" w:hAnsi="Ping LCG Regular" w:cs="Arial"/>
            <w:spacing w:val="-14"/>
            <w:sz w:val="22"/>
            <w:szCs w:val="22"/>
          </w:rPr>
          <w:t>gr</w:t>
        </w:r>
      </w:hyperlink>
      <w:r w:rsidRPr="00FD35CF">
        <w:rPr>
          <w:rFonts w:ascii="Ping LCG Regular" w:hAnsi="Ping LCG Regular" w:cs="Arial"/>
          <w:spacing w:val="-14"/>
          <w:sz w:val="22"/>
          <w:szCs w:val="22"/>
          <w:lang w:val="el-GR"/>
        </w:rPr>
        <w:t xml:space="preserve">) στην ενότητα “Επενδυτικές Σχέσεις”. </w:t>
      </w:r>
    </w:p>
    <w:p w14:paraId="04F4043D" w14:textId="77777777" w:rsidR="000A2A5C" w:rsidRPr="00FD35CF" w:rsidRDefault="000A2A5C" w:rsidP="000A2A5C">
      <w:pPr>
        <w:spacing w:after="200" w:line="276" w:lineRule="auto"/>
        <w:jc w:val="both"/>
        <w:rPr>
          <w:rFonts w:ascii="Ping LCG Regular" w:hAnsi="Ping LCG Regular" w:cs="Arial"/>
          <w:b/>
          <w:bCs/>
          <w:spacing w:val="-14"/>
          <w:sz w:val="22"/>
          <w:szCs w:val="22"/>
          <w:lang w:val="el-GR"/>
        </w:rPr>
      </w:pPr>
      <w:r w:rsidRPr="00FD35CF">
        <w:rPr>
          <w:rFonts w:ascii="Ping LCG Regular" w:hAnsi="Ping LCG Regular" w:cs="Arial"/>
          <w:b/>
          <w:bCs/>
          <w:spacing w:val="-14"/>
          <w:sz w:val="22"/>
          <w:szCs w:val="22"/>
          <w:lang w:val="el-GR"/>
        </w:rPr>
        <w:t>Σχετικά με τη Δημόσια Επιχείρηση Ηλεκτρισμού Α.Ε.</w:t>
      </w:r>
    </w:p>
    <w:p w14:paraId="20535A19" w14:textId="30787716" w:rsidR="000A2A5C" w:rsidRPr="00FD35CF" w:rsidRDefault="000A2A5C" w:rsidP="000A2A5C">
      <w:pPr>
        <w:spacing w:after="120"/>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Η Δ.Ε.Η. είναι ο μεγαλύτερος παραγωγός και προμηθευτής ηλεκτρικής ενέργειας στην Ελλάδα με παραγωγικό δυναμικό 11,</w:t>
      </w:r>
      <w:r w:rsidR="001170AD" w:rsidRPr="00FD35CF">
        <w:rPr>
          <w:rFonts w:ascii="Ping LCG Regular" w:hAnsi="Ping LCG Regular" w:cs="Arial"/>
          <w:spacing w:val="-14"/>
          <w:sz w:val="22"/>
          <w:szCs w:val="22"/>
          <w:lang w:val="el-GR"/>
        </w:rPr>
        <w:t>2</w:t>
      </w:r>
      <w:r w:rsidRPr="00FD35CF">
        <w:rPr>
          <w:rFonts w:ascii="Ping LCG Regular" w:hAnsi="Ping LCG Regular" w:cs="Arial"/>
          <w:spacing w:val="-14"/>
          <w:sz w:val="22"/>
          <w:szCs w:val="22"/>
          <w:lang w:val="el-GR"/>
        </w:rPr>
        <w:t xml:space="preserve"> GW, εξυπηρετώντας περίπου 5,6 εκατ. καταναλωτές. Επιπλέον, η Δ.Ε.Η. κατέχει το 51% των μετοχών του Διαχειριστή Ελληνικού Δικτύου Διανομής Ηλεκτρικής Ενέργειας Α.Ε., που είναι ο αποκλειστικός κύριος και διαχειριστής του δικτύου διανομής ηλεκτρικής ενέργειας της χώρας. Για περισσότερα από 70 χρόνια, η Δ.Ε.Η. παραμένει στο προσκήνιο της αγοράς ηλεκτρικής ενέργειας της Ελλάδας και αποτελεί ένα αναπόσπαστο κομμάτι της διαδικασίας εξηλεκτρισμού όλης της χώρας. Η Δ.Ε.Η. είναι εισηγμένη εταιρεία και οι μετοχές της αποτελούν αντικείμενο διαπραγμάτευσης στην Κύρια Αγορά του Χρηματιστηρίου Αθηνών.</w:t>
      </w:r>
    </w:p>
    <w:p w14:paraId="38B444ED" w14:textId="77777777" w:rsidR="000A2A5C" w:rsidRPr="00FD35CF" w:rsidRDefault="000A2A5C" w:rsidP="000A2A5C">
      <w:pPr>
        <w:spacing w:after="120"/>
        <w:jc w:val="both"/>
        <w:rPr>
          <w:rFonts w:ascii="Ping LCG Regular" w:hAnsi="Ping LCG Regular" w:cs="Arial"/>
          <w:spacing w:val="-14"/>
          <w:sz w:val="22"/>
          <w:szCs w:val="22"/>
          <w:lang w:val="el-GR"/>
        </w:rPr>
      </w:pPr>
    </w:p>
    <w:p w14:paraId="76C51BC0" w14:textId="77777777" w:rsidR="000A2A5C" w:rsidRPr="00FD35CF" w:rsidRDefault="000A2A5C" w:rsidP="000A2A5C">
      <w:pPr>
        <w:spacing w:after="200"/>
        <w:jc w:val="both"/>
        <w:rPr>
          <w:rFonts w:ascii="Ping LCG Regular" w:hAnsi="Ping LCG Regular" w:cs="Arial"/>
          <w:b/>
          <w:bCs/>
          <w:spacing w:val="-14"/>
          <w:sz w:val="22"/>
          <w:szCs w:val="22"/>
          <w:lang w:val="el-GR"/>
        </w:rPr>
      </w:pPr>
      <w:r w:rsidRPr="00FD35CF">
        <w:rPr>
          <w:rFonts w:ascii="Ping LCG Regular" w:hAnsi="Ping LCG Regular" w:cs="Arial"/>
          <w:b/>
          <w:bCs/>
          <w:spacing w:val="-14"/>
          <w:sz w:val="22"/>
          <w:szCs w:val="22"/>
          <w:lang w:val="el-GR"/>
        </w:rPr>
        <w:t>Δήλωση αποποίησης ευθύνης</w:t>
      </w:r>
    </w:p>
    <w:p w14:paraId="02C684EC" w14:textId="77777777" w:rsidR="000A2A5C" w:rsidRPr="00FD35CF" w:rsidRDefault="000A2A5C" w:rsidP="000A2A5C">
      <w:pPr>
        <w:spacing w:after="200"/>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 xml:space="preserve">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  </w:t>
      </w:r>
    </w:p>
    <w:p w14:paraId="14E60211" w14:textId="010EAD09" w:rsidR="000A2A5C" w:rsidRPr="00FD35CF" w:rsidRDefault="000A2A5C" w:rsidP="000A2A5C">
      <w:pPr>
        <w:spacing w:after="200"/>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 xml:space="preserve">Αυτές οι δηλώσεις που αφορούν μελλοντικά γεγονότα υπόκεινται, μεταξύ άλλων, i) στους επιχειρηματικούς, οικονομικούς και ανταγωνιστικούς κινδύνους, </w:t>
      </w:r>
      <w:r w:rsidR="00955A52" w:rsidRPr="00FD35CF">
        <w:rPr>
          <w:rFonts w:ascii="Ping LCG Regular" w:hAnsi="Ping LCG Regular" w:cs="Arial"/>
          <w:spacing w:val="-14"/>
          <w:sz w:val="22"/>
          <w:szCs w:val="22"/>
        </w:rPr>
        <w:t>ii</w:t>
      </w:r>
      <w:r w:rsidR="00955A5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στις μακροοικονομικές συνθήκες, </w:t>
      </w:r>
      <w:proofErr w:type="spellStart"/>
      <w:r w:rsidRPr="00FD35CF">
        <w:rPr>
          <w:rFonts w:ascii="Ping LCG Regular" w:hAnsi="Ping LCG Regular" w:cs="Arial"/>
          <w:spacing w:val="-14"/>
          <w:sz w:val="22"/>
          <w:szCs w:val="22"/>
          <w:lang w:val="el-GR"/>
        </w:rPr>
        <w:t>iii</w:t>
      </w:r>
      <w:proofErr w:type="spellEnd"/>
      <w:r w:rsidRPr="00FD35CF">
        <w:rPr>
          <w:rFonts w:ascii="Ping LCG Regular" w:hAnsi="Ping LCG Regular" w:cs="Arial"/>
          <w:spacing w:val="-14"/>
          <w:sz w:val="22"/>
          <w:szCs w:val="22"/>
          <w:lang w:val="el-GR"/>
        </w:rPr>
        <w:t xml:space="preserve">) στη διακύμανση του ευρώ έναντι της συναλλαγματικής ισοτιμίας του δολαρίου ΗΠΑ, </w:t>
      </w:r>
      <w:proofErr w:type="spellStart"/>
      <w:r w:rsidRPr="00FD35CF">
        <w:rPr>
          <w:rFonts w:ascii="Ping LCG Regular" w:hAnsi="Ping LCG Regular" w:cs="Arial"/>
          <w:spacing w:val="-14"/>
          <w:sz w:val="22"/>
          <w:szCs w:val="22"/>
          <w:lang w:val="el-GR"/>
        </w:rPr>
        <w:t>iv</w:t>
      </w:r>
      <w:proofErr w:type="spellEnd"/>
      <w:r w:rsidRPr="00FD35CF">
        <w:rPr>
          <w:rFonts w:ascii="Ping LCG Regular" w:hAnsi="Ping LCG Regular" w:cs="Arial"/>
          <w:spacing w:val="-14"/>
          <w:sz w:val="22"/>
          <w:szCs w:val="22"/>
          <w:lang w:val="el-GR"/>
        </w:rPr>
        <w:t>) στις τιμές πετρελαίου, φυσικού αερίου και ηλεκτρικής ενέργειας και στην τιμή των δικαιωμάτων εκπομπών CO</w:t>
      </w:r>
      <w:r w:rsidRPr="00FD35CF">
        <w:rPr>
          <w:rFonts w:ascii="Ping LCG Regular" w:hAnsi="Ping LCG Regular" w:cs="Arial"/>
          <w:spacing w:val="-14"/>
          <w:sz w:val="22"/>
          <w:szCs w:val="22"/>
          <w:vertAlign w:val="subscript"/>
          <w:lang w:val="el-GR"/>
        </w:rPr>
        <w:t>2</w:t>
      </w:r>
      <w:r w:rsidRPr="00FD35CF">
        <w:rPr>
          <w:rFonts w:ascii="Ping LCG Regular" w:hAnsi="Ping LCG Regular" w:cs="Arial"/>
          <w:spacing w:val="-14"/>
          <w:sz w:val="22"/>
          <w:szCs w:val="22"/>
          <w:lang w:val="el-GR"/>
        </w:rPr>
        <w:t>, v) στις αλλαγές του τοπίου της αγοράς και του νομικού, κανονιστικού</w:t>
      </w:r>
      <w:r w:rsidR="000468F6">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φορολογικού </w:t>
      </w:r>
      <w:r w:rsidR="003A5F72">
        <w:rPr>
          <w:rFonts w:ascii="Ping LCG Regular" w:hAnsi="Ping LCG Regular" w:cs="Arial"/>
          <w:spacing w:val="-14"/>
          <w:sz w:val="22"/>
          <w:szCs w:val="22"/>
          <w:lang w:val="el-GR"/>
        </w:rPr>
        <w:t xml:space="preserve">και δημοσιονομικού </w:t>
      </w:r>
      <w:r w:rsidRPr="00FD35CF">
        <w:rPr>
          <w:rFonts w:ascii="Ping LCG Regular" w:hAnsi="Ping LCG Regular" w:cs="Arial"/>
          <w:spacing w:val="-14"/>
          <w:sz w:val="22"/>
          <w:szCs w:val="22"/>
          <w:lang w:val="el-GR"/>
        </w:rPr>
        <w:t xml:space="preserve">τοπίου, </w:t>
      </w:r>
      <w:proofErr w:type="spellStart"/>
      <w:r w:rsidRPr="00FD35CF">
        <w:rPr>
          <w:rFonts w:ascii="Ping LCG Regular" w:hAnsi="Ping LCG Regular" w:cs="Arial"/>
          <w:spacing w:val="-14"/>
          <w:sz w:val="22"/>
          <w:szCs w:val="22"/>
          <w:lang w:val="el-GR"/>
        </w:rPr>
        <w:t>vi</w:t>
      </w:r>
      <w:proofErr w:type="spellEnd"/>
      <w:r w:rsidRPr="00FD35CF">
        <w:rPr>
          <w:rFonts w:ascii="Ping LCG Regular" w:hAnsi="Ping LCG Regular" w:cs="Arial"/>
          <w:spacing w:val="-14"/>
          <w:sz w:val="22"/>
          <w:szCs w:val="22"/>
          <w:lang w:val="el-GR"/>
        </w:rPr>
        <w:t>) στην εξέλιξη του επισφαλούς χρέους, και</w:t>
      </w:r>
      <w:r w:rsidR="009D6A6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 </w:t>
      </w:r>
      <w:r w:rsidR="009D6A62" w:rsidRPr="00FD35CF">
        <w:rPr>
          <w:rFonts w:ascii="Ping LCG Regular" w:hAnsi="Ping LCG Regular" w:cs="Arial"/>
          <w:spacing w:val="-14"/>
          <w:sz w:val="22"/>
          <w:szCs w:val="22"/>
        </w:rPr>
        <w:t>vii</w:t>
      </w:r>
      <w:r w:rsidR="009D6A6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ανακοίνωση. Ως εκ τούτου, δεν θα πρέπει να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56E9FFB9" w14:textId="77777777" w:rsidR="000A2A5C" w:rsidRPr="00FD35CF" w:rsidRDefault="000A2A5C" w:rsidP="000A2A5C">
      <w:pPr>
        <w:spacing w:after="200"/>
        <w:jc w:val="both"/>
        <w:rPr>
          <w:rFonts w:ascii="Ping LCG Regular" w:hAnsi="Ping LCG Regular"/>
          <w:sz w:val="22"/>
          <w:szCs w:val="22"/>
          <w:lang w:val="el-GR"/>
        </w:rPr>
      </w:pPr>
      <w:r w:rsidRPr="00FD35CF">
        <w:rPr>
          <w:rFonts w:ascii="Ping LCG Regular" w:hAnsi="Ping LCG Regular" w:cs="Arial"/>
          <w:spacing w:val="-14"/>
          <w:sz w:val="22"/>
          <w:szCs w:val="22"/>
          <w:lang w:val="el-GR"/>
        </w:rPr>
        <w:t xml:space="preserve">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  </w:t>
      </w:r>
    </w:p>
    <w:p w14:paraId="05C57CD9" w14:textId="77777777" w:rsidR="00C54E27" w:rsidRPr="0067593D" w:rsidRDefault="00C54E27">
      <w:pPr>
        <w:rPr>
          <w:rFonts w:ascii="Ping LCG Regular" w:hAnsi="Ping LCG Regular" w:cs="Arial"/>
          <w:b/>
          <w:bCs/>
          <w:color w:val="000000"/>
          <w:sz w:val="20"/>
          <w:szCs w:val="20"/>
          <w:lang w:val="el-GR"/>
        </w:rPr>
      </w:pPr>
      <w:r w:rsidRPr="0067593D">
        <w:rPr>
          <w:rFonts w:ascii="Ping LCG Regular" w:hAnsi="Ping LCG Regular" w:cs="Arial"/>
          <w:b/>
          <w:bCs/>
          <w:color w:val="000000"/>
          <w:sz w:val="20"/>
          <w:szCs w:val="20"/>
          <w:lang w:val="el-GR"/>
        </w:rPr>
        <w:br w:type="page"/>
      </w:r>
    </w:p>
    <w:p w14:paraId="4042CBBB" w14:textId="4004733B" w:rsidR="007F61BC" w:rsidRPr="0067593D" w:rsidRDefault="007F61BC" w:rsidP="007F61BC">
      <w:pPr>
        <w:rPr>
          <w:rFonts w:ascii="Ping LCG Regular" w:hAnsi="Ping LCG Regular" w:cs="Arial"/>
          <w:b/>
          <w:bCs/>
          <w:color w:val="000000"/>
          <w:sz w:val="20"/>
          <w:szCs w:val="20"/>
          <w:lang w:val="el-GR"/>
        </w:rPr>
      </w:pPr>
      <w:r w:rsidRPr="0067593D">
        <w:rPr>
          <w:rFonts w:ascii="Ping LCG Regular" w:hAnsi="Ping LCG Regular" w:cs="Arial"/>
          <w:b/>
          <w:bCs/>
          <w:color w:val="000000"/>
          <w:sz w:val="20"/>
          <w:szCs w:val="20"/>
          <w:lang w:val="el-GR"/>
        </w:rPr>
        <w:lastRenderedPageBreak/>
        <w:t xml:space="preserve">ΠΑΡΑΡΤΗΜΑ Ι – ΣΥΝΟΠΤΙΚΕΣ ΕΝΟΠΟΙΗΜΕΝΕΣ </w:t>
      </w:r>
      <w:r w:rsidR="00CE13C2" w:rsidRPr="0067593D">
        <w:rPr>
          <w:rFonts w:ascii="Ping LCG Regular" w:hAnsi="Ping LCG Regular" w:cs="Arial"/>
          <w:b/>
          <w:bCs/>
          <w:color w:val="000000"/>
          <w:sz w:val="20"/>
          <w:szCs w:val="20"/>
          <w:lang w:val="el-GR"/>
        </w:rPr>
        <w:t>ΟΙΚ</w:t>
      </w:r>
      <w:r w:rsidR="00A470E5" w:rsidRPr="0067593D">
        <w:rPr>
          <w:rFonts w:ascii="Ping LCG Regular" w:hAnsi="Ping LCG Regular" w:cs="Arial"/>
          <w:b/>
          <w:bCs/>
          <w:color w:val="000000"/>
          <w:sz w:val="20"/>
          <w:szCs w:val="20"/>
          <w:lang w:val="el-GR"/>
        </w:rPr>
        <w:t>Ο</w:t>
      </w:r>
      <w:r w:rsidR="00CE13C2" w:rsidRPr="0067593D">
        <w:rPr>
          <w:rFonts w:ascii="Ping LCG Regular" w:hAnsi="Ping LCG Regular" w:cs="Arial"/>
          <w:b/>
          <w:bCs/>
          <w:color w:val="000000"/>
          <w:sz w:val="20"/>
          <w:szCs w:val="20"/>
          <w:lang w:val="el-GR"/>
        </w:rPr>
        <w:t xml:space="preserve">ΝΟΜΙΚΕΣ </w:t>
      </w:r>
      <w:r w:rsidR="00A470E5" w:rsidRPr="0067593D">
        <w:rPr>
          <w:rFonts w:ascii="Ping LCG Regular" w:hAnsi="Ping LCG Regular" w:cs="Arial"/>
          <w:b/>
          <w:bCs/>
          <w:color w:val="000000"/>
          <w:sz w:val="20"/>
          <w:szCs w:val="20"/>
          <w:lang w:val="el-GR"/>
        </w:rPr>
        <w:t>ΚΑΤΑΣΤΑΣΕΙΣ</w:t>
      </w:r>
    </w:p>
    <w:p w14:paraId="41CA367C" w14:textId="77777777" w:rsidR="009947B6" w:rsidRPr="0067593D" w:rsidRDefault="009947B6" w:rsidP="009947B6">
      <w:pPr>
        <w:rPr>
          <w:rFonts w:ascii="Ping LCG Regular" w:hAnsi="Ping LCG Regular" w:cs="Arial"/>
          <w:b/>
          <w:bCs/>
          <w:color w:val="000000"/>
          <w:sz w:val="20"/>
          <w:szCs w:val="20"/>
          <w:lang w:val="el-GR"/>
        </w:rPr>
      </w:pPr>
    </w:p>
    <w:p w14:paraId="1070F1DE" w14:textId="0B156CCF" w:rsidR="00DA00FF" w:rsidRPr="0067593D" w:rsidRDefault="00DA00FF" w:rsidP="009947B6">
      <w:pPr>
        <w:rPr>
          <w:rFonts w:ascii="Ping LCG Regular" w:hAnsi="Ping LCG Regular" w:cs="Arial"/>
          <w:b/>
          <w:spacing w:val="-14"/>
          <w:sz w:val="20"/>
          <w:szCs w:val="20"/>
          <w:lang w:val="el-GR"/>
        </w:rPr>
      </w:pPr>
      <w:r w:rsidRPr="0067593D">
        <w:rPr>
          <w:rFonts w:ascii="Ping LCG Regular" w:hAnsi="Ping LCG Regular" w:cs="Arial"/>
          <w:b/>
          <w:spacing w:val="-14"/>
          <w:sz w:val="20"/>
          <w:szCs w:val="20"/>
          <w:lang w:val="el-GR"/>
        </w:rPr>
        <w:t xml:space="preserve">Ενοποιημένη Κατάσταση  Χρηματοοικονομικής Θέσης </w:t>
      </w:r>
      <w:r w:rsidR="003855BF" w:rsidRPr="0067593D">
        <w:rPr>
          <w:rFonts w:ascii="Ping LCG Regular" w:hAnsi="Ping LCG Regular" w:cs="Arial"/>
          <w:b/>
          <w:spacing w:val="-14"/>
          <w:sz w:val="20"/>
          <w:szCs w:val="20"/>
          <w:lang w:val="el-GR"/>
        </w:rPr>
        <w:t>(Συνοπτική)</w:t>
      </w:r>
      <w:r w:rsidR="00525DCF" w:rsidRPr="0067593D">
        <w:rPr>
          <w:rFonts w:ascii="Ping LCG Regular" w:hAnsi="Ping LCG Regular" w:cs="Arial"/>
          <w:b/>
          <w:spacing w:val="-14"/>
          <w:sz w:val="20"/>
          <w:szCs w:val="20"/>
          <w:lang w:val="el-GR"/>
        </w:rPr>
        <w:t xml:space="preserve"> </w:t>
      </w:r>
    </w:p>
    <w:p w14:paraId="386628C0" w14:textId="5AB2DB52" w:rsidR="00A67665" w:rsidRPr="0067593D" w:rsidRDefault="00A67665" w:rsidP="009947B6">
      <w:pPr>
        <w:rPr>
          <w:rFonts w:ascii="Ping LCG Regular" w:hAnsi="Ping LCG Regular" w:cs="Arial"/>
          <w:b/>
          <w:spacing w:val="-14"/>
          <w:sz w:val="20"/>
          <w:szCs w:val="20"/>
          <w:lang w:val="el-GR"/>
        </w:rPr>
      </w:pPr>
    </w:p>
    <w:p w14:paraId="5CC7762F" w14:textId="1966B70E" w:rsidR="000C11E4" w:rsidRPr="0067593D" w:rsidRDefault="00317A3C">
      <w:pPr>
        <w:rPr>
          <w:rFonts w:ascii="Ping LCG Regular" w:hAnsi="Ping LCG Regular" w:cs="Arial"/>
          <w:b/>
          <w:spacing w:val="-14"/>
          <w:sz w:val="20"/>
          <w:szCs w:val="20"/>
          <w:lang w:val="el-GR"/>
        </w:rPr>
      </w:pPr>
      <w:r w:rsidRPr="0067593D">
        <w:rPr>
          <w:rFonts w:ascii="Ping LCG Regular" w:hAnsi="Ping LCG Regular" w:cs="Arial"/>
          <w:b/>
          <w:spacing w:val="-14"/>
          <w:sz w:val="20"/>
          <w:szCs w:val="20"/>
          <w:lang w:val="el-GR"/>
        </w:rPr>
        <w:t xml:space="preserve"> </w:t>
      </w:r>
      <w:r w:rsidR="00D771BB" w:rsidRPr="00D771BB">
        <w:rPr>
          <w:rFonts w:ascii="Ping LCG Regular" w:hAnsi="Ping LCG Regular" w:cs="Arial"/>
          <w:b/>
          <w:spacing w:val="-14"/>
          <w:sz w:val="20"/>
          <w:szCs w:val="20"/>
          <w:lang w:val="el-GR"/>
        </w:rPr>
        <w:t xml:space="preserve"> </w:t>
      </w:r>
      <w:r w:rsidR="00D771BB" w:rsidRPr="00D771BB">
        <w:rPr>
          <w:noProof/>
        </w:rPr>
        <w:drawing>
          <wp:inline distT="0" distB="0" distL="0" distR="0" wp14:anchorId="1AC52638" wp14:editId="566297C2">
            <wp:extent cx="6210935" cy="5123815"/>
            <wp:effectExtent l="0" t="0" r="0" b="63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5123815"/>
                    </a:xfrm>
                    <a:prstGeom prst="rect">
                      <a:avLst/>
                    </a:prstGeom>
                    <a:noFill/>
                    <a:ln>
                      <a:noFill/>
                    </a:ln>
                  </pic:spPr>
                </pic:pic>
              </a:graphicData>
            </a:graphic>
          </wp:inline>
        </w:drawing>
      </w:r>
    </w:p>
    <w:p w14:paraId="0AC76055" w14:textId="77777777" w:rsidR="000474D4" w:rsidRPr="0067593D" w:rsidRDefault="000474D4">
      <w:pPr>
        <w:rPr>
          <w:rFonts w:ascii="Ping LCG Regular" w:hAnsi="Ping LCG Regular" w:cs="Arial"/>
          <w:b/>
          <w:spacing w:val="-14"/>
          <w:sz w:val="20"/>
          <w:szCs w:val="20"/>
          <w:lang w:val="el-GR"/>
        </w:rPr>
      </w:pPr>
      <w:r w:rsidRPr="0067593D">
        <w:rPr>
          <w:rFonts w:ascii="Ping LCG Regular" w:hAnsi="Ping LCG Regular" w:cs="Arial"/>
          <w:b/>
          <w:spacing w:val="-14"/>
          <w:sz w:val="20"/>
          <w:szCs w:val="20"/>
          <w:lang w:val="el-GR"/>
        </w:rPr>
        <w:br w:type="page"/>
      </w:r>
    </w:p>
    <w:p w14:paraId="68096477" w14:textId="0002E993" w:rsidR="00DA00FF" w:rsidRPr="0067593D" w:rsidRDefault="00DA00FF" w:rsidP="00DA00FF">
      <w:pPr>
        <w:rPr>
          <w:rFonts w:ascii="Ping LCG Regular" w:hAnsi="Ping LCG Regular" w:cs="Arial"/>
          <w:b/>
          <w:spacing w:val="-14"/>
          <w:sz w:val="20"/>
          <w:szCs w:val="20"/>
          <w:lang w:val="el-GR"/>
        </w:rPr>
      </w:pPr>
      <w:r w:rsidRPr="0067593D">
        <w:rPr>
          <w:rFonts w:ascii="Ping LCG Regular" w:hAnsi="Ping LCG Regular" w:cs="Arial"/>
          <w:b/>
          <w:spacing w:val="-14"/>
          <w:sz w:val="20"/>
          <w:szCs w:val="20"/>
          <w:lang w:val="el-GR"/>
        </w:rPr>
        <w:lastRenderedPageBreak/>
        <w:t xml:space="preserve">Ενοποιημένη Κατάσταση Αποτελεσμάτων </w:t>
      </w:r>
      <w:r w:rsidR="003855BF" w:rsidRPr="0067593D">
        <w:rPr>
          <w:rFonts w:ascii="Ping LCG Regular" w:hAnsi="Ping LCG Regular" w:cs="Arial"/>
          <w:b/>
          <w:spacing w:val="-14"/>
          <w:sz w:val="20"/>
          <w:szCs w:val="20"/>
          <w:lang w:val="el-GR"/>
        </w:rPr>
        <w:t>(Συνοπτική)</w:t>
      </w:r>
    </w:p>
    <w:p w14:paraId="74E1CD10" w14:textId="77777777" w:rsidR="00CD38F1" w:rsidRPr="0067593D" w:rsidRDefault="00CD38F1" w:rsidP="00DA00FF">
      <w:pPr>
        <w:rPr>
          <w:rFonts w:ascii="Ping LCG Regular" w:hAnsi="Ping LCG Regular" w:cs="Arial"/>
          <w:b/>
          <w:spacing w:val="-14"/>
          <w:sz w:val="20"/>
          <w:szCs w:val="20"/>
          <w:lang w:val="el-GR"/>
        </w:rPr>
      </w:pPr>
    </w:p>
    <w:p w14:paraId="520E81E9" w14:textId="7F4CD9A1" w:rsidR="009144C1" w:rsidRPr="0067593D" w:rsidRDefault="00DF13D5">
      <w:pPr>
        <w:rPr>
          <w:rFonts w:ascii="Ping LCG Regular" w:hAnsi="Ping LCG Regular" w:cs="Arial"/>
          <w:b/>
          <w:spacing w:val="-14"/>
          <w:sz w:val="20"/>
          <w:szCs w:val="20"/>
          <w:lang w:val="el-GR"/>
        </w:rPr>
      </w:pPr>
      <w:r w:rsidRPr="00DF13D5">
        <w:rPr>
          <w:noProof/>
        </w:rPr>
        <w:drawing>
          <wp:inline distT="0" distB="0" distL="0" distR="0" wp14:anchorId="0B35E671" wp14:editId="7CF77489">
            <wp:extent cx="6210935" cy="438213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4382135"/>
                    </a:xfrm>
                    <a:prstGeom prst="rect">
                      <a:avLst/>
                    </a:prstGeom>
                    <a:noFill/>
                    <a:ln>
                      <a:noFill/>
                    </a:ln>
                  </pic:spPr>
                </pic:pic>
              </a:graphicData>
            </a:graphic>
          </wp:inline>
        </w:drawing>
      </w:r>
      <w:r w:rsidR="00D771BB" w:rsidRPr="00D771BB">
        <w:rPr>
          <w:sz w:val="20"/>
          <w:szCs w:val="20"/>
          <w:lang w:val="el-GR"/>
        </w:rPr>
        <w:t xml:space="preserve"> </w:t>
      </w:r>
      <w:r w:rsidR="001B129E" w:rsidRPr="0067593D">
        <w:rPr>
          <w:sz w:val="20"/>
          <w:szCs w:val="20"/>
          <w:lang w:val="el-GR"/>
        </w:rPr>
        <w:t xml:space="preserve"> </w:t>
      </w:r>
      <w:r w:rsidR="009144C1" w:rsidRPr="0067593D">
        <w:rPr>
          <w:rFonts w:ascii="Ping LCG Regular" w:hAnsi="Ping LCG Regular" w:cs="Arial"/>
          <w:b/>
          <w:spacing w:val="-14"/>
          <w:sz w:val="20"/>
          <w:szCs w:val="20"/>
          <w:lang w:val="el-GR"/>
        </w:rPr>
        <w:br w:type="page"/>
      </w:r>
    </w:p>
    <w:p w14:paraId="21159085" w14:textId="2A2B1698" w:rsidR="00DA00FF" w:rsidRPr="0067593D" w:rsidRDefault="00DA00FF" w:rsidP="00DA00FF">
      <w:pPr>
        <w:autoSpaceDE w:val="0"/>
        <w:autoSpaceDN w:val="0"/>
        <w:adjustRightInd w:val="0"/>
        <w:spacing w:line="276" w:lineRule="auto"/>
        <w:jc w:val="both"/>
        <w:rPr>
          <w:rFonts w:ascii="Ping LCG Regular" w:hAnsi="Ping LCG Regular" w:cs="Arial"/>
          <w:b/>
          <w:spacing w:val="-14"/>
          <w:sz w:val="20"/>
          <w:szCs w:val="20"/>
          <w:lang w:val="el-GR"/>
        </w:rPr>
      </w:pPr>
      <w:r w:rsidRPr="0067593D">
        <w:rPr>
          <w:rFonts w:ascii="Ping LCG Regular" w:hAnsi="Ping LCG Regular" w:cs="Arial"/>
          <w:b/>
          <w:spacing w:val="-14"/>
          <w:sz w:val="20"/>
          <w:szCs w:val="20"/>
          <w:lang w:val="el-GR"/>
        </w:rPr>
        <w:lastRenderedPageBreak/>
        <w:t xml:space="preserve">Ενοποιημένη κατάσταση ταμιακών ροών </w:t>
      </w:r>
      <w:r w:rsidR="003855BF" w:rsidRPr="0067593D">
        <w:rPr>
          <w:rFonts w:ascii="Ping LCG Regular" w:hAnsi="Ping LCG Regular" w:cs="Arial"/>
          <w:b/>
          <w:spacing w:val="-14"/>
          <w:sz w:val="20"/>
          <w:szCs w:val="20"/>
          <w:lang w:val="el-GR"/>
        </w:rPr>
        <w:t>(Συνοπτική)</w:t>
      </w:r>
    </w:p>
    <w:p w14:paraId="51EA39AC" w14:textId="784463C3" w:rsidR="00CA707B" w:rsidRPr="0067593D" w:rsidRDefault="00CA707B" w:rsidP="00DA00FF">
      <w:pPr>
        <w:autoSpaceDE w:val="0"/>
        <w:autoSpaceDN w:val="0"/>
        <w:adjustRightInd w:val="0"/>
        <w:spacing w:line="276" w:lineRule="auto"/>
        <w:jc w:val="both"/>
        <w:rPr>
          <w:rFonts w:ascii="Ping LCG Regular" w:hAnsi="Ping LCG Regular" w:cs="Arial"/>
          <w:b/>
          <w:spacing w:val="-14"/>
          <w:sz w:val="20"/>
          <w:szCs w:val="20"/>
          <w:lang w:val="el-GR"/>
        </w:rPr>
      </w:pPr>
    </w:p>
    <w:p w14:paraId="3FA4246D" w14:textId="39E7DDE3" w:rsidR="0016700B" w:rsidRPr="00050868" w:rsidRDefault="00A706BD" w:rsidP="00DA00FF">
      <w:pPr>
        <w:autoSpaceDE w:val="0"/>
        <w:autoSpaceDN w:val="0"/>
        <w:adjustRightInd w:val="0"/>
        <w:spacing w:line="276" w:lineRule="auto"/>
        <w:jc w:val="both"/>
        <w:rPr>
          <w:rFonts w:ascii="Ping LCG Regular" w:hAnsi="Ping LCG Regular" w:cs="Arial"/>
          <w:b/>
          <w:spacing w:val="-14"/>
          <w:sz w:val="20"/>
          <w:szCs w:val="20"/>
          <w:lang w:val="el-GR"/>
        </w:rPr>
      </w:pPr>
      <w:r w:rsidRPr="00A706BD">
        <w:rPr>
          <w:noProof/>
        </w:rPr>
        <w:drawing>
          <wp:inline distT="0" distB="0" distL="0" distR="0" wp14:anchorId="72C28E53" wp14:editId="428E12E9">
            <wp:extent cx="6210935" cy="6376670"/>
            <wp:effectExtent l="0" t="0" r="0" b="508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935" cy="6376670"/>
                    </a:xfrm>
                    <a:prstGeom prst="rect">
                      <a:avLst/>
                    </a:prstGeom>
                    <a:noFill/>
                    <a:ln>
                      <a:noFill/>
                    </a:ln>
                  </pic:spPr>
                </pic:pic>
              </a:graphicData>
            </a:graphic>
          </wp:inline>
        </w:drawing>
      </w:r>
      <w:r w:rsidR="00D06354" w:rsidRPr="00D06354">
        <w:rPr>
          <w:rFonts w:ascii="Ping LCG Regular" w:hAnsi="Ping LCG Regular" w:cs="Arial"/>
          <w:b/>
          <w:spacing w:val="-14"/>
          <w:sz w:val="20"/>
          <w:szCs w:val="20"/>
          <w:lang w:val="el-GR"/>
        </w:rPr>
        <w:t xml:space="preserve"> </w:t>
      </w:r>
    </w:p>
    <w:p w14:paraId="000111AB" w14:textId="707DD046" w:rsidR="002F39FA" w:rsidRPr="0067593D" w:rsidRDefault="002F39FA" w:rsidP="00DA00FF">
      <w:pPr>
        <w:autoSpaceDE w:val="0"/>
        <w:autoSpaceDN w:val="0"/>
        <w:adjustRightInd w:val="0"/>
        <w:spacing w:line="276" w:lineRule="auto"/>
        <w:jc w:val="both"/>
        <w:rPr>
          <w:rFonts w:ascii="Ping LCG Regular" w:hAnsi="Ping LCG Regular" w:cs="Arial"/>
          <w:b/>
          <w:spacing w:val="-14"/>
          <w:sz w:val="20"/>
          <w:szCs w:val="20"/>
          <w:lang w:val="el-GR"/>
        </w:rPr>
      </w:pPr>
    </w:p>
    <w:p w14:paraId="170F3A21" w14:textId="326454DE" w:rsidR="00447A67" w:rsidRPr="0067593D" w:rsidRDefault="00A470E5">
      <w:pPr>
        <w:rPr>
          <w:rFonts w:ascii="Ping LCG Regular" w:hAnsi="Ping LCG Regular" w:cs="Arial"/>
          <w:b/>
          <w:bCs/>
          <w:color w:val="000000"/>
          <w:sz w:val="20"/>
          <w:szCs w:val="20"/>
          <w:lang w:val="el-GR"/>
        </w:rPr>
      </w:pPr>
      <w:r w:rsidRPr="0067593D">
        <w:rPr>
          <w:rFonts w:ascii="Ping LCG Regular" w:hAnsi="Ping LCG Regular" w:cs="Arial"/>
          <w:b/>
          <w:bCs/>
          <w:color w:val="000000"/>
          <w:sz w:val="20"/>
          <w:szCs w:val="20"/>
          <w:lang w:val="el-GR"/>
        </w:rPr>
        <w:br w:type="page"/>
      </w:r>
    </w:p>
    <w:p w14:paraId="2BF6C777" w14:textId="4ECF907D" w:rsidR="00BC644E" w:rsidRPr="00E765D9" w:rsidRDefault="00592B46" w:rsidP="0075043E">
      <w:pPr>
        <w:autoSpaceDE w:val="0"/>
        <w:autoSpaceDN w:val="0"/>
        <w:adjustRightInd w:val="0"/>
        <w:spacing w:after="160"/>
        <w:rPr>
          <w:rFonts w:ascii="Ping LCG Regular" w:hAnsi="Ping LCG Regular" w:cs="Arial"/>
          <w:b/>
          <w:color w:val="000000"/>
          <w:sz w:val="20"/>
          <w:szCs w:val="20"/>
          <w:lang w:val="el-GR"/>
        </w:rPr>
      </w:pPr>
      <w:r w:rsidRPr="00C01CB3">
        <w:rPr>
          <w:rFonts w:ascii="Ping LCG Regular" w:hAnsi="Ping LCG Regular" w:cs="Arial"/>
          <w:b/>
          <w:bCs/>
          <w:color w:val="000000"/>
          <w:sz w:val="20"/>
          <w:szCs w:val="20"/>
          <w:lang w:val="el-GR"/>
        </w:rPr>
        <w:lastRenderedPageBreak/>
        <w:t>ΠΑΡΑΡΤΗΜΑ Ι</w:t>
      </w:r>
      <w:r w:rsidR="00A9023D" w:rsidRPr="00C01CB3">
        <w:rPr>
          <w:rFonts w:ascii="Ping LCG Regular" w:hAnsi="Ping LCG Regular" w:cs="Arial"/>
          <w:b/>
          <w:bCs/>
          <w:color w:val="000000"/>
          <w:sz w:val="20"/>
          <w:szCs w:val="20"/>
          <w:lang w:val="el-GR"/>
        </w:rPr>
        <w:t>Ι</w:t>
      </w:r>
      <w:r w:rsidRPr="00C01CB3">
        <w:rPr>
          <w:rFonts w:ascii="Ping LCG Regular" w:hAnsi="Ping LCG Regular" w:cs="Arial"/>
          <w:b/>
          <w:bCs/>
          <w:color w:val="000000"/>
          <w:sz w:val="20"/>
          <w:szCs w:val="20"/>
          <w:lang w:val="el-GR"/>
        </w:rPr>
        <w:t xml:space="preserve"> </w:t>
      </w:r>
      <w:r w:rsidR="00BC644E" w:rsidRPr="00C01CB3">
        <w:rPr>
          <w:rFonts w:ascii="Ping LCG Regular" w:hAnsi="Ping LCG Regular" w:cs="Arial"/>
          <w:b/>
          <w:bCs/>
          <w:color w:val="000000"/>
          <w:sz w:val="20"/>
          <w:szCs w:val="20"/>
          <w:lang w:val="el-GR"/>
        </w:rPr>
        <w:t xml:space="preserve">- </w:t>
      </w:r>
      <w:r w:rsidR="00BC644E" w:rsidRPr="00E765D9">
        <w:rPr>
          <w:rFonts w:ascii="Ping LCG Regular" w:hAnsi="Ping LCG Regular" w:cs="Arial"/>
          <w:b/>
          <w:color w:val="000000"/>
          <w:sz w:val="20"/>
          <w:szCs w:val="20"/>
          <w:lang w:val="el-GR"/>
        </w:rPr>
        <w:t>Ορισμοί και συμφωνία των Εναλλακτικών Δεικτών Μέτρησης Απόδοσης (“ΕΔΜΑ”)</w:t>
      </w:r>
    </w:p>
    <w:p w14:paraId="2FE03C7D" w14:textId="77777777" w:rsidR="00861515" w:rsidRPr="00C01CB3" w:rsidRDefault="00861515" w:rsidP="0075043E">
      <w:pPr>
        <w:autoSpaceDE w:val="0"/>
        <w:autoSpaceDN w:val="0"/>
        <w:adjustRightInd w:val="0"/>
        <w:rPr>
          <w:rFonts w:ascii="Ping LCG Regular" w:hAnsi="Ping LCG Regular" w:cs="Arial"/>
          <w:b/>
          <w:color w:val="000000"/>
          <w:sz w:val="20"/>
          <w:szCs w:val="20"/>
          <w:lang w:val="el-GR"/>
        </w:rPr>
      </w:pPr>
    </w:p>
    <w:p w14:paraId="67B18999" w14:textId="77777777" w:rsidR="00F100CD" w:rsidRPr="00EA7607" w:rsidRDefault="00F100CD" w:rsidP="0075043E">
      <w:pPr>
        <w:autoSpaceDE w:val="0"/>
        <w:autoSpaceDN w:val="0"/>
        <w:adjustRightInd w:val="0"/>
        <w:rPr>
          <w:rFonts w:ascii="Ping LCG Regular" w:hAnsi="Ping LCG Regular" w:cs="Arial"/>
          <w:b/>
          <w:color w:val="000000"/>
          <w:sz w:val="20"/>
          <w:szCs w:val="20"/>
          <w:lang w:val="el-GR"/>
        </w:rPr>
      </w:pPr>
      <w:r w:rsidRPr="00EA7607">
        <w:rPr>
          <w:rFonts w:ascii="Ping LCG Regular" w:hAnsi="Ping LCG Regular" w:cs="Arial"/>
          <w:b/>
          <w:color w:val="000000"/>
          <w:sz w:val="20"/>
          <w:szCs w:val="20"/>
          <w:lang w:val="el-GR"/>
        </w:rPr>
        <w:t xml:space="preserve">ΕΝΑΛΛΑΚΤΙΚΟΙ ΔΕΙΚΤΕΣ ΜΕΤΡΗΣΗΣ ΑΠΟΔΟΣΗΣ (“ΕΔΜΑ”) </w:t>
      </w:r>
    </w:p>
    <w:p w14:paraId="20F8B0EA"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 </w:t>
      </w:r>
    </w:p>
    <w:p w14:paraId="7FA7BDEC"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612DFA6C" w14:textId="77777777"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EA7607">
        <w:rPr>
          <w:rFonts w:ascii="Ping LCG Regular" w:hAnsi="Ping LCG Regular" w:cs="Arial"/>
          <w:b/>
          <w:color w:val="000000"/>
          <w:sz w:val="20"/>
          <w:szCs w:val="20"/>
          <w:lang w:val="el-GR"/>
        </w:rPr>
        <w:t xml:space="preserve">Εναλλακτικοί Δείκτες Μέτρησης Απόδοσης (“ΕΔΜΑ”) </w:t>
      </w:r>
    </w:p>
    <w:p w14:paraId="3BECEC75"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Κατά την περιγραφή των επιδόσεων του Ομίλου χρησιμοποιούνται “Προσαρμοσμένοι” δείκτες όπως: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 χωρίς εφάπαξ επιπτώσεις, περιθώριο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 % χωρίς εφάπαξ επιπτώσεις και Κέρδη / (Ζημίες) χωρίς εφάπαξ επιπτώσεις. Οι δείκτες αυτοί υπολογίζονται αφαιρώντας από τους οικονομικούς δείκτες, οι οποίοι έχουν υπολογιστεί από κονδύλια των ετήσιων ή ενδιάμεσων οικονομικών καταστάσεων, την επίδραση και τα κόστη που προκύπτουν από γεγονότα τα οποία συνέβησαν κατά την εκάστοτε  περίοδο αναφοράς και τα οποία δεν έχουν επηρεάσει τα ποσά των προηγούμενων περιόδων.</w:t>
      </w:r>
    </w:p>
    <w:p w14:paraId="0B381B93"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02868C6E" w14:textId="77777777"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7648DE">
        <w:rPr>
          <w:rFonts w:ascii="Ping LCG Regular" w:hAnsi="Ping LCG Regular" w:cs="Arial"/>
          <w:b/>
          <w:color w:val="000000"/>
          <w:sz w:val="20"/>
          <w:szCs w:val="20"/>
        </w:rPr>
        <w:t>EBITDA</w:t>
      </w:r>
      <w:r w:rsidRPr="00EA7607">
        <w:rPr>
          <w:rFonts w:ascii="Ping LCG Regular" w:hAnsi="Ping LCG Regular" w:cs="Arial"/>
          <w:b/>
          <w:color w:val="000000"/>
          <w:sz w:val="20"/>
          <w:szCs w:val="20"/>
          <w:lang w:val="el-GR"/>
        </w:rPr>
        <w:t xml:space="preserve"> (Δείκτης λειτουργικών κερδών πριν από αποσβέσεις και </w:t>
      </w:r>
      <w:proofErr w:type="spellStart"/>
      <w:r w:rsidRPr="00EA7607">
        <w:rPr>
          <w:rFonts w:ascii="Ping LCG Regular" w:hAnsi="Ping LCG Regular" w:cs="Arial"/>
          <w:b/>
          <w:color w:val="000000"/>
          <w:sz w:val="20"/>
          <w:szCs w:val="20"/>
          <w:lang w:val="el-GR"/>
        </w:rPr>
        <w:t>απομειώσεις</w:t>
      </w:r>
      <w:proofErr w:type="spellEnd"/>
      <w:r w:rsidRPr="00EA7607">
        <w:rPr>
          <w:rFonts w:ascii="Ping LCG Regular" w:hAnsi="Ping LCG Regular" w:cs="Arial"/>
          <w:b/>
          <w:color w:val="000000"/>
          <w:sz w:val="20"/>
          <w:szCs w:val="20"/>
          <w:lang w:val="el-GR"/>
        </w:rPr>
        <w:t xml:space="preserve">, καθαρές χρηματοοικονομικές δαπάνες και  φόρους) </w:t>
      </w:r>
    </w:p>
    <w:p w14:paraId="7EC60A02"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Ο δείκτης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εξυπηρετεί στην καλύτερη ανάλυση των λειτουργικών αποτελεσμάτων του Ομίλου και υπολογίζεται ως εξής: Σύνολο κύκλου εργασιών μείον το σύνολο των λειτουργικών εξόδων πριν από αποσβέσεις και </w:t>
      </w:r>
      <w:proofErr w:type="spellStart"/>
      <w:r w:rsidRPr="00EA7607">
        <w:rPr>
          <w:rFonts w:ascii="Ping LCG Regular" w:hAnsi="Ping LCG Regular" w:cs="Arial"/>
          <w:color w:val="000000"/>
          <w:sz w:val="20"/>
          <w:szCs w:val="20"/>
          <w:lang w:val="el-GR"/>
        </w:rPr>
        <w:t>απομειώσεις</w:t>
      </w:r>
      <w:proofErr w:type="spellEnd"/>
      <w:r w:rsidRPr="00EA7607">
        <w:rPr>
          <w:rFonts w:ascii="Ping LCG Regular" w:hAnsi="Ping LCG Regular" w:cs="Arial"/>
          <w:color w:val="000000"/>
          <w:sz w:val="20"/>
          <w:szCs w:val="20"/>
          <w:lang w:val="el-GR"/>
        </w:rPr>
        <w:t xml:space="preserve">. Το περιθώριο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 υπολογίζεται διαιρώντας το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με το σύνολο του κύκλου εργασιών. Οι υπολογισμοί παρουσιάζονται στον Πίνακα Α.</w:t>
      </w:r>
    </w:p>
    <w:p w14:paraId="0E7AFBD2"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1F1B72E5" w14:textId="77777777"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EA7607">
        <w:rPr>
          <w:rFonts w:ascii="Ping LCG Regular" w:hAnsi="Ping LCG Regular" w:cs="Arial"/>
          <w:b/>
          <w:color w:val="000000"/>
          <w:sz w:val="20"/>
          <w:szCs w:val="20"/>
          <w:lang w:val="el-GR"/>
        </w:rPr>
        <w:t xml:space="preserve">Λειτουργικές Δαπάνες προ αποσβέσεων και </w:t>
      </w:r>
      <w:proofErr w:type="spellStart"/>
      <w:r w:rsidRPr="00EA7607">
        <w:rPr>
          <w:rFonts w:ascii="Ping LCG Regular" w:hAnsi="Ping LCG Regular" w:cs="Arial"/>
          <w:b/>
          <w:color w:val="000000"/>
          <w:sz w:val="20"/>
          <w:szCs w:val="20"/>
          <w:lang w:val="el-GR"/>
        </w:rPr>
        <w:t>απομειώσεων</w:t>
      </w:r>
      <w:proofErr w:type="spellEnd"/>
      <w:r w:rsidRPr="00EA7607">
        <w:rPr>
          <w:rFonts w:ascii="Ping LCG Regular" w:hAnsi="Ping LCG Regular" w:cs="Arial"/>
          <w:b/>
          <w:color w:val="000000"/>
          <w:sz w:val="20"/>
          <w:szCs w:val="20"/>
          <w:lang w:val="el-GR"/>
        </w:rPr>
        <w:t xml:space="preserve">, συνολικών καθαρών χρηματοοικονομικών δαπανών και κερδών/(ζημιών) από συγγενείς εταιρείες  χωρίς εφάπαξ επιπτώσεις </w:t>
      </w:r>
    </w:p>
    <w:p w14:paraId="7B13793B"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Ο δείκτης αυτός προκύπτει αν από τη γραμμή «Λειτουργικές Δαπάνες προ Αποσβέσεων και </w:t>
      </w:r>
      <w:proofErr w:type="spellStart"/>
      <w:r w:rsidRPr="00EA7607">
        <w:rPr>
          <w:rFonts w:ascii="Ping LCG Regular" w:hAnsi="Ping LCG Regular" w:cs="Arial"/>
          <w:color w:val="000000"/>
          <w:sz w:val="20"/>
          <w:szCs w:val="20"/>
          <w:lang w:val="el-GR"/>
        </w:rPr>
        <w:t>Απομειώσεων</w:t>
      </w:r>
      <w:proofErr w:type="spellEnd"/>
      <w:r w:rsidRPr="00EA7607">
        <w:rPr>
          <w:rFonts w:ascii="Ping LCG Regular" w:hAnsi="Ping LCG Regular" w:cs="Arial"/>
          <w:color w:val="000000"/>
          <w:sz w:val="20"/>
          <w:szCs w:val="20"/>
          <w:lang w:val="el-GR"/>
        </w:rPr>
        <w:t xml:space="preserve">» του πίνακα του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όπως παρουσιάζεται ανωτέρω, αφαιρεθούν οι εφάπαξ επιπτώσεις που αναφέρονται στη σημείωση του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Επαναλαμβανόμενου κατωτέρω. Ο δείκτης παρουσιάζεται στον Πίνακα Β.</w:t>
      </w:r>
    </w:p>
    <w:p w14:paraId="351EB58F" w14:textId="77777777"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p>
    <w:p w14:paraId="762802CA" w14:textId="26A3CF81"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7648DE">
        <w:rPr>
          <w:rFonts w:ascii="Ping LCG Regular" w:hAnsi="Ping LCG Regular" w:cs="Arial"/>
          <w:b/>
          <w:color w:val="000000"/>
          <w:sz w:val="20"/>
          <w:szCs w:val="20"/>
        </w:rPr>
        <w:t>EBITDA</w:t>
      </w:r>
      <w:r w:rsidRPr="00EA7607">
        <w:rPr>
          <w:rFonts w:ascii="Ping LCG Regular" w:hAnsi="Ping LCG Regular" w:cs="Arial"/>
          <w:b/>
          <w:color w:val="000000"/>
          <w:sz w:val="20"/>
          <w:szCs w:val="20"/>
          <w:lang w:val="el-GR"/>
        </w:rPr>
        <w:t xml:space="preserve"> Επαναλαμβανόμενο (Δείκτης λειτουργικών κερδών πριν από αποσβέσεις και </w:t>
      </w:r>
      <w:proofErr w:type="spellStart"/>
      <w:r w:rsidRPr="00EA7607">
        <w:rPr>
          <w:rFonts w:ascii="Ping LCG Regular" w:hAnsi="Ping LCG Regular" w:cs="Arial"/>
          <w:b/>
          <w:color w:val="000000"/>
          <w:sz w:val="20"/>
          <w:szCs w:val="20"/>
          <w:lang w:val="el-GR"/>
        </w:rPr>
        <w:t>απομειώσεις</w:t>
      </w:r>
      <w:proofErr w:type="spellEnd"/>
      <w:r w:rsidRPr="00EA7607">
        <w:rPr>
          <w:rFonts w:ascii="Ping LCG Regular" w:hAnsi="Ping LCG Regular" w:cs="Arial"/>
          <w:b/>
          <w:color w:val="000000"/>
          <w:sz w:val="20"/>
          <w:szCs w:val="20"/>
          <w:lang w:val="el-GR"/>
        </w:rPr>
        <w:t xml:space="preserve">, καθαρές χρηματοοικονομικές δαπάνες και φόρους) </w:t>
      </w:r>
    </w:p>
    <w:p w14:paraId="78000966"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Το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w:t>
      </w:r>
      <w:r w:rsidRPr="007648DE">
        <w:rPr>
          <w:rFonts w:ascii="Ping LCG Regular" w:hAnsi="Ping LCG Regular" w:cs="Arial"/>
          <w:color w:val="000000"/>
          <w:sz w:val="20"/>
          <w:szCs w:val="20"/>
        </w:rPr>
        <w:t>E</w:t>
      </w:r>
      <w:proofErr w:type="spellStart"/>
      <w:r w:rsidRPr="00EA7607">
        <w:rPr>
          <w:rFonts w:ascii="Ping LCG Regular" w:hAnsi="Ping LCG Regular" w:cs="Arial"/>
          <w:color w:val="000000"/>
          <w:sz w:val="20"/>
          <w:szCs w:val="20"/>
          <w:lang w:val="el-GR"/>
        </w:rPr>
        <w:t>παναλαμβανόμενο</w:t>
      </w:r>
      <w:proofErr w:type="spellEnd"/>
      <w:r w:rsidRPr="00EA7607">
        <w:rPr>
          <w:rFonts w:ascii="Ping LCG Regular" w:hAnsi="Ping LCG Regular" w:cs="Arial"/>
          <w:color w:val="000000"/>
          <w:sz w:val="20"/>
          <w:szCs w:val="20"/>
          <w:lang w:val="el-GR"/>
        </w:rPr>
        <w:t xml:space="preserve"> εξυπηρετεί στην καλύτερη ανάλυση των λειτουργικών αποτελεσμάτων του Ομίλου, εξαιρουμένης της επίδρασης των εφάπαξ επιπτώσεων. Για την τρίμηνη περίοδο που έληξε την 31η Μαρτίου 2022, καθώς και για την τρίμηνη περίοδο που έληξε την 31η Μαρτίου 2023 δεν υπήρχαν εφάπαξ επιπτώσεις. Το περιθώριο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 (%) υπολογίζεται διαιρώντας το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 με το σύνολο του κύκλου εργασιών Επαναλαμβανόμενου. Ο υπολογισμός του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Επαναλαμβανόμενου και του  περιθωρίου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Επαναλαμβανόμενο παρουσιάζεται στον Πίνακα Γ.</w:t>
      </w:r>
    </w:p>
    <w:p w14:paraId="34757E60"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1A7DE725" w14:textId="77777777"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7648DE">
        <w:rPr>
          <w:rFonts w:ascii="Ping LCG Regular" w:hAnsi="Ping LCG Regular" w:cs="Arial"/>
          <w:b/>
          <w:color w:val="000000"/>
          <w:sz w:val="20"/>
          <w:szCs w:val="20"/>
        </w:rPr>
        <w:t>EBIT</w:t>
      </w:r>
      <w:r w:rsidRPr="00EA7607">
        <w:rPr>
          <w:rFonts w:ascii="Ping LCG Regular" w:hAnsi="Ping LCG Regular" w:cs="Arial"/>
          <w:b/>
          <w:color w:val="000000"/>
          <w:sz w:val="20"/>
          <w:szCs w:val="20"/>
          <w:lang w:val="el-GR"/>
        </w:rPr>
        <w:t xml:space="preserve"> (Δείκτης λειτουργικών κερδών πριν από καθαρές χρηματοοικονομικές δαπάνες και φόρους)</w:t>
      </w:r>
    </w:p>
    <w:p w14:paraId="6B1927BE"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Ο δείκτης </w:t>
      </w:r>
      <w:r w:rsidRPr="007648DE">
        <w:rPr>
          <w:rFonts w:ascii="Ping LCG Regular" w:hAnsi="Ping LCG Regular" w:cs="Arial"/>
          <w:color w:val="000000"/>
          <w:sz w:val="20"/>
          <w:szCs w:val="20"/>
        </w:rPr>
        <w:t>EBIT</w:t>
      </w:r>
      <w:r w:rsidRPr="00EA7607">
        <w:rPr>
          <w:rFonts w:ascii="Ping LCG Regular" w:hAnsi="Ping LCG Regular" w:cs="Arial"/>
          <w:color w:val="000000"/>
          <w:sz w:val="20"/>
          <w:szCs w:val="20"/>
          <w:lang w:val="el-GR"/>
        </w:rPr>
        <w:t xml:space="preserve"> εξυπηρετεί στην καλύτερη ανάλυση των λειτουργικών αποτελεσμάτων του Ομίλου και υπολογίζεται ως εξής: </w:t>
      </w:r>
      <w:r w:rsidRPr="007648DE">
        <w:rPr>
          <w:rFonts w:ascii="Ping LCG Regular" w:hAnsi="Ping LCG Regular" w:cs="Arial"/>
          <w:color w:val="000000"/>
          <w:sz w:val="20"/>
          <w:szCs w:val="20"/>
        </w:rPr>
        <w:t>EBITDA</w:t>
      </w:r>
      <w:r w:rsidRPr="00EA7607">
        <w:rPr>
          <w:rFonts w:ascii="Ping LCG Regular" w:hAnsi="Ping LCG Regular" w:cs="Arial"/>
          <w:color w:val="000000"/>
          <w:sz w:val="20"/>
          <w:szCs w:val="20"/>
          <w:lang w:val="el-GR"/>
        </w:rPr>
        <w:t xml:space="preserve"> (Δείκτης λειτουργικών κερδών πριν από αποσβέσεις και </w:t>
      </w:r>
      <w:proofErr w:type="spellStart"/>
      <w:r w:rsidRPr="00EA7607">
        <w:rPr>
          <w:rFonts w:ascii="Ping LCG Regular" w:hAnsi="Ping LCG Regular" w:cs="Arial"/>
          <w:color w:val="000000"/>
          <w:sz w:val="20"/>
          <w:szCs w:val="20"/>
          <w:lang w:val="el-GR"/>
        </w:rPr>
        <w:t>απομειώσεις</w:t>
      </w:r>
      <w:proofErr w:type="spellEnd"/>
      <w:r w:rsidRPr="00EA7607">
        <w:rPr>
          <w:rFonts w:ascii="Ping LCG Regular" w:hAnsi="Ping LCG Regular" w:cs="Arial"/>
          <w:color w:val="000000"/>
          <w:sz w:val="20"/>
          <w:szCs w:val="20"/>
          <w:lang w:val="el-GR"/>
        </w:rPr>
        <w:t xml:space="preserve">, καθαρές χρηματοοικονομικές δαπάνες και φόρους) μείον τα ποσά των αποσβέσεων και των τυχόν </w:t>
      </w:r>
      <w:proofErr w:type="spellStart"/>
      <w:r w:rsidRPr="00EA7607">
        <w:rPr>
          <w:rFonts w:ascii="Ping LCG Regular" w:hAnsi="Ping LCG Regular" w:cs="Arial"/>
          <w:color w:val="000000"/>
          <w:sz w:val="20"/>
          <w:szCs w:val="20"/>
          <w:lang w:val="el-GR"/>
        </w:rPr>
        <w:t>απομειώσεων</w:t>
      </w:r>
      <w:proofErr w:type="spellEnd"/>
      <w:r w:rsidRPr="00EA7607">
        <w:rPr>
          <w:rFonts w:ascii="Ping LCG Regular" w:hAnsi="Ping LCG Regular" w:cs="Arial"/>
          <w:color w:val="000000"/>
          <w:sz w:val="20"/>
          <w:szCs w:val="20"/>
          <w:lang w:val="el-GR"/>
        </w:rPr>
        <w:t xml:space="preserve">. Το περιθώριο </w:t>
      </w:r>
      <w:r w:rsidRPr="007648DE">
        <w:rPr>
          <w:rFonts w:ascii="Ping LCG Regular" w:hAnsi="Ping LCG Regular" w:cs="Arial"/>
          <w:color w:val="000000"/>
          <w:sz w:val="20"/>
          <w:szCs w:val="20"/>
        </w:rPr>
        <w:t>EBIT</w:t>
      </w:r>
      <w:r w:rsidRPr="00EA7607">
        <w:rPr>
          <w:rFonts w:ascii="Ping LCG Regular" w:hAnsi="Ping LCG Regular" w:cs="Arial"/>
          <w:color w:val="000000"/>
          <w:sz w:val="20"/>
          <w:szCs w:val="20"/>
          <w:lang w:val="el-GR"/>
        </w:rPr>
        <w:t xml:space="preserve"> (%) υπολογίζεται διαιρώντας το </w:t>
      </w:r>
      <w:r w:rsidRPr="007648DE">
        <w:rPr>
          <w:rFonts w:ascii="Ping LCG Regular" w:hAnsi="Ping LCG Regular" w:cs="Arial"/>
          <w:color w:val="000000"/>
          <w:sz w:val="20"/>
          <w:szCs w:val="20"/>
        </w:rPr>
        <w:t>EBIT</w:t>
      </w:r>
      <w:r w:rsidRPr="00EA7607">
        <w:rPr>
          <w:rFonts w:ascii="Ping LCG Regular" w:hAnsi="Ping LCG Regular" w:cs="Arial"/>
          <w:color w:val="000000"/>
          <w:sz w:val="20"/>
          <w:szCs w:val="20"/>
          <w:lang w:val="el-GR"/>
        </w:rPr>
        <w:t xml:space="preserve"> με το σύνολο του κύκλου εργασιών. Ο υπολογισμοί παρουσιάζονται στον Πίνακα Δ.</w:t>
      </w:r>
    </w:p>
    <w:p w14:paraId="3F1691CB"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4472A155" w14:textId="77777777" w:rsidR="0075043E" w:rsidRDefault="0075043E" w:rsidP="0075043E">
      <w:pPr>
        <w:autoSpaceDE w:val="0"/>
        <w:autoSpaceDN w:val="0"/>
        <w:adjustRightInd w:val="0"/>
        <w:jc w:val="both"/>
        <w:rPr>
          <w:rFonts w:ascii="Ping LCG Regular" w:hAnsi="Ping LCG Regular" w:cs="Arial"/>
          <w:b/>
          <w:color w:val="000000"/>
          <w:sz w:val="20"/>
          <w:szCs w:val="20"/>
          <w:lang w:val="el-GR"/>
        </w:rPr>
      </w:pPr>
    </w:p>
    <w:p w14:paraId="5FE3F6A1" w14:textId="0AE9BFE0" w:rsidR="00F100CD" w:rsidRPr="00EA7607" w:rsidRDefault="00F100CD" w:rsidP="0075043E">
      <w:pPr>
        <w:autoSpaceDE w:val="0"/>
        <w:autoSpaceDN w:val="0"/>
        <w:adjustRightInd w:val="0"/>
        <w:jc w:val="both"/>
        <w:rPr>
          <w:rFonts w:ascii="Ping LCG Regular" w:hAnsi="Ping LCG Regular" w:cs="Arial"/>
          <w:b/>
          <w:color w:val="000000"/>
          <w:sz w:val="20"/>
          <w:szCs w:val="20"/>
          <w:lang w:val="el-GR"/>
        </w:rPr>
      </w:pPr>
      <w:r w:rsidRPr="00EA7607">
        <w:rPr>
          <w:rFonts w:ascii="Ping LCG Regular" w:hAnsi="Ping LCG Regular" w:cs="Arial"/>
          <w:b/>
          <w:color w:val="000000"/>
          <w:sz w:val="20"/>
          <w:szCs w:val="20"/>
          <w:lang w:val="el-GR"/>
        </w:rPr>
        <w:lastRenderedPageBreak/>
        <w:t>Καθαρό ποσό Αποσβέσεων Χρηματοοικονομικών Δαπανών και Κερδών από Συγγενείς Επιχειρήσεις.</w:t>
      </w:r>
    </w:p>
    <w:p w14:paraId="47796F2E"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Ο Δείκτης αυτός υπολογίζεται ως το συμψηφισμένο καθαρό ποσό των κονδυλίων των αποσβέσεων χρήσης, των καθαρών χρηματοοικονομικών δαπανών και των κερδών / ζημιών από τις συγγενείς επιχειρήσεις του Ομίλου. Οι υπολογισμοί παρουσιάζονται στον Πίνακα Ε.</w:t>
      </w:r>
    </w:p>
    <w:p w14:paraId="18AB18BF" w14:textId="77777777" w:rsidR="00F100CD" w:rsidRPr="00EA7607" w:rsidRDefault="00F100CD" w:rsidP="0075043E">
      <w:pPr>
        <w:autoSpaceDE w:val="0"/>
        <w:autoSpaceDN w:val="0"/>
        <w:adjustRightInd w:val="0"/>
        <w:jc w:val="both"/>
        <w:rPr>
          <w:rFonts w:ascii="Ping LCG Regular" w:hAnsi="Ping LCG Regular" w:cs="Arial"/>
          <w:color w:val="000000"/>
          <w:sz w:val="20"/>
          <w:szCs w:val="20"/>
          <w:lang w:val="el-GR"/>
        </w:rPr>
      </w:pPr>
    </w:p>
    <w:p w14:paraId="76E1137A" w14:textId="77777777" w:rsidR="00F100CD" w:rsidRPr="00EA7607" w:rsidRDefault="00F100CD" w:rsidP="0075043E">
      <w:pPr>
        <w:autoSpaceDE w:val="0"/>
        <w:autoSpaceDN w:val="0"/>
        <w:adjustRightInd w:val="0"/>
        <w:rPr>
          <w:rFonts w:ascii="Ping LCG Regular" w:hAnsi="Ping LCG Regular" w:cs="Arial"/>
          <w:b/>
          <w:color w:val="000000"/>
          <w:sz w:val="20"/>
          <w:szCs w:val="20"/>
          <w:lang w:val="el-GR"/>
        </w:rPr>
      </w:pPr>
      <w:r w:rsidRPr="00EA7607">
        <w:rPr>
          <w:rFonts w:ascii="Ping LCG Regular" w:hAnsi="Ping LCG Regular" w:cs="Arial"/>
          <w:b/>
          <w:color w:val="000000"/>
          <w:sz w:val="20"/>
          <w:szCs w:val="20"/>
          <w:lang w:val="el-GR"/>
        </w:rPr>
        <w:t xml:space="preserve">Καθαρός Δανεισμός </w:t>
      </w:r>
    </w:p>
    <w:p w14:paraId="470FCEE5" w14:textId="77777777" w:rsidR="00F100CD" w:rsidRPr="007648DE" w:rsidRDefault="00F100CD" w:rsidP="0075043E">
      <w:pPr>
        <w:autoSpaceDE w:val="0"/>
        <w:autoSpaceDN w:val="0"/>
        <w:adjustRightInd w:val="0"/>
        <w:jc w:val="both"/>
        <w:rPr>
          <w:rFonts w:ascii="Ping LCG Regular" w:hAnsi="Ping LCG Regular" w:cs="Arial"/>
          <w:color w:val="000000"/>
          <w:sz w:val="20"/>
          <w:szCs w:val="20"/>
        </w:rPr>
      </w:pPr>
      <w:r w:rsidRPr="00EA7607">
        <w:rPr>
          <w:rFonts w:ascii="Ping LCG Regular" w:hAnsi="Ping LCG Regular" w:cs="Arial"/>
          <w:color w:val="000000"/>
          <w:sz w:val="20"/>
          <w:szCs w:val="20"/>
          <w:lang w:val="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EA7607">
        <w:rPr>
          <w:rFonts w:ascii="Ping LCG Regular" w:hAnsi="Ping LCG Regular" w:cs="Arial"/>
          <w:color w:val="000000"/>
          <w:sz w:val="20"/>
          <w:szCs w:val="20"/>
          <w:lang w:val="el-GR"/>
        </w:rPr>
        <w:t>μόχλευσης</w:t>
      </w:r>
      <w:proofErr w:type="spellEnd"/>
      <w:r w:rsidRPr="00EA7607">
        <w:rPr>
          <w:rFonts w:ascii="Ping LCG Regular" w:hAnsi="Ping LCG Regular" w:cs="Arial"/>
          <w:color w:val="000000"/>
          <w:sz w:val="20"/>
          <w:szCs w:val="20"/>
          <w:lang w:val="el-GR"/>
        </w:rPr>
        <w:t xml:space="preserve">. Ο καθαρός δανεισμός υπολογίζεται προσθέτοντας στα μακροπρόθεσμα δάνεια το βραχυπρόθεσμο μέρος μακροπρόθεσμων δανείων και τα βραχυπρόθεσμα δάνεια, αφαιρώντας από το σύνολο τα χρηματικά διαθέσιμα, τις δεσμευμένες καταθέσεις που αφορούν σε δανειακές συμβάσεις και τα χρηματοοικονομικά περιουσιακά στοιχεία </w:t>
      </w:r>
      <w:proofErr w:type="spellStart"/>
      <w:r w:rsidRPr="00EA7607">
        <w:rPr>
          <w:rFonts w:ascii="Ping LCG Regular" w:hAnsi="Ping LCG Regular" w:cs="Arial"/>
          <w:color w:val="000000"/>
          <w:sz w:val="20"/>
          <w:szCs w:val="20"/>
          <w:lang w:val="el-GR"/>
        </w:rPr>
        <w:t>επιμετρούμενα</w:t>
      </w:r>
      <w:proofErr w:type="spellEnd"/>
      <w:r w:rsidRPr="00EA7607">
        <w:rPr>
          <w:rFonts w:ascii="Ping LCG Regular" w:hAnsi="Ping LCG Regular" w:cs="Arial"/>
          <w:color w:val="000000"/>
          <w:sz w:val="20"/>
          <w:szCs w:val="20"/>
          <w:lang w:val="el-GR"/>
        </w:rPr>
        <w:t xml:space="preserve"> στην εύλογη αξία μέσω των συνολικών αποτελεσμάτων και προσθέτοντας το </w:t>
      </w:r>
      <w:proofErr w:type="spellStart"/>
      <w:r w:rsidRPr="00EA7607">
        <w:rPr>
          <w:rFonts w:ascii="Ping LCG Regular" w:hAnsi="Ping LCG Regular" w:cs="Arial"/>
          <w:color w:val="000000"/>
          <w:sz w:val="20"/>
          <w:szCs w:val="20"/>
          <w:lang w:val="el-GR"/>
        </w:rPr>
        <w:t>αναπόσβεστο</w:t>
      </w:r>
      <w:proofErr w:type="spellEnd"/>
      <w:r w:rsidRPr="00EA7607">
        <w:rPr>
          <w:rFonts w:ascii="Ping LCG Regular" w:hAnsi="Ping LCG Regular" w:cs="Arial"/>
          <w:color w:val="000000"/>
          <w:sz w:val="20"/>
          <w:szCs w:val="20"/>
          <w:lang w:val="el-GR"/>
        </w:rPr>
        <w:t xml:space="preserve"> μέρος των εξόδων σύναψης δανείων. </w:t>
      </w:r>
      <w:proofErr w:type="spellStart"/>
      <w:r w:rsidRPr="007648DE">
        <w:rPr>
          <w:rFonts w:ascii="Ping LCG Regular" w:hAnsi="Ping LCG Regular" w:cs="Arial"/>
          <w:color w:val="000000"/>
          <w:sz w:val="20"/>
          <w:szCs w:val="20"/>
        </w:rPr>
        <w:t>Οι</w:t>
      </w:r>
      <w:proofErr w:type="spellEnd"/>
      <w:r w:rsidRPr="007648DE">
        <w:rPr>
          <w:rFonts w:ascii="Ping LCG Regular" w:hAnsi="Ping LCG Regular" w:cs="Arial"/>
          <w:color w:val="000000"/>
          <w:sz w:val="20"/>
          <w:szCs w:val="20"/>
        </w:rPr>
        <w:t xml:space="preserve"> υπ</w:t>
      </w:r>
      <w:proofErr w:type="spellStart"/>
      <w:r w:rsidRPr="007648DE">
        <w:rPr>
          <w:rFonts w:ascii="Ping LCG Regular" w:hAnsi="Ping LCG Regular" w:cs="Arial"/>
          <w:color w:val="000000"/>
          <w:sz w:val="20"/>
          <w:szCs w:val="20"/>
        </w:rPr>
        <w:t>ολογισμοί</w:t>
      </w:r>
      <w:proofErr w:type="spellEnd"/>
      <w:r w:rsidRPr="007648DE">
        <w:rPr>
          <w:rFonts w:ascii="Ping LCG Regular" w:hAnsi="Ping LCG Regular" w:cs="Arial"/>
          <w:color w:val="000000"/>
          <w:sz w:val="20"/>
          <w:szCs w:val="20"/>
        </w:rPr>
        <w:t xml:space="preserve"> πα</w:t>
      </w:r>
      <w:proofErr w:type="spellStart"/>
      <w:r w:rsidRPr="007648DE">
        <w:rPr>
          <w:rFonts w:ascii="Ping LCG Regular" w:hAnsi="Ping LCG Regular" w:cs="Arial"/>
          <w:color w:val="000000"/>
          <w:sz w:val="20"/>
          <w:szCs w:val="20"/>
        </w:rPr>
        <w:t>ρουσιάζοντ</w:t>
      </w:r>
      <w:proofErr w:type="spellEnd"/>
      <w:r w:rsidRPr="007648DE">
        <w:rPr>
          <w:rFonts w:ascii="Ping LCG Regular" w:hAnsi="Ping LCG Regular" w:cs="Arial"/>
          <w:color w:val="000000"/>
          <w:sz w:val="20"/>
          <w:szCs w:val="20"/>
        </w:rPr>
        <w:t xml:space="preserve">αι </w:t>
      </w:r>
      <w:proofErr w:type="spellStart"/>
      <w:r w:rsidRPr="007648DE">
        <w:rPr>
          <w:rFonts w:ascii="Ping LCG Regular" w:hAnsi="Ping LCG Regular" w:cs="Arial"/>
          <w:color w:val="000000"/>
          <w:sz w:val="20"/>
          <w:szCs w:val="20"/>
        </w:rPr>
        <w:t>στον</w:t>
      </w:r>
      <w:proofErr w:type="spellEnd"/>
      <w:r w:rsidRPr="007648DE">
        <w:rPr>
          <w:rFonts w:ascii="Ping LCG Regular" w:hAnsi="Ping LCG Regular" w:cs="Arial"/>
          <w:color w:val="000000"/>
          <w:sz w:val="20"/>
          <w:szCs w:val="20"/>
        </w:rPr>
        <w:t xml:space="preserve"> π</w:t>
      </w:r>
      <w:proofErr w:type="spellStart"/>
      <w:r w:rsidRPr="007648DE">
        <w:rPr>
          <w:rFonts w:ascii="Ping LCG Regular" w:hAnsi="Ping LCG Regular" w:cs="Arial"/>
          <w:color w:val="000000"/>
          <w:sz w:val="20"/>
          <w:szCs w:val="20"/>
        </w:rPr>
        <w:t>ίν</w:t>
      </w:r>
      <w:proofErr w:type="spellEnd"/>
      <w:r w:rsidRPr="007648DE">
        <w:rPr>
          <w:rFonts w:ascii="Ping LCG Regular" w:hAnsi="Ping LCG Regular" w:cs="Arial"/>
          <w:color w:val="000000"/>
          <w:sz w:val="20"/>
          <w:szCs w:val="20"/>
        </w:rPr>
        <w:t>ακα ΣΤ.</w:t>
      </w:r>
    </w:p>
    <w:p w14:paraId="4481011B" w14:textId="77777777" w:rsidR="00F100CD" w:rsidRPr="007648DE" w:rsidRDefault="00F100CD" w:rsidP="0075043E">
      <w:pPr>
        <w:autoSpaceDE w:val="0"/>
        <w:autoSpaceDN w:val="0"/>
        <w:adjustRightInd w:val="0"/>
        <w:jc w:val="both"/>
        <w:rPr>
          <w:rFonts w:ascii="Ping LCG Regular" w:hAnsi="Ping LCG Regular" w:cs="Arial"/>
          <w:color w:val="000000"/>
          <w:sz w:val="20"/>
          <w:szCs w:val="20"/>
        </w:rPr>
      </w:pPr>
    </w:p>
    <w:p w14:paraId="24144173"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381FAE0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3264D0F6"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60B13599"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09620C5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117F622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5EE667F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48301041"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76EC620E"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657AA81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2D90A2FA" w14:textId="34D7FF89" w:rsidR="00010CB7" w:rsidRDefault="00010CB7" w:rsidP="0075043E">
      <w:pPr>
        <w:rPr>
          <w:rFonts w:ascii="Ping LCG Regular" w:hAnsi="Ping LCG Regular" w:cs="Arial"/>
          <w:color w:val="000000"/>
          <w:sz w:val="20"/>
          <w:szCs w:val="20"/>
        </w:rPr>
      </w:pPr>
      <w:r>
        <w:rPr>
          <w:rFonts w:ascii="Ping LCG Regular" w:hAnsi="Ping LCG Regular" w:cs="Arial"/>
          <w:color w:val="000000"/>
          <w:sz w:val="20"/>
          <w:szCs w:val="20"/>
        </w:rPr>
        <w:br w:type="page"/>
      </w:r>
    </w:p>
    <w:p w14:paraId="5D72F506"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1"/>
        <w:gridCol w:w="2447"/>
        <w:gridCol w:w="2410"/>
      </w:tblGrid>
      <w:tr w:rsidR="00F100CD" w:rsidRPr="00157158" w14:paraId="5CC4B19D" w14:textId="77777777" w:rsidTr="00F01F3B">
        <w:trPr>
          <w:trHeight w:val="660"/>
        </w:trPr>
        <w:tc>
          <w:tcPr>
            <w:tcW w:w="9498" w:type="dxa"/>
            <w:gridSpan w:val="3"/>
            <w:hideMark/>
          </w:tcPr>
          <w:p w14:paraId="20C91203"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t xml:space="preserve">ΠΙΝΑΚΑΣ Α - </w:t>
            </w:r>
            <w:r w:rsidRPr="007648DE">
              <w:rPr>
                <w:rFonts w:ascii="Ping LCG Regular" w:hAnsi="Ping LCG Regular" w:cs="Arial"/>
                <w:b/>
                <w:bCs/>
                <w:color w:val="000000"/>
                <w:sz w:val="20"/>
                <w:szCs w:val="20"/>
              </w:rPr>
              <w:t>EBITDA</w:t>
            </w:r>
            <w:r w:rsidRPr="00EA7607">
              <w:rPr>
                <w:rFonts w:ascii="Ping LCG Regular" w:hAnsi="Ping LCG Regular" w:cs="Arial"/>
                <w:b/>
                <w:bCs/>
                <w:color w:val="000000"/>
                <w:sz w:val="20"/>
                <w:szCs w:val="20"/>
                <w:lang w:val="el-GR"/>
              </w:rPr>
              <w:t xml:space="preserve"> (Δείκτης λειτουργικών κερδών πριν από αποσβέσεις και </w:t>
            </w:r>
            <w:proofErr w:type="spellStart"/>
            <w:r w:rsidRPr="00EA7607">
              <w:rPr>
                <w:rFonts w:ascii="Ping LCG Regular" w:hAnsi="Ping LCG Regular" w:cs="Arial"/>
                <w:b/>
                <w:bCs/>
                <w:color w:val="000000"/>
                <w:sz w:val="20"/>
                <w:szCs w:val="20"/>
                <w:lang w:val="el-GR"/>
              </w:rPr>
              <w:t>απομειώσεις</w:t>
            </w:r>
            <w:proofErr w:type="spellEnd"/>
            <w:r w:rsidRPr="00EA7607">
              <w:rPr>
                <w:rFonts w:ascii="Ping LCG Regular" w:hAnsi="Ping LCG Regular" w:cs="Arial"/>
                <w:b/>
                <w:bCs/>
                <w:color w:val="000000"/>
                <w:sz w:val="20"/>
                <w:szCs w:val="20"/>
                <w:lang w:val="el-GR"/>
              </w:rPr>
              <w:t xml:space="preserve">, καθαρές χρηματοοικονομικές δαπάνες και  φόρους) </w:t>
            </w:r>
          </w:p>
        </w:tc>
      </w:tr>
      <w:tr w:rsidR="00F100CD" w:rsidRPr="007648DE" w14:paraId="4F5E9EC8" w14:textId="77777777" w:rsidTr="00EA7607">
        <w:trPr>
          <w:trHeight w:val="300"/>
        </w:trPr>
        <w:tc>
          <w:tcPr>
            <w:tcW w:w="4641" w:type="dxa"/>
            <w:noWrap/>
            <w:hideMark/>
          </w:tcPr>
          <w:p w14:paraId="00DEBA8B"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47" w:type="dxa"/>
            <w:noWrap/>
            <w:hideMark/>
          </w:tcPr>
          <w:p w14:paraId="7BA70630"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noWrap/>
            <w:hideMark/>
          </w:tcPr>
          <w:p w14:paraId="51A55945"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40D31C86" w14:textId="77777777" w:rsidTr="00F01F3B">
        <w:trPr>
          <w:trHeight w:val="315"/>
        </w:trPr>
        <w:tc>
          <w:tcPr>
            <w:tcW w:w="4641" w:type="dxa"/>
            <w:noWrap/>
            <w:hideMark/>
          </w:tcPr>
          <w:p w14:paraId="7BFE3C03"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4857" w:type="dxa"/>
            <w:gridSpan w:val="2"/>
            <w:tcBorders>
              <w:bottom w:val="single" w:sz="12" w:space="0" w:color="auto"/>
            </w:tcBorders>
            <w:hideMark/>
          </w:tcPr>
          <w:p w14:paraId="63514BBA"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r w:rsidRPr="007648DE">
              <w:rPr>
                <w:rFonts w:ascii="Ping LCG Regular" w:hAnsi="Ping LCG Regular" w:cs="Arial"/>
                <w:b/>
                <w:bCs/>
                <w:color w:val="000000"/>
                <w:sz w:val="20"/>
                <w:szCs w:val="20"/>
              </w:rPr>
              <w:t>ΟΜΙΛΟΣ</w:t>
            </w:r>
          </w:p>
        </w:tc>
      </w:tr>
      <w:tr w:rsidR="00F100CD" w:rsidRPr="007648DE" w14:paraId="02FBBB27" w14:textId="77777777" w:rsidTr="00EA7607">
        <w:trPr>
          <w:trHeight w:val="300"/>
        </w:trPr>
        <w:tc>
          <w:tcPr>
            <w:tcW w:w="4641" w:type="dxa"/>
            <w:hideMark/>
          </w:tcPr>
          <w:p w14:paraId="7DFA277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47" w:type="dxa"/>
            <w:tcBorders>
              <w:top w:val="single" w:sz="12" w:space="0" w:color="auto"/>
              <w:bottom w:val="nil"/>
            </w:tcBorders>
            <w:hideMark/>
          </w:tcPr>
          <w:p w14:paraId="00C97B9E"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01.01-31.03.2023</w:t>
            </w:r>
          </w:p>
        </w:tc>
        <w:tc>
          <w:tcPr>
            <w:tcW w:w="2410" w:type="dxa"/>
            <w:tcBorders>
              <w:top w:val="single" w:sz="12" w:space="0" w:color="auto"/>
              <w:bottom w:val="nil"/>
            </w:tcBorders>
            <w:hideMark/>
          </w:tcPr>
          <w:p w14:paraId="4C981F75"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01.01-31.03.2022</w:t>
            </w:r>
          </w:p>
        </w:tc>
      </w:tr>
      <w:tr w:rsidR="00F100CD" w:rsidRPr="007648DE" w14:paraId="0DA0C19A" w14:textId="77777777" w:rsidTr="00F01F3B">
        <w:trPr>
          <w:trHeight w:val="300"/>
        </w:trPr>
        <w:tc>
          <w:tcPr>
            <w:tcW w:w="4641" w:type="dxa"/>
            <w:hideMark/>
          </w:tcPr>
          <w:p w14:paraId="0E477879"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4857" w:type="dxa"/>
            <w:gridSpan w:val="2"/>
            <w:tcBorders>
              <w:top w:val="nil"/>
            </w:tcBorders>
            <w:hideMark/>
          </w:tcPr>
          <w:p w14:paraId="66E5815D"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5666B652" w14:textId="77777777" w:rsidTr="00EA7607">
        <w:trPr>
          <w:trHeight w:val="300"/>
        </w:trPr>
        <w:tc>
          <w:tcPr>
            <w:tcW w:w="4641" w:type="dxa"/>
            <w:hideMark/>
          </w:tcPr>
          <w:p w14:paraId="4C94C594"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roofErr w:type="spellStart"/>
            <w:r w:rsidRPr="007648DE">
              <w:rPr>
                <w:rFonts w:ascii="Ping LCG Regular" w:hAnsi="Ping LCG Regular" w:cs="Arial"/>
                <w:b/>
                <w:bCs/>
                <w:color w:val="000000"/>
                <w:sz w:val="20"/>
                <w:szCs w:val="20"/>
              </w:rPr>
              <w:t>Κύκλος</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Εργ</w:t>
            </w:r>
            <w:proofErr w:type="spellEnd"/>
            <w:r w:rsidRPr="007648DE">
              <w:rPr>
                <w:rFonts w:ascii="Ping LCG Regular" w:hAnsi="Ping LCG Regular" w:cs="Arial"/>
                <w:b/>
                <w:bCs/>
                <w:color w:val="000000"/>
                <w:sz w:val="20"/>
                <w:szCs w:val="20"/>
              </w:rPr>
              <w:t>ασιών (1)</w:t>
            </w:r>
          </w:p>
        </w:tc>
        <w:tc>
          <w:tcPr>
            <w:tcW w:w="2447" w:type="dxa"/>
            <w:noWrap/>
            <w:hideMark/>
          </w:tcPr>
          <w:p w14:paraId="026C929D"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1.992,8</w:t>
            </w:r>
          </w:p>
        </w:tc>
        <w:tc>
          <w:tcPr>
            <w:tcW w:w="2410" w:type="dxa"/>
            <w:noWrap/>
            <w:hideMark/>
          </w:tcPr>
          <w:p w14:paraId="1A414E54"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2.247,4</w:t>
            </w:r>
          </w:p>
        </w:tc>
      </w:tr>
      <w:tr w:rsidR="00F100CD" w:rsidRPr="007648DE" w14:paraId="6EFB0146" w14:textId="77777777" w:rsidTr="00EA7607">
        <w:trPr>
          <w:trHeight w:val="285"/>
        </w:trPr>
        <w:tc>
          <w:tcPr>
            <w:tcW w:w="4641" w:type="dxa"/>
            <w:hideMark/>
          </w:tcPr>
          <w:p w14:paraId="3D6D5569"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μείον</w:t>
            </w:r>
            <w:proofErr w:type="spellEnd"/>
            <w:r w:rsidRPr="007648DE">
              <w:rPr>
                <w:rFonts w:ascii="Ping LCG Regular" w:hAnsi="Ping LCG Regular" w:cs="Arial"/>
                <w:color w:val="000000"/>
                <w:sz w:val="20"/>
                <w:szCs w:val="20"/>
              </w:rPr>
              <w:t xml:space="preserve"> :</w:t>
            </w:r>
          </w:p>
        </w:tc>
        <w:tc>
          <w:tcPr>
            <w:tcW w:w="2447" w:type="dxa"/>
            <w:hideMark/>
          </w:tcPr>
          <w:p w14:paraId="26726D05"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hideMark/>
          </w:tcPr>
          <w:p w14:paraId="0ECD246C"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0B17FC35" w14:textId="77777777" w:rsidTr="00EA7607">
        <w:trPr>
          <w:trHeight w:val="300"/>
        </w:trPr>
        <w:tc>
          <w:tcPr>
            <w:tcW w:w="4641" w:type="dxa"/>
            <w:hideMark/>
          </w:tcPr>
          <w:p w14:paraId="2E6CC38E"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t xml:space="preserve">Λειτουργικές Δαπάνες προ Αποσβέσεων και </w:t>
            </w:r>
            <w:proofErr w:type="spellStart"/>
            <w:r w:rsidRPr="00EA7607">
              <w:rPr>
                <w:rFonts w:ascii="Ping LCG Regular" w:hAnsi="Ping LCG Regular" w:cs="Arial"/>
                <w:b/>
                <w:bCs/>
                <w:color w:val="000000"/>
                <w:sz w:val="20"/>
                <w:szCs w:val="20"/>
                <w:lang w:val="el-GR"/>
              </w:rPr>
              <w:t>Απομειώσεων</w:t>
            </w:r>
            <w:proofErr w:type="spellEnd"/>
            <w:r w:rsidRPr="00EA7607">
              <w:rPr>
                <w:rFonts w:ascii="Ping LCG Regular" w:hAnsi="Ping LCG Regular" w:cs="Arial"/>
                <w:b/>
                <w:bCs/>
                <w:color w:val="000000"/>
                <w:sz w:val="20"/>
                <w:szCs w:val="20"/>
                <w:lang w:val="el-GR"/>
              </w:rPr>
              <w:t xml:space="preserve"> (2)</w:t>
            </w:r>
          </w:p>
        </w:tc>
        <w:tc>
          <w:tcPr>
            <w:tcW w:w="2447" w:type="dxa"/>
            <w:hideMark/>
          </w:tcPr>
          <w:p w14:paraId="1D96F26F" w14:textId="77777777" w:rsidR="00F100CD" w:rsidRPr="007648DE" w:rsidRDefault="00F100CD" w:rsidP="0075043E">
            <w:pPr>
              <w:autoSpaceDE w:val="0"/>
              <w:autoSpaceDN w:val="0"/>
              <w:adjustRightInd w:val="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1.712,3</w:t>
            </w:r>
          </w:p>
        </w:tc>
        <w:tc>
          <w:tcPr>
            <w:tcW w:w="2410" w:type="dxa"/>
            <w:hideMark/>
          </w:tcPr>
          <w:p w14:paraId="42DF499E" w14:textId="77777777" w:rsidR="00F100CD" w:rsidRPr="007648DE" w:rsidRDefault="00F100CD" w:rsidP="0075043E">
            <w:pPr>
              <w:autoSpaceDE w:val="0"/>
              <w:autoSpaceDN w:val="0"/>
              <w:adjustRightInd w:val="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2.077,4</w:t>
            </w:r>
          </w:p>
        </w:tc>
      </w:tr>
      <w:tr w:rsidR="00F100CD" w:rsidRPr="007648DE" w14:paraId="2F8ECEAF" w14:textId="77777777" w:rsidTr="00EA7607">
        <w:trPr>
          <w:trHeight w:val="285"/>
        </w:trPr>
        <w:tc>
          <w:tcPr>
            <w:tcW w:w="4641" w:type="dxa"/>
            <w:hideMark/>
          </w:tcPr>
          <w:p w14:paraId="32332D8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Αμοι</w:t>
            </w:r>
            <w:proofErr w:type="spellEnd"/>
            <w:r w:rsidRPr="007648DE">
              <w:rPr>
                <w:rFonts w:ascii="Ping LCG Regular" w:hAnsi="Ping LCG Regular" w:cs="Arial"/>
                <w:color w:val="000000"/>
                <w:sz w:val="20"/>
                <w:szCs w:val="20"/>
              </w:rPr>
              <w:t>βές π</w:t>
            </w:r>
            <w:proofErr w:type="spellStart"/>
            <w:r w:rsidRPr="007648DE">
              <w:rPr>
                <w:rFonts w:ascii="Ping LCG Regular" w:hAnsi="Ping LCG Regular" w:cs="Arial"/>
                <w:color w:val="000000"/>
                <w:sz w:val="20"/>
                <w:szCs w:val="20"/>
              </w:rPr>
              <w:t>ροσω</w:t>
            </w:r>
            <w:proofErr w:type="spellEnd"/>
            <w:r w:rsidRPr="007648DE">
              <w:rPr>
                <w:rFonts w:ascii="Ping LCG Regular" w:hAnsi="Ping LCG Regular" w:cs="Arial"/>
                <w:color w:val="000000"/>
                <w:sz w:val="20"/>
                <w:szCs w:val="20"/>
              </w:rPr>
              <w:t>πικού</w:t>
            </w:r>
          </w:p>
        </w:tc>
        <w:tc>
          <w:tcPr>
            <w:tcW w:w="2447" w:type="dxa"/>
            <w:hideMark/>
          </w:tcPr>
          <w:p w14:paraId="7065AD2A"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180,5</w:t>
            </w:r>
          </w:p>
        </w:tc>
        <w:tc>
          <w:tcPr>
            <w:tcW w:w="2410" w:type="dxa"/>
            <w:noWrap/>
            <w:hideMark/>
          </w:tcPr>
          <w:p w14:paraId="07B11567"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176,9</w:t>
            </w:r>
          </w:p>
        </w:tc>
      </w:tr>
      <w:tr w:rsidR="00F100CD" w:rsidRPr="007648DE" w14:paraId="064C84CB" w14:textId="77777777" w:rsidTr="00EA7607">
        <w:trPr>
          <w:trHeight w:val="285"/>
        </w:trPr>
        <w:tc>
          <w:tcPr>
            <w:tcW w:w="4641" w:type="dxa"/>
            <w:hideMark/>
          </w:tcPr>
          <w:p w14:paraId="149BE73E"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Λιγνίτης</w:t>
            </w:r>
            <w:proofErr w:type="spellEnd"/>
          </w:p>
        </w:tc>
        <w:tc>
          <w:tcPr>
            <w:tcW w:w="2447" w:type="dxa"/>
            <w:hideMark/>
          </w:tcPr>
          <w:p w14:paraId="3C02FCEE"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7,8</w:t>
            </w:r>
          </w:p>
        </w:tc>
        <w:tc>
          <w:tcPr>
            <w:tcW w:w="2410" w:type="dxa"/>
            <w:noWrap/>
            <w:hideMark/>
          </w:tcPr>
          <w:p w14:paraId="59AE1445"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12,6</w:t>
            </w:r>
          </w:p>
        </w:tc>
      </w:tr>
      <w:tr w:rsidR="00F100CD" w:rsidRPr="007648DE" w14:paraId="55FB7255" w14:textId="77777777" w:rsidTr="00EA7607">
        <w:trPr>
          <w:trHeight w:val="285"/>
        </w:trPr>
        <w:tc>
          <w:tcPr>
            <w:tcW w:w="4641" w:type="dxa"/>
            <w:hideMark/>
          </w:tcPr>
          <w:p w14:paraId="408F1E89"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Υγρά</w:t>
            </w:r>
            <w:proofErr w:type="spellEnd"/>
            <w:r w:rsidRPr="007648DE">
              <w:rPr>
                <w:rFonts w:ascii="Ping LCG Regular" w:hAnsi="Ping LCG Regular" w:cs="Arial"/>
                <w:color w:val="000000"/>
                <w:sz w:val="20"/>
                <w:szCs w:val="20"/>
              </w:rPr>
              <w:t xml:space="preserve"> Κα</w:t>
            </w:r>
            <w:proofErr w:type="spellStart"/>
            <w:r w:rsidRPr="007648DE">
              <w:rPr>
                <w:rFonts w:ascii="Ping LCG Regular" w:hAnsi="Ping LCG Regular" w:cs="Arial"/>
                <w:color w:val="000000"/>
                <w:sz w:val="20"/>
                <w:szCs w:val="20"/>
              </w:rPr>
              <w:t>ύσιμ</w:t>
            </w:r>
            <w:proofErr w:type="spellEnd"/>
            <w:r w:rsidRPr="007648DE">
              <w:rPr>
                <w:rFonts w:ascii="Ping LCG Regular" w:hAnsi="Ping LCG Regular" w:cs="Arial"/>
                <w:color w:val="000000"/>
                <w:sz w:val="20"/>
                <w:szCs w:val="20"/>
              </w:rPr>
              <w:t>α</w:t>
            </w:r>
          </w:p>
        </w:tc>
        <w:tc>
          <w:tcPr>
            <w:tcW w:w="2447" w:type="dxa"/>
            <w:hideMark/>
          </w:tcPr>
          <w:p w14:paraId="4D934FDA"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142,3</w:t>
            </w:r>
          </w:p>
        </w:tc>
        <w:tc>
          <w:tcPr>
            <w:tcW w:w="2410" w:type="dxa"/>
            <w:noWrap/>
            <w:hideMark/>
          </w:tcPr>
          <w:p w14:paraId="276B2F1F"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156,0</w:t>
            </w:r>
          </w:p>
        </w:tc>
      </w:tr>
      <w:tr w:rsidR="00F100CD" w:rsidRPr="007648DE" w14:paraId="505A5778" w14:textId="77777777" w:rsidTr="00EA7607">
        <w:trPr>
          <w:trHeight w:val="285"/>
        </w:trPr>
        <w:tc>
          <w:tcPr>
            <w:tcW w:w="4641" w:type="dxa"/>
            <w:hideMark/>
          </w:tcPr>
          <w:p w14:paraId="2A5DF7F4"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Φυσικό</w:t>
            </w:r>
            <w:proofErr w:type="spellEnd"/>
            <w:r w:rsidRPr="007648DE">
              <w:rPr>
                <w:rFonts w:ascii="Ping LCG Regular" w:hAnsi="Ping LCG Regular" w:cs="Arial"/>
                <w:color w:val="000000"/>
                <w:sz w:val="20"/>
                <w:szCs w:val="20"/>
              </w:rPr>
              <w:t xml:space="preserve"> </w:t>
            </w:r>
            <w:proofErr w:type="spellStart"/>
            <w:r w:rsidRPr="007648DE">
              <w:rPr>
                <w:rFonts w:ascii="Ping LCG Regular" w:hAnsi="Ping LCG Regular" w:cs="Arial"/>
                <w:color w:val="000000"/>
                <w:sz w:val="20"/>
                <w:szCs w:val="20"/>
              </w:rPr>
              <w:t>Αέριο</w:t>
            </w:r>
            <w:proofErr w:type="spellEnd"/>
          </w:p>
        </w:tc>
        <w:tc>
          <w:tcPr>
            <w:tcW w:w="2447" w:type="dxa"/>
            <w:hideMark/>
          </w:tcPr>
          <w:p w14:paraId="71FE13A5"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214,3</w:t>
            </w:r>
          </w:p>
        </w:tc>
        <w:tc>
          <w:tcPr>
            <w:tcW w:w="2410" w:type="dxa"/>
            <w:noWrap/>
            <w:hideMark/>
          </w:tcPr>
          <w:p w14:paraId="3B449023"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423,8</w:t>
            </w:r>
          </w:p>
        </w:tc>
      </w:tr>
      <w:tr w:rsidR="00F100CD" w:rsidRPr="007648DE" w14:paraId="5BB4FC7F" w14:textId="77777777" w:rsidTr="00EA7607">
        <w:trPr>
          <w:trHeight w:val="285"/>
        </w:trPr>
        <w:tc>
          <w:tcPr>
            <w:tcW w:w="4641" w:type="dxa"/>
            <w:hideMark/>
          </w:tcPr>
          <w:p w14:paraId="34DA7EB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Αγορές</w:t>
            </w:r>
            <w:proofErr w:type="spellEnd"/>
            <w:r w:rsidRPr="007648DE">
              <w:rPr>
                <w:rFonts w:ascii="Ping LCG Regular" w:hAnsi="Ping LCG Regular" w:cs="Arial"/>
                <w:color w:val="000000"/>
                <w:sz w:val="20"/>
                <w:szCs w:val="20"/>
              </w:rPr>
              <w:t xml:space="preserve"> </w:t>
            </w:r>
            <w:proofErr w:type="spellStart"/>
            <w:r w:rsidRPr="007648DE">
              <w:rPr>
                <w:rFonts w:ascii="Ping LCG Regular" w:hAnsi="Ping LCG Regular" w:cs="Arial"/>
                <w:color w:val="000000"/>
                <w:sz w:val="20"/>
                <w:szCs w:val="20"/>
              </w:rPr>
              <w:t>ηλεκτρικής</w:t>
            </w:r>
            <w:proofErr w:type="spellEnd"/>
            <w:r w:rsidRPr="007648DE">
              <w:rPr>
                <w:rFonts w:ascii="Ping LCG Regular" w:hAnsi="Ping LCG Regular" w:cs="Arial"/>
                <w:color w:val="000000"/>
                <w:sz w:val="20"/>
                <w:szCs w:val="20"/>
              </w:rPr>
              <w:t xml:space="preserve"> </w:t>
            </w:r>
            <w:proofErr w:type="spellStart"/>
            <w:r w:rsidRPr="007648DE">
              <w:rPr>
                <w:rFonts w:ascii="Ping LCG Regular" w:hAnsi="Ping LCG Regular" w:cs="Arial"/>
                <w:color w:val="000000"/>
                <w:sz w:val="20"/>
                <w:szCs w:val="20"/>
              </w:rPr>
              <w:t>ενέργει</w:t>
            </w:r>
            <w:proofErr w:type="spellEnd"/>
            <w:r w:rsidRPr="007648DE">
              <w:rPr>
                <w:rFonts w:ascii="Ping LCG Regular" w:hAnsi="Ping LCG Regular" w:cs="Arial"/>
                <w:color w:val="000000"/>
                <w:sz w:val="20"/>
                <w:szCs w:val="20"/>
              </w:rPr>
              <w:t>ας</w:t>
            </w:r>
          </w:p>
        </w:tc>
        <w:tc>
          <w:tcPr>
            <w:tcW w:w="2447" w:type="dxa"/>
            <w:hideMark/>
          </w:tcPr>
          <w:p w14:paraId="3D3D2B4C"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720,5</w:t>
            </w:r>
          </w:p>
        </w:tc>
        <w:tc>
          <w:tcPr>
            <w:tcW w:w="2410" w:type="dxa"/>
            <w:noWrap/>
            <w:hideMark/>
          </w:tcPr>
          <w:p w14:paraId="6EB2C824"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808,2</w:t>
            </w:r>
          </w:p>
        </w:tc>
      </w:tr>
      <w:tr w:rsidR="00F100CD" w:rsidRPr="007648DE" w14:paraId="1B0BFC08" w14:textId="77777777" w:rsidTr="00EA7607">
        <w:trPr>
          <w:trHeight w:val="285"/>
        </w:trPr>
        <w:tc>
          <w:tcPr>
            <w:tcW w:w="4641" w:type="dxa"/>
            <w:hideMark/>
          </w:tcPr>
          <w:p w14:paraId="494771D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Υλικά</w:t>
            </w:r>
            <w:proofErr w:type="spellEnd"/>
            <w:r w:rsidRPr="007648DE">
              <w:rPr>
                <w:rFonts w:ascii="Ping LCG Regular" w:hAnsi="Ping LCG Regular" w:cs="Arial"/>
                <w:color w:val="000000"/>
                <w:sz w:val="20"/>
                <w:szCs w:val="20"/>
              </w:rPr>
              <w:t xml:space="preserve"> και ανα</w:t>
            </w:r>
            <w:proofErr w:type="spellStart"/>
            <w:r w:rsidRPr="007648DE">
              <w:rPr>
                <w:rFonts w:ascii="Ping LCG Regular" w:hAnsi="Ping LCG Regular" w:cs="Arial"/>
                <w:color w:val="000000"/>
                <w:sz w:val="20"/>
                <w:szCs w:val="20"/>
              </w:rPr>
              <w:t>λώσιμ</w:t>
            </w:r>
            <w:proofErr w:type="spellEnd"/>
            <w:r w:rsidRPr="007648DE">
              <w:rPr>
                <w:rFonts w:ascii="Ping LCG Regular" w:hAnsi="Ping LCG Regular" w:cs="Arial"/>
                <w:color w:val="000000"/>
                <w:sz w:val="20"/>
                <w:szCs w:val="20"/>
              </w:rPr>
              <w:t>α</w:t>
            </w:r>
          </w:p>
        </w:tc>
        <w:tc>
          <w:tcPr>
            <w:tcW w:w="2447" w:type="dxa"/>
            <w:hideMark/>
          </w:tcPr>
          <w:p w14:paraId="54E85AC4"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20,3</w:t>
            </w:r>
          </w:p>
        </w:tc>
        <w:tc>
          <w:tcPr>
            <w:tcW w:w="2410" w:type="dxa"/>
            <w:noWrap/>
            <w:hideMark/>
          </w:tcPr>
          <w:p w14:paraId="70EEFA7A"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23,3</w:t>
            </w:r>
          </w:p>
        </w:tc>
      </w:tr>
      <w:tr w:rsidR="00F100CD" w:rsidRPr="007648DE" w14:paraId="2DEB78EB" w14:textId="77777777" w:rsidTr="00EA7607">
        <w:trPr>
          <w:trHeight w:val="285"/>
        </w:trPr>
        <w:tc>
          <w:tcPr>
            <w:tcW w:w="4641" w:type="dxa"/>
            <w:hideMark/>
          </w:tcPr>
          <w:p w14:paraId="35D06CFD"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Τέλη πρόσβασης και χρήσης δικτύου μεταφοράς</w:t>
            </w:r>
          </w:p>
        </w:tc>
        <w:tc>
          <w:tcPr>
            <w:tcW w:w="2447" w:type="dxa"/>
            <w:hideMark/>
          </w:tcPr>
          <w:p w14:paraId="17F1F496"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41,7</w:t>
            </w:r>
          </w:p>
        </w:tc>
        <w:tc>
          <w:tcPr>
            <w:tcW w:w="2410" w:type="dxa"/>
            <w:noWrap/>
            <w:hideMark/>
          </w:tcPr>
          <w:p w14:paraId="3840EDB1"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33,2</w:t>
            </w:r>
          </w:p>
        </w:tc>
      </w:tr>
      <w:tr w:rsidR="00F100CD" w:rsidRPr="007648DE" w14:paraId="5DED2AFB" w14:textId="77777777" w:rsidTr="00EA7607">
        <w:trPr>
          <w:trHeight w:val="285"/>
        </w:trPr>
        <w:tc>
          <w:tcPr>
            <w:tcW w:w="4641" w:type="dxa"/>
            <w:hideMark/>
          </w:tcPr>
          <w:p w14:paraId="3D8A8C23"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Συντηρήσεις</w:t>
            </w:r>
            <w:proofErr w:type="spellEnd"/>
            <w:r w:rsidRPr="007648DE">
              <w:rPr>
                <w:rFonts w:ascii="Ping LCG Regular" w:hAnsi="Ping LCG Regular" w:cs="Arial"/>
                <w:color w:val="000000"/>
                <w:sz w:val="20"/>
                <w:szCs w:val="20"/>
              </w:rPr>
              <w:t xml:space="preserve"> και πα</w:t>
            </w:r>
            <w:proofErr w:type="spellStart"/>
            <w:r w:rsidRPr="007648DE">
              <w:rPr>
                <w:rFonts w:ascii="Ping LCG Regular" w:hAnsi="Ping LCG Regular" w:cs="Arial"/>
                <w:color w:val="000000"/>
                <w:sz w:val="20"/>
                <w:szCs w:val="20"/>
              </w:rPr>
              <w:t>ροχές</w:t>
            </w:r>
            <w:proofErr w:type="spellEnd"/>
            <w:r w:rsidRPr="007648DE">
              <w:rPr>
                <w:rFonts w:ascii="Ping LCG Regular" w:hAnsi="Ping LCG Regular" w:cs="Arial"/>
                <w:color w:val="000000"/>
                <w:sz w:val="20"/>
                <w:szCs w:val="20"/>
              </w:rPr>
              <w:t xml:space="preserve"> </w:t>
            </w:r>
            <w:proofErr w:type="spellStart"/>
            <w:r w:rsidRPr="007648DE">
              <w:rPr>
                <w:rFonts w:ascii="Ping LCG Regular" w:hAnsi="Ping LCG Regular" w:cs="Arial"/>
                <w:color w:val="000000"/>
                <w:sz w:val="20"/>
                <w:szCs w:val="20"/>
              </w:rPr>
              <w:t>τρίτων</w:t>
            </w:r>
            <w:proofErr w:type="spellEnd"/>
          </w:p>
        </w:tc>
        <w:tc>
          <w:tcPr>
            <w:tcW w:w="2447" w:type="dxa"/>
            <w:hideMark/>
          </w:tcPr>
          <w:p w14:paraId="072F0079"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50,1</w:t>
            </w:r>
          </w:p>
        </w:tc>
        <w:tc>
          <w:tcPr>
            <w:tcW w:w="2410" w:type="dxa"/>
            <w:noWrap/>
            <w:hideMark/>
          </w:tcPr>
          <w:p w14:paraId="3131C8B2"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45,4</w:t>
            </w:r>
          </w:p>
        </w:tc>
      </w:tr>
      <w:tr w:rsidR="00F100CD" w:rsidRPr="007648DE" w14:paraId="2DCB626A" w14:textId="77777777" w:rsidTr="00EA7607">
        <w:trPr>
          <w:trHeight w:val="285"/>
        </w:trPr>
        <w:tc>
          <w:tcPr>
            <w:tcW w:w="4641" w:type="dxa"/>
            <w:hideMark/>
          </w:tcPr>
          <w:p w14:paraId="6E96C29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Αμοι</w:t>
            </w:r>
            <w:proofErr w:type="spellEnd"/>
            <w:r w:rsidRPr="007648DE">
              <w:rPr>
                <w:rFonts w:ascii="Ping LCG Regular" w:hAnsi="Ping LCG Regular" w:cs="Arial"/>
                <w:color w:val="000000"/>
                <w:sz w:val="20"/>
                <w:szCs w:val="20"/>
              </w:rPr>
              <w:t xml:space="preserve">βές </w:t>
            </w:r>
            <w:proofErr w:type="spellStart"/>
            <w:r w:rsidRPr="007648DE">
              <w:rPr>
                <w:rFonts w:ascii="Ping LCG Regular" w:hAnsi="Ping LCG Regular" w:cs="Arial"/>
                <w:color w:val="000000"/>
                <w:sz w:val="20"/>
                <w:szCs w:val="20"/>
              </w:rPr>
              <w:t>τρίτων</w:t>
            </w:r>
            <w:proofErr w:type="spellEnd"/>
          </w:p>
        </w:tc>
        <w:tc>
          <w:tcPr>
            <w:tcW w:w="2447" w:type="dxa"/>
            <w:hideMark/>
          </w:tcPr>
          <w:p w14:paraId="28B4DC4D"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45,6</w:t>
            </w:r>
          </w:p>
        </w:tc>
        <w:tc>
          <w:tcPr>
            <w:tcW w:w="2410" w:type="dxa"/>
            <w:noWrap/>
            <w:hideMark/>
          </w:tcPr>
          <w:p w14:paraId="3D7432BD"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30,6</w:t>
            </w:r>
          </w:p>
        </w:tc>
      </w:tr>
      <w:tr w:rsidR="00F100CD" w:rsidRPr="007648DE" w14:paraId="010930F2" w14:textId="77777777" w:rsidTr="00EA7607">
        <w:trPr>
          <w:trHeight w:val="213"/>
        </w:trPr>
        <w:tc>
          <w:tcPr>
            <w:tcW w:w="4641" w:type="dxa"/>
            <w:hideMark/>
          </w:tcPr>
          <w:p w14:paraId="6E8B499B"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Δικ</w:t>
            </w:r>
            <w:proofErr w:type="spellEnd"/>
            <w:r w:rsidRPr="007648DE">
              <w:rPr>
                <w:rFonts w:ascii="Ping LCG Regular" w:hAnsi="Ping LCG Regular" w:cs="Arial"/>
                <w:color w:val="000000"/>
                <w:sz w:val="20"/>
                <w:szCs w:val="20"/>
              </w:rPr>
              <w:t xml:space="preserve">αιώματα </w:t>
            </w:r>
            <w:proofErr w:type="spellStart"/>
            <w:r w:rsidRPr="007648DE">
              <w:rPr>
                <w:rFonts w:ascii="Ping LCG Regular" w:hAnsi="Ping LCG Regular" w:cs="Arial"/>
                <w:color w:val="000000"/>
                <w:sz w:val="20"/>
                <w:szCs w:val="20"/>
              </w:rPr>
              <w:t>εκ</w:t>
            </w:r>
            <w:proofErr w:type="spellEnd"/>
            <w:r w:rsidRPr="007648DE">
              <w:rPr>
                <w:rFonts w:ascii="Ping LCG Regular" w:hAnsi="Ping LCG Regular" w:cs="Arial"/>
                <w:color w:val="000000"/>
                <w:sz w:val="20"/>
                <w:szCs w:val="20"/>
              </w:rPr>
              <w:t>πομπών α</w:t>
            </w:r>
            <w:proofErr w:type="spellStart"/>
            <w:r w:rsidRPr="007648DE">
              <w:rPr>
                <w:rFonts w:ascii="Ping LCG Regular" w:hAnsi="Ping LCG Regular" w:cs="Arial"/>
                <w:color w:val="000000"/>
                <w:sz w:val="20"/>
                <w:szCs w:val="20"/>
              </w:rPr>
              <w:t>ερίων</w:t>
            </w:r>
            <w:proofErr w:type="spellEnd"/>
          </w:p>
        </w:tc>
        <w:tc>
          <w:tcPr>
            <w:tcW w:w="2447" w:type="dxa"/>
            <w:hideMark/>
          </w:tcPr>
          <w:p w14:paraId="7093BBFD"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230,5</w:t>
            </w:r>
          </w:p>
        </w:tc>
        <w:tc>
          <w:tcPr>
            <w:tcW w:w="2410" w:type="dxa"/>
            <w:noWrap/>
            <w:hideMark/>
          </w:tcPr>
          <w:p w14:paraId="6E9FBC56"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300,0</w:t>
            </w:r>
          </w:p>
        </w:tc>
      </w:tr>
      <w:tr w:rsidR="00F100CD" w:rsidRPr="007648DE" w14:paraId="0BBFD891" w14:textId="77777777" w:rsidTr="00EA7607">
        <w:trPr>
          <w:trHeight w:val="260"/>
        </w:trPr>
        <w:tc>
          <w:tcPr>
            <w:tcW w:w="4641" w:type="dxa"/>
            <w:hideMark/>
          </w:tcPr>
          <w:p w14:paraId="58A77793"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Προ</w:t>
            </w:r>
            <w:proofErr w:type="spellEnd"/>
            <w:r w:rsidRPr="007648DE">
              <w:rPr>
                <w:rFonts w:ascii="Ping LCG Regular" w:hAnsi="Ping LCG Regular" w:cs="Arial"/>
                <w:color w:val="000000"/>
                <w:sz w:val="20"/>
                <w:szCs w:val="20"/>
              </w:rPr>
              <w:t xml:space="preserve">βλέψεις </w:t>
            </w:r>
            <w:proofErr w:type="spellStart"/>
            <w:r w:rsidRPr="007648DE">
              <w:rPr>
                <w:rFonts w:ascii="Ping LCG Regular" w:hAnsi="Ping LCG Regular" w:cs="Arial"/>
                <w:color w:val="000000"/>
                <w:sz w:val="20"/>
                <w:szCs w:val="20"/>
              </w:rPr>
              <w:t>γι</w:t>
            </w:r>
            <w:proofErr w:type="spellEnd"/>
            <w:r w:rsidRPr="007648DE">
              <w:rPr>
                <w:rFonts w:ascii="Ping LCG Regular" w:hAnsi="Ping LCG Regular" w:cs="Arial"/>
                <w:color w:val="000000"/>
                <w:sz w:val="20"/>
                <w:szCs w:val="20"/>
              </w:rPr>
              <w:t xml:space="preserve">α </w:t>
            </w:r>
            <w:proofErr w:type="spellStart"/>
            <w:r w:rsidRPr="007648DE">
              <w:rPr>
                <w:rFonts w:ascii="Ping LCG Regular" w:hAnsi="Ping LCG Regular" w:cs="Arial"/>
                <w:color w:val="000000"/>
                <w:sz w:val="20"/>
                <w:szCs w:val="20"/>
              </w:rPr>
              <w:t>κινδύνους</w:t>
            </w:r>
            <w:proofErr w:type="spellEnd"/>
          </w:p>
        </w:tc>
        <w:tc>
          <w:tcPr>
            <w:tcW w:w="2447" w:type="dxa"/>
            <w:hideMark/>
          </w:tcPr>
          <w:p w14:paraId="2BA31D11"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4,1</w:t>
            </w:r>
          </w:p>
        </w:tc>
        <w:tc>
          <w:tcPr>
            <w:tcW w:w="2410" w:type="dxa"/>
            <w:noWrap/>
            <w:hideMark/>
          </w:tcPr>
          <w:p w14:paraId="2B9EF23D"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(9,3)                                </w:t>
            </w:r>
          </w:p>
        </w:tc>
      </w:tr>
      <w:tr w:rsidR="00F100CD" w:rsidRPr="007648DE" w14:paraId="18EB68B0" w14:textId="77777777" w:rsidTr="00EA7607">
        <w:trPr>
          <w:trHeight w:val="285"/>
        </w:trPr>
        <w:tc>
          <w:tcPr>
            <w:tcW w:w="4641" w:type="dxa"/>
            <w:hideMark/>
          </w:tcPr>
          <w:p w14:paraId="59E3F450"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Προ</w:t>
            </w:r>
            <w:proofErr w:type="spellEnd"/>
            <w:r w:rsidRPr="007648DE">
              <w:rPr>
                <w:rFonts w:ascii="Ping LCG Regular" w:hAnsi="Ping LCG Regular" w:cs="Arial"/>
                <w:color w:val="000000"/>
                <w:sz w:val="20"/>
                <w:szCs w:val="20"/>
              </w:rPr>
              <w:t>βλέψεις απ</w:t>
            </w:r>
            <w:proofErr w:type="spellStart"/>
            <w:r w:rsidRPr="007648DE">
              <w:rPr>
                <w:rFonts w:ascii="Ping LCG Regular" w:hAnsi="Ping LCG Regular" w:cs="Arial"/>
                <w:color w:val="000000"/>
                <w:sz w:val="20"/>
                <w:szCs w:val="20"/>
              </w:rPr>
              <w:t>ομείωσης</w:t>
            </w:r>
            <w:proofErr w:type="spellEnd"/>
            <w:r w:rsidRPr="007648DE">
              <w:rPr>
                <w:rFonts w:ascii="Ping LCG Regular" w:hAnsi="Ping LCG Regular" w:cs="Arial"/>
                <w:color w:val="000000"/>
                <w:sz w:val="20"/>
                <w:szCs w:val="20"/>
              </w:rPr>
              <w:t xml:space="preserve"> α</w:t>
            </w:r>
            <w:proofErr w:type="spellStart"/>
            <w:r w:rsidRPr="007648DE">
              <w:rPr>
                <w:rFonts w:ascii="Ping LCG Regular" w:hAnsi="Ping LCG Regular" w:cs="Arial"/>
                <w:color w:val="000000"/>
                <w:sz w:val="20"/>
                <w:szCs w:val="20"/>
              </w:rPr>
              <w:t>ξί</w:t>
            </w:r>
            <w:proofErr w:type="spellEnd"/>
            <w:r w:rsidRPr="007648DE">
              <w:rPr>
                <w:rFonts w:ascii="Ping LCG Regular" w:hAnsi="Ping LCG Regular" w:cs="Arial"/>
                <w:color w:val="000000"/>
                <w:sz w:val="20"/>
                <w:szCs w:val="20"/>
              </w:rPr>
              <w:t xml:space="preserve">ας </w:t>
            </w:r>
            <w:proofErr w:type="spellStart"/>
            <w:r w:rsidRPr="007648DE">
              <w:rPr>
                <w:rFonts w:ascii="Ping LCG Regular" w:hAnsi="Ping LCG Regular" w:cs="Arial"/>
                <w:color w:val="000000"/>
                <w:sz w:val="20"/>
                <w:szCs w:val="20"/>
              </w:rPr>
              <w:t>υλικών</w:t>
            </w:r>
            <w:proofErr w:type="spellEnd"/>
          </w:p>
        </w:tc>
        <w:tc>
          <w:tcPr>
            <w:tcW w:w="2447" w:type="dxa"/>
            <w:hideMark/>
          </w:tcPr>
          <w:p w14:paraId="19207F66"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0,9</w:t>
            </w:r>
          </w:p>
        </w:tc>
        <w:tc>
          <w:tcPr>
            <w:tcW w:w="2410" w:type="dxa"/>
            <w:noWrap/>
            <w:hideMark/>
          </w:tcPr>
          <w:p w14:paraId="0EC439D5"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3,6</w:t>
            </w:r>
          </w:p>
        </w:tc>
      </w:tr>
      <w:tr w:rsidR="00F100CD" w:rsidRPr="007648DE" w14:paraId="4ABAC212" w14:textId="77777777" w:rsidTr="00EA7607">
        <w:trPr>
          <w:trHeight w:val="285"/>
        </w:trPr>
        <w:tc>
          <w:tcPr>
            <w:tcW w:w="4641" w:type="dxa"/>
            <w:hideMark/>
          </w:tcPr>
          <w:p w14:paraId="1A1BE648"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Προ</w:t>
            </w:r>
            <w:proofErr w:type="spellEnd"/>
            <w:r w:rsidRPr="007648DE">
              <w:rPr>
                <w:rFonts w:ascii="Ping LCG Regular" w:hAnsi="Ping LCG Regular" w:cs="Arial"/>
                <w:color w:val="000000"/>
                <w:sz w:val="20"/>
                <w:szCs w:val="20"/>
              </w:rPr>
              <w:t xml:space="preserve">βλέψεις </w:t>
            </w:r>
            <w:proofErr w:type="spellStart"/>
            <w:r w:rsidRPr="007648DE">
              <w:rPr>
                <w:rFonts w:ascii="Ping LCG Regular" w:hAnsi="Ping LCG Regular" w:cs="Arial"/>
                <w:color w:val="000000"/>
                <w:sz w:val="20"/>
                <w:szCs w:val="20"/>
              </w:rPr>
              <w:t>γι</w:t>
            </w:r>
            <w:proofErr w:type="spellEnd"/>
            <w:r w:rsidRPr="007648DE">
              <w:rPr>
                <w:rFonts w:ascii="Ping LCG Regular" w:hAnsi="Ping LCG Regular" w:cs="Arial"/>
                <w:color w:val="000000"/>
                <w:sz w:val="20"/>
                <w:szCs w:val="20"/>
              </w:rPr>
              <w:t>α επ</w:t>
            </w:r>
            <w:proofErr w:type="spellStart"/>
            <w:r w:rsidRPr="007648DE">
              <w:rPr>
                <w:rFonts w:ascii="Ping LCG Regular" w:hAnsi="Ping LCG Regular" w:cs="Arial"/>
                <w:color w:val="000000"/>
                <w:sz w:val="20"/>
                <w:szCs w:val="20"/>
              </w:rPr>
              <w:t>ισφ</w:t>
            </w:r>
            <w:proofErr w:type="spellEnd"/>
            <w:r w:rsidRPr="007648DE">
              <w:rPr>
                <w:rFonts w:ascii="Ping LCG Regular" w:hAnsi="Ping LCG Regular" w:cs="Arial"/>
                <w:color w:val="000000"/>
                <w:sz w:val="20"/>
                <w:szCs w:val="20"/>
              </w:rPr>
              <w:t>αλείς απα</w:t>
            </w:r>
            <w:proofErr w:type="spellStart"/>
            <w:r w:rsidRPr="007648DE">
              <w:rPr>
                <w:rFonts w:ascii="Ping LCG Regular" w:hAnsi="Ping LCG Regular" w:cs="Arial"/>
                <w:color w:val="000000"/>
                <w:sz w:val="20"/>
                <w:szCs w:val="20"/>
              </w:rPr>
              <w:t>ιτήσεις</w:t>
            </w:r>
            <w:proofErr w:type="spellEnd"/>
          </w:p>
        </w:tc>
        <w:tc>
          <w:tcPr>
            <w:tcW w:w="2447" w:type="dxa"/>
            <w:hideMark/>
          </w:tcPr>
          <w:p w14:paraId="3B5E106E"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34,1</w:t>
            </w:r>
          </w:p>
        </w:tc>
        <w:tc>
          <w:tcPr>
            <w:tcW w:w="2410" w:type="dxa"/>
            <w:noWrap/>
            <w:hideMark/>
          </w:tcPr>
          <w:p w14:paraId="22A90F40"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45,9</w:t>
            </w:r>
          </w:p>
        </w:tc>
      </w:tr>
      <w:tr w:rsidR="00F100CD" w:rsidRPr="007648DE" w14:paraId="49D2B4D2" w14:textId="77777777" w:rsidTr="00EA7607">
        <w:trPr>
          <w:trHeight w:val="331"/>
        </w:trPr>
        <w:tc>
          <w:tcPr>
            <w:tcW w:w="4641" w:type="dxa"/>
            <w:hideMark/>
          </w:tcPr>
          <w:p w14:paraId="79B412BD"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Λοι</w:t>
            </w:r>
            <w:proofErr w:type="spellEnd"/>
            <w:r w:rsidRPr="007648DE">
              <w:rPr>
                <w:rFonts w:ascii="Ping LCG Regular" w:hAnsi="Ping LCG Regular" w:cs="Arial"/>
                <w:color w:val="000000"/>
                <w:sz w:val="20"/>
                <w:szCs w:val="20"/>
              </w:rPr>
              <w:t>πά (</w:t>
            </w:r>
            <w:proofErr w:type="spellStart"/>
            <w:r w:rsidRPr="007648DE">
              <w:rPr>
                <w:rFonts w:ascii="Ping LCG Regular" w:hAnsi="Ping LCG Regular" w:cs="Arial"/>
                <w:color w:val="000000"/>
                <w:sz w:val="20"/>
                <w:szCs w:val="20"/>
              </w:rPr>
              <w:t>έσοδ</w:t>
            </w:r>
            <w:proofErr w:type="spellEnd"/>
            <w:r w:rsidRPr="007648DE">
              <w:rPr>
                <w:rFonts w:ascii="Ping LCG Regular" w:hAnsi="Ping LCG Regular" w:cs="Arial"/>
                <w:color w:val="000000"/>
                <w:sz w:val="20"/>
                <w:szCs w:val="20"/>
              </w:rPr>
              <w:t xml:space="preserve">α ) / </w:t>
            </w:r>
            <w:proofErr w:type="spellStart"/>
            <w:r w:rsidRPr="007648DE">
              <w:rPr>
                <w:rFonts w:ascii="Ping LCG Regular" w:hAnsi="Ping LCG Regular" w:cs="Arial"/>
                <w:color w:val="000000"/>
                <w:sz w:val="20"/>
                <w:szCs w:val="20"/>
              </w:rPr>
              <w:t>έξοδ</w:t>
            </w:r>
            <w:proofErr w:type="spellEnd"/>
            <w:r w:rsidRPr="007648DE">
              <w:rPr>
                <w:rFonts w:ascii="Ping LCG Regular" w:hAnsi="Ping LCG Regular" w:cs="Arial"/>
                <w:color w:val="000000"/>
                <w:sz w:val="20"/>
                <w:szCs w:val="20"/>
              </w:rPr>
              <w:t>α, καθα</w:t>
            </w:r>
            <w:proofErr w:type="spellStart"/>
            <w:r w:rsidRPr="007648DE">
              <w:rPr>
                <w:rFonts w:ascii="Ping LCG Regular" w:hAnsi="Ping LCG Regular" w:cs="Arial"/>
                <w:color w:val="000000"/>
                <w:sz w:val="20"/>
                <w:szCs w:val="20"/>
              </w:rPr>
              <w:t>ρά</w:t>
            </w:r>
            <w:proofErr w:type="spellEnd"/>
          </w:p>
        </w:tc>
        <w:tc>
          <w:tcPr>
            <w:tcW w:w="2447" w:type="dxa"/>
            <w:hideMark/>
          </w:tcPr>
          <w:p w14:paraId="0C3FD393"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19,6</w:t>
            </w:r>
          </w:p>
        </w:tc>
        <w:tc>
          <w:tcPr>
            <w:tcW w:w="2410" w:type="dxa"/>
            <w:noWrap/>
            <w:hideMark/>
          </w:tcPr>
          <w:p w14:paraId="07A46C12"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27,2</w:t>
            </w:r>
          </w:p>
        </w:tc>
      </w:tr>
      <w:tr w:rsidR="00F100CD" w:rsidRPr="007648DE" w14:paraId="46AD5995" w14:textId="77777777" w:rsidTr="00EA7607">
        <w:trPr>
          <w:trHeight w:val="495"/>
        </w:trPr>
        <w:tc>
          <w:tcPr>
            <w:tcW w:w="4641" w:type="dxa"/>
            <w:hideMark/>
          </w:tcPr>
          <w:p w14:paraId="336FC4AA"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EBITDA (Α) = [(1) - (2)]</w:t>
            </w:r>
          </w:p>
        </w:tc>
        <w:tc>
          <w:tcPr>
            <w:tcW w:w="2447" w:type="dxa"/>
            <w:hideMark/>
          </w:tcPr>
          <w:p w14:paraId="61D88892"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280,5</w:t>
            </w:r>
          </w:p>
        </w:tc>
        <w:tc>
          <w:tcPr>
            <w:tcW w:w="2410" w:type="dxa"/>
            <w:hideMark/>
          </w:tcPr>
          <w:p w14:paraId="4AFC2893"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170,0</w:t>
            </w:r>
          </w:p>
        </w:tc>
      </w:tr>
      <w:tr w:rsidR="00F100CD" w:rsidRPr="007648DE" w14:paraId="46AF6F33" w14:textId="77777777" w:rsidTr="00EA7607">
        <w:trPr>
          <w:trHeight w:val="390"/>
        </w:trPr>
        <w:tc>
          <w:tcPr>
            <w:tcW w:w="4641" w:type="dxa"/>
            <w:hideMark/>
          </w:tcPr>
          <w:p w14:paraId="03527C3A"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ΠΕΡΙΘΩΡΙΟ EBITDA [(Α) / (1)]</w:t>
            </w:r>
          </w:p>
        </w:tc>
        <w:tc>
          <w:tcPr>
            <w:tcW w:w="2447" w:type="dxa"/>
            <w:hideMark/>
          </w:tcPr>
          <w:p w14:paraId="0E748169"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14,1%</w:t>
            </w:r>
          </w:p>
        </w:tc>
        <w:tc>
          <w:tcPr>
            <w:tcW w:w="2410" w:type="dxa"/>
            <w:hideMark/>
          </w:tcPr>
          <w:p w14:paraId="26953F70"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7,6%</w:t>
            </w:r>
          </w:p>
        </w:tc>
      </w:tr>
    </w:tbl>
    <w:p w14:paraId="5349C441"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4FFACB74"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635BF2D0"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597EEEF3"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75A1D4DD"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34"/>
        <w:gridCol w:w="2454"/>
        <w:gridCol w:w="2410"/>
      </w:tblGrid>
      <w:tr w:rsidR="00F100CD" w:rsidRPr="00157158" w14:paraId="52CB7F78" w14:textId="77777777" w:rsidTr="00F01F3B">
        <w:trPr>
          <w:trHeight w:val="907"/>
        </w:trPr>
        <w:tc>
          <w:tcPr>
            <w:tcW w:w="9498" w:type="dxa"/>
            <w:gridSpan w:val="3"/>
            <w:hideMark/>
          </w:tcPr>
          <w:p w14:paraId="5C701466"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lastRenderedPageBreak/>
              <w:t xml:space="preserve">ΠΙΝΑΚΑΣ Β. Λειτουργικές Δαπάνες προ Αποσβέσεων και </w:t>
            </w:r>
            <w:proofErr w:type="spellStart"/>
            <w:r w:rsidRPr="00EA7607">
              <w:rPr>
                <w:rFonts w:ascii="Ping LCG Regular" w:hAnsi="Ping LCG Regular" w:cs="Arial"/>
                <w:b/>
                <w:bCs/>
                <w:color w:val="000000"/>
                <w:sz w:val="20"/>
                <w:szCs w:val="20"/>
                <w:lang w:val="el-GR"/>
              </w:rPr>
              <w:t>Απομειώσεων</w:t>
            </w:r>
            <w:proofErr w:type="spellEnd"/>
            <w:r w:rsidRPr="00EA7607">
              <w:rPr>
                <w:rFonts w:ascii="Ping LCG Regular" w:hAnsi="Ping LCG Regular" w:cs="Arial"/>
                <w:b/>
                <w:bCs/>
                <w:color w:val="000000"/>
                <w:sz w:val="20"/>
                <w:szCs w:val="20"/>
                <w:lang w:val="el-GR"/>
              </w:rPr>
              <w:t>, συνολικών καθαρών χρηματοοικονομικών δαπανών και κερδών /(ζημιών) από συγγενείς εταιρείες, χωρίς εφάπαξ επιπτώσεις</w:t>
            </w:r>
          </w:p>
        </w:tc>
      </w:tr>
      <w:tr w:rsidR="00F100CD" w:rsidRPr="007648DE" w14:paraId="53FD63AF" w14:textId="77777777" w:rsidTr="00EA7607">
        <w:trPr>
          <w:trHeight w:val="446"/>
        </w:trPr>
        <w:tc>
          <w:tcPr>
            <w:tcW w:w="4634" w:type="dxa"/>
            <w:noWrap/>
            <w:hideMark/>
          </w:tcPr>
          <w:p w14:paraId="63E60671"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54" w:type="dxa"/>
            <w:noWrap/>
            <w:hideMark/>
          </w:tcPr>
          <w:p w14:paraId="0A9213D1"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noWrap/>
            <w:hideMark/>
          </w:tcPr>
          <w:p w14:paraId="210EE895"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34F5D7F8" w14:textId="77777777" w:rsidTr="00F01F3B">
        <w:trPr>
          <w:trHeight w:val="307"/>
        </w:trPr>
        <w:tc>
          <w:tcPr>
            <w:tcW w:w="4634" w:type="dxa"/>
            <w:hideMark/>
          </w:tcPr>
          <w:p w14:paraId="3AE61C5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4864" w:type="dxa"/>
            <w:gridSpan w:val="2"/>
            <w:tcBorders>
              <w:bottom w:val="single" w:sz="12" w:space="0" w:color="auto"/>
            </w:tcBorders>
            <w:hideMark/>
          </w:tcPr>
          <w:p w14:paraId="28D95746"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r w:rsidRPr="007648DE">
              <w:rPr>
                <w:rFonts w:ascii="Ping LCG Regular" w:hAnsi="Ping LCG Regular" w:cs="Arial"/>
                <w:b/>
                <w:bCs/>
                <w:color w:val="000000"/>
                <w:sz w:val="20"/>
                <w:szCs w:val="20"/>
              </w:rPr>
              <w:t>ΟΜΙΛΟΣ</w:t>
            </w:r>
          </w:p>
        </w:tc>
      </w:tr>
      <w:tr w:rsidR="00F100CD" w:rsidRPr="007648DE" w14:paraId="1E319184" w14:textId="77777777" w:rsidTr="00EA7607">
        <w:trPr>
          <w:trHeight w:val="307"/>
        </w:trPr>
        <w:tc>
          <w:tcPr>
            <w:tcW w:w="4634" w:type="dxa"/>
            <w:hideMark/>
          </w:tcPr>
          <w:p w14:paraId="566B2021"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54" w:type="dxa"/>
            <w:tcBorders>
              <w:top w:val="single" w:sz="12" w:space="0" w:color="auto"/>
              <w:bottom w:val="nil"/>
            </w:tcBorders>
            <w:hideMark/>
          </w:tcPr>
          <w:p w14:paraId="66BC866D"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01.01-31.03.2023</w:t>
            </w:r>
          </w:p>
        </w:tc>
        <w:tc>
          <w:tcPr>
            <w:tcW w:w="2410" w:type="dxa"/>
            <w:tcBorders>
              <w:top w:val="single" w:sz="12" w:space="0" w:color="auto"/>
              <w:bottom w:val="nil"/>
            </w:tcBorders>
            <w:hideMark/>
          </w:tcPr>
          <w:p w14:paraId="697DE7C6"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01.01-31.03.2022</w:t>
            </w:r>
          </w:p>
        </w:tc>
      </w:tr>
      <w:tr w:rsidR="00F100CD" w:rsidRPr="007648DE" w14:paraId="3451F692" w14:textId="77777777" w:rsidTr="00EA7607">
        <w:trPr>
          <w:trHeight w:val="292"/>
        </w:trPr>
        <w:tc>
          <w:tcPr>
            <w:tcW w:w="4634" w:type="dxa"/>
            <w:hideMark/>
          </w:tcPr>
          <w:p w14:paraId="6EC60685"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54" w:type="dxa"/>
            <w:hideMark/>
          </w:tcPr>
          <w:p w14:paraId="3DF51148"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hideMark/>
          </w:tcPr>
          <w:p w14:paraId="7DA4BF75"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57458CF8" w14:textId="77777777" w:rsidTr="00EA7607">
        <w:trPr>
          <w:trHeight w:val="292"/>
        </w:trPr>
        <w:tc>
          <w:tcPr>
            <w:tcW w:w="4634" w:type="dxa"/>
            <w:hideMark/>
          </w:tcPr>
          <w:p w14:paraId="476D1DAC"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Λειτουργικές Δαπάνες προ Αποσβέσεων και </w:t>
            </w:r>
            <w:proofErr w:type="spellStart"/>
            <w:r w:rsidRPr="00EA7607">
              <w:rPr>
                <w:rFonts w:ascii="Ping LCG Regular" w:hAnsi="Ping LCG Regular" w:cs="Arial"/>
                <w:color w:val="000000"/>
                <w:sz w:val="20"/>
                <w:szCs w:val="20"/>
                <w:lang w:val="el-GR"/>
              </w:rPr>
              <w:t>Απομειώσεων</w:t>
            </w:r>
            <w:proofErr w:type="spellEnd"/>
            <w:r w:rsidRPr="00EA7607">
              <w:rPr>
                <w:rFonts w:ascii="Ping LCG Regular" w:hAnsi="Ping LCG Regular" w:cs="Arial"/>
                <w:color w:val="000000"/>
                <w:sz w:val="20"/>
                <w:szCs w:val="20"/>
                <w:lang w:val="el-GR"/>
              </w:rPr>
              <w:t xml:space="preserve"> (2)</w:t>
            </w:r>
          </w:p>
        </w:tc>
        <w:tc>
          <w:tcPr>
            <w:tcW w:w="2454" w:type="dxa"/>
            <w:hideMark/>
          </w:tcPr>
          <w:p w14:paraId="40183922"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1.712,3</w:t>
            </w:r>
          </w:p>
        </w:tc>
        <w:tc>
          <w:tcPr>
            <w:tcW w:w="2410" w:type="dxa"/>
            <w:hideMark/>
          </w:tcPr>
          <w:p w14:paraId="7C54AB88"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2.077,4</w:t>
            </w:r>
          </w:p>
        </w:tc>
      </w:tr>
      <w:tr w:rsidR="00F100CD" w:rsidRPr="007648DE" w14:paraId="4360632D" w14:textId="77777777" w:rsidTr="00EA7607">
        <w:trPr>
          <w:trHeight w:val="446"/>
        </w:trPr>
        <w:tc>
          <w:tcPr>
            <w:tcW w:w="4634" w:type="dxa"/>
            <w:noWrap/>
            <w:hideMark/>
          </w:tcPr>
          <w:p w14:paraId="6317B4FD" w14:textId="77777777" w:rsidR="00F100CD" w:rsidRPr="007648DE" w:rsidRDefault="00F100CD" w:rsidP="0075043E">
            <w:pPr>
              <w:autoSpaceDE w:val="0"/>
              <w:autoSpaceDN w:val="0"/>
              <w:adjustRightInd w:val="0"/>
              <w:spacing w:after="160"/>
              <w:jc w:val="both"/>
              <w:rPr>
                <w:rFonts w:ascii="Ping LCG Regular" w:hAnsi="Ping LCG Regular" w:cs="Arial"/>
                <w:i/>
                <w:iCs/>
                <w:color w:val="000000"/>
                <w:sz w:val="20"/>
                <w:szCs w:val="20"/>
              </w:rPr>
            </w:pPr>
            <w:proofErr w:type="spellStart"/>
            <w:r w:rsidRPr="007648DE">
              <w:rPr>
                <w:rFonts w:ascii="Ping LCG Regular" w:hAnsi="Ping LCG Regular" w:cs="Arial"/>
                <w:i/>
                <w:iCs/>
                <w:color w:val="000000"/>
                <w:sz w:val="20"/>
                <w:szCs w:val="20"/>
              </w:rPr>
              <w:t>μείον</w:t>
            </w:r>
            <w:proofErr w:type="spellEnd"/>
            <w:r w:rsidRPr="007648DE">
              <w:rPr>
                <w:rFonts w:ascii="Ping LCG Regular" w:hAnsi="Ping LCG Regular" w:cs="Arial"/>
                <w:i/>
                <w:iCs/>
                <w:color w:val="000000"/>
                <w:sz w:val="20"/>
                <w:szCs w:val="20"/>
              </w:rPr>
              <w:t xml:space="preserve"> </w:t>
            </w:r>
            <w:proofErr w:type="spellStart"/>
            <w:r w:rsidRPr="007648DE">
              <w:rPr>
                <w:rFonts w:ascii="Ping LCG Regular" w:hAnsi="Ping LCG Regular" w:cs="Arial"/>
                <w:i/>
                <w:iCs/>
                <w:color w:val="000000"/>
                <w:sz w:val="20"/>
                <w:szCs w:val="20"/>
              </w:rPr>
              <w:t>εφά</w:t>
            </w:r>
            <w:proofErr w:type="spellEnd"/>
            <w:r w:rsidRPr="007648DE">
              <w:rPr>
                <w:rFonts w:ascii="Ping LCG Regular" w:hAnsi="Ping LCG Regular" w:cs="Arial"/>
                <w:i/>
                <w:iCs/>
                <w:color w:val="000000"/>
                <w:sz w:val="20"/>
                <w:szCs w:val="20"/>
              </w:rPr>
              <w:t>παξ επιπ</w:t>
            </w:r>
            <w:proofErr w:type="spellStart"/>
            <w:r w:rsidRPr="007648DE">
              <w:rPr>
                <w:rFonts w:ascii="Ping LCG Regular" w:hAnsi="Ping LCG Regular" w:cs="Arial"/>
                <w:i/>
                <w:iCs/>
                <w:color w:val="000000"/>
                <w:sz w:val="20"/>
                <w:szCs w:val="20"/>
              </w:rPr>
              <w:t>τώσεις</w:t>
            </w:r>
            <w:proofErr w:type="spellEnd"/>
            <w:r w:rsidRPr="007648DE">
              <w:rPr>
                <w:rFonts w:ascii="Ping LCG Regular" w:hAnsi="Ping LCG Regular" w:cs="Arial"/>
                <w:i/>
                <w:iCs/>
                <w:color w:val="000000"/>
                <w:sz w:val="20"/>
                <w:szCs w:val="20"/>
              </w:rPr>
              <w:t>:</w:t>
            </w:r>
          </w:p>
        </w:tc>
        <w:tc>
          <w:tcPr>
            <w:tcW w:w="2454" w:type="dxa"/>
            <w:noWrap/>
            <w:hideMark/>
          </w:tcPr>
          <w:p w14:paraId="1F8730F8" w14:textId="77777777" w:rsidR="00F100CD" w:rsidRPr="007648DE" w:rsidRDefault="00F100CD" w:rsidP="0075043E">
            <w:pPr>
              <w:autoSpaceDE w:val="0"/>
              <w:autoSpaceDN w:val="0"/>
              <w:adjustRightInd w:val="0"/>
              <w:spacing w:after="160"/>
              <w:jc w:val="right"/>
              <w:rPr>
                <w:rFonts w:ascii="Ping LCG Regular" w:hAnsi="Ping LCG Regular" w:cs="Arial"/>
                <w:i/>
                <w:iCs/>
                <w:color w:val="000000"/>
                <w:sz w:val="20"/>
                <w:szCs w:val="20"/>
              </w:rPr>
            </w:pPr>
            <w:r w:rsidRPr="007648DE">
              <w:rPr>
                <w:rFonts w:ascii="Ping LCG Regular" w:hAnsi="Ping LCG Regular" w:cs="Arial"/>
                <w:i/>
                <w:iCs/>
                <w:color w:val="000000"/>
                <w:sz w:val="20"/>
                <w:szCs w:val="20"/>
              </w:rPr>
              <w:t>-</w:t>
            </w:r>
          </w:p>
        </w:tc>
        <w:tc>
          <w:tcPr>
            <w:tcW w:w="2410" w:type="dxa"/>
            <w:noWrap/>
            <w:hideMark/>
          </w:tcPr>
          <w:p w14:paraId="206E5284" w14:textId="77777777" w:rsidR="00F100CD" w:rsidRPr="007648DE" w:rsidRDefault="00F100CD" w:rsidP="0075043E">
            <w:pPr>
              <w:autoSpaceDE w:val="0"/>
              <w:autoSpaceDN w:val="0"/>
              <w:adjustRightInd w:val="0"/>
              <w:spacing w:after="160"/>
              <w:jc w:val="right"/>
              <w:rPr>
                <w:rFonts w:ascii="Ping LCG Regular" w:hAnsi="Ping LCG Regular" w:cs="Arial"/>
                <w:i/>
                <w:iCs/>
                <w:color w:val="000000"/>
                <w:sz w:val="20"/>
                <w:szCs w:val="20"/>
              </w:rPr>
            </w:pPr>
            <w:r w:rsidRPr="007648DE">
              <w:rPr>
                <w:rFonts w:ascii="Ping LCG Regular" w:hAnsi="Ping LCG Regular" w:cs="Arial"/>
                <w:i/>
                <w:iCs/>
                <w:color w:val="000000"/>
                <w:sz w:val="20"/>
                <w:szCs w:val="20"/>
              </w:rPr>
              <w:t>-</w:t>
            </w:r>
          </w:p>
        </w:tc>
      </w:tr>
      <w:tr w:rsidR="00F100CD" w:rsidRPr="007648DE" w14:paraId="45799C58" w14:textId="77777777" w:rsidTr="00EA7607">
        <w:trPr>
          <w:trHeight w:val="195"/>
        </w:trPr>
        <w:tc>
          <w:tcPr>
            <w:tcW w:w="4634" w:type="dxa"/>
            <w:hideMark/>
          </w:tcPr>
          <w:p w14:paraId="55D2C5B2"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Λειτουργικές Δαπάνες προ Αποσβέσεων και </w:t>
            </w:r>
            <w:proofErr w:type="spellStart"/>
            <w:r w:rsidRPr="00EA7607">
              <w:rPr>
                <w:rFonts w:ascii="Ping LCG Regular" w:hAnsi="Ping LCG Regular" w:cs="Arial"/>
                <w:color w:val="000000"/>
                <w:sz w:val="20"/>
                <w:szCs w:val="20"/>
                <w:lang w:val="el-GR"/>
              </w:rPr>
              <w:t>Απομειώσεων</w:t>
            </w:r>
            <w:proofErr w:type="spellEnd"/>
            <w:r w:rsidRPr="00EA7607">
              <w:rPr>
                <w:rFonts w:ascii="Ping LCG Regular" w:hAnsi="Ping LCG Regular" w:cs="Arial"/>
                <w:color w:val="000000"/>
                <w:sz w:val="20"/>
                <w:szCs w:val="20"/>
                <w:lang w:val="el-GR"/>
              </w:rPr>
              <w:t xml:space="preserve">  χωρίς εφάπαξ επιπτώσεις</w:t>
            </w:r>
          </w:p>
        </w:tc>
        <w:tc>
          <w:tcPr>
            <w:tcW w:w="2454" w:type="dxa"/>
            <w:hideMark/>
          </w:tcPr>
          <w:p w14:paraId="11F72D4F"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1.712,3</w:t>
            </w:r>
          </w:p>
        </w:tc>
        <w:tc>
          <w:tcPr>
            <w:tcW w:w="2410" w:type="dxa"/>
            <w:hideMark/>
          </w:tcPr>
          <w:p w14:paraId="5291FBE7"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2.077,4</w:t>
            </w:r>
          </w:p>
        </w:tc>
      </w:tr>
    </w:tbl>
    <w:p w14:paraId="656FA41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1"/>
        <w:gridCol w:w="2447"/>
        <w:gridCol w:w="2410"/>
      </w:tblGrid>
      <w:tr w:rsidR="00F100CD" w:rsidRPr="00157158" w14:paraId="7B4B8134" w14:textId="77777777" w:rsidTr="00F01F3B">
        <w:trPr>
          <w:trHeight w:val="765"/>
        </w:trPr>
        <w:tc>
          <w:tcPr>
            <w:tcW w:w="9498" w:type="dxa"/>
            <w:gridSpan w:val="3"/>
            <w:hideMark/>
          </w:tcPr>
          <w:p w14:paraId="06F83665"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t xml:space="preserve">ΠΙΝΑΚΑΣ Γ.  </w:t>
            </w:r>
            <w:r w:rsidRPr="007648DE">
              <w:rPr>
                <w:rFonts w:ascii="Ping LCG Regular" w:hAnsi="Ping LCG Regular" w:cs="Arial"/>
                <w:b/>
                <w:bCs/>
                <w:color w:val="000000"/>
                <w:sz w:val="20"/>
                <w:szCs w:val="20"/>
              </w:rPr>
              <w:t>EBITDA</w:t>
            </w:r>
            <w:r w:rsidRPr="00EA7607">
              <w:rPr>
                <w:rFonts w:ascii="Ping LCG Regular" w:hAnsi="Ping LCG Regular" w:cs="Arial"/>
                <w:b/>
                <w:bCs/>
                <w:color w:val="000000"/>
                <w:sz w:val="20"/>
                <w:szCs w:val="20"/>
                <w:lang w:val="el-GR"/>
              </w:rPr>
              <w:t xml:space="preserve"> ΕΠΑΝΑΛΑΜΒΑΝΟΜΕΝΟ (Δείκτης λειτουργικών κερδών πριν από αποσβέσεις και </w:t>
            </w:r>
            <w:proofErr w:type="spellStart"/>
            <w:r w:rsidRPr="00EA7607">
              <w:rPr>
                <w:rFonts w:ascii="Ping LCG Regular" w:hAnsi="Ping LCG Regular" w:cs="Arial"/>
                <w:b/>
                <w:bCs/>
                <w:color w:val="000000"/>
                <w:sz w:val="20"/>
                <w:szCs w:val="20"/>
                <w:lang w:val="el-GR"/>
              </w:rPr>
              <w:t>απομειώσεις</w:t>
            </w:r>
            <w:proofErr w:type="spellEnd"/>
            <w:r w:rsidRPr="00EA7607">
              <w:rPr>
                <w:rFonts w:ascii="Ping LCG Regular" w:hAnsi="Ping LCG Regular" w:cs="Arial"/>
                <w:b/>
                <w:bCs/>
                <w:color w:val="000000"/>
                <w:sz w:val="20"/>
                <w:szCs w:val="20"/>
                <w:lang w:val="el-GR"/>
              </w:rPr>
              <w:t>, καθαρές χρηματοοικονομικές δαπάνες και φόρους, χωρίς εφάπαξ επιπτώσεις)</w:t>
            </w:r>
          </w:p>
        </w:tc>
      </w:tr>
      <w:tr w:rsidR="00F100CD" w:rsidRPr="007648DE" w14:paraId="48DDD502" w14:textId="77777777" w:rsidTr="00EA7607">
        <w:trPr>
          <w:trHeight w:val="300"/>
        </w:trPr>
        <w:tc>
          <w:tcPr>
            <w:tcW w:w="4641" w:type="dxa"/>
            <w:noWrap/>
            <w:hideMark/>
          </w:tcPr>
          <w:p w14:paraId="1AA890CB"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47" w:type="dxa"/>
            <w:noWrap/>
            <w:hideMark/>
          </w:tcPr>
          <w:p w14:paraId="4FC77A9C"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noWrap/>
            <w:hideMark/>
          </w:tcPr>
          <w:p w14:paraId="32B79BB9"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3D21828E" w14:textId="77777777" w:rsidTr="00F01F3B">
        <w:trPr>
          <w:trHeight w:val="300"/>
        </w:trPr>
        <w:tc>
          <w:tcPr>
            <w:tcW w:w="4641" w:type="dxa"/>
            <w:vMerge w:val="restart"/>
            <w:noWrap/>
            <w:hideMark/>
          </w:tcPr>
          <w:p w14:paraId="01418E8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4857" w:type="dxa"/>
            <w:gridSpan w:val="2"/>
            <w:tcBorders>
              <w:bottom w:val="single" w:sz="12" w:space="0" w:color="auto"/>
            </w:tcBorders>
            <w:hideMark/>
          </w:tcPr>
          <w:p w14:paraId="4B05EB52"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r w:rsidRPr="007648DE">
              <w:rPr>
                <w:rFonts w:ascii="Ping LCG Regular" w:hAnsi="Ping LCG Regular" w:cs="Arial"/>
                <w:b/>
                <w:bCs/>
                <w:color w:val="000000"/>
                <w:sz w:val="20"/>
                <w:szCs w:val="20"/>
              </w:rPr>
              <w:t>ΟΜΙΛΟΣ</w:t>
            </w:r>
          </w:p>
        </w:tc>
      </w:tr>
      <w:tr w:rsidR="00F100CD" w:rsidRPr="007648DE" w14:paraId="32D9D2CB" w14:textId="77777777" w:rsidTr="00EA7607">
        <w:trPr>
          <w:trHeight w:val="300"/>
        </w:trPr>
        <w:tc>
          <w:tcPr>
            <w:tcW w:w="4641" w:type="dxa"/>
            <w:vMerge/>
            <w:hideMark/>
          </w:tcPr>
          <w:p w14:paraId="499A57C1"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c>
        <w:tc>
          <w:tcPr>
            <w:tcW w:w="2447" w:type="dxa"/>
            <w:tcBorders>
              <w:top w:val="single" w:sz="12" w:space="0" w:color="auto"/>
              <w:bottom w:val="nil"/>
            </w:tcBorders>
            <w:hideMark/>
          </w:tcPr>
          <w:p w14:paraId="41255C9B"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01.01-31.03.2023</w:t>
            </w:r>
          </w:p>
        </w:tc>
        <w:tc>
          <w:tcPr>
            <w:tcW w:w="2410" w:type="dxa"/>
            <w:tcBorders>
              <w:top w:val="single" w:sz="12" w:space="0" w:color="auto"/>
              <w:bottom w:val="nil"/>
            </w:tcBorders>
            <w:hideMark/>
          </w:tcPr>
          <w:p w14:paraId="515E89D0"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01.01-31.03.2022</w:t>
            </w:r>
          </w:p>
        </w:tc>
      </w:tr>
      <w:tr w:rsidR="00F100CD" w:rsidRPr="007648DE" w14:paraId="12D6BE53" w14:textId="77777777" w:rsidTr="00F01F3B">
        <w:trPr>
          <w:trHeight w:val="300"/>
        </w:trPr>
        <w:tc>
          <w:tcPr>
            <w:tcW w:w="4641" w:type="dxa"/>
            <w:vMerge/>
            <w:hideMark/>
          </w:tcPr>
          <w:p w14:paraId="6978949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c>
        <w:tc>
          <w:tcPr>
            <w:tcW w:w="4857" w:type="dxa"/>
            <w:gridSpan w:val="2"/>
            <w:tcBorders>
              <w:top w:val="nil"/>
            </w:tcBorders>
            <w:hideMark/>
          </w:tcPr>
          <w:p w14:paraId="51E9D680"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449F383E" w14:textId="77777777" w:rsidTr="00EA7607">
        <w:trPr>
          <w:trHeight w:val="112"/>
        </w:trPr>
        <w:tc>
          <w:tcPr>
            <w:tcW w:w="4641" w:type="dxa"/>
            <w:vMerge/>
            <w:hideMark/>
          </w:tcPr>
          <w:p w14:paraId="5350371D"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c>
        <w:tc>
          <w:tcPr>
            <w:tcW w:w="2447" w:type="dxa"/>
            <w:noWrap/>
            <w:hideMark/>
          </w:tcPr>
          <w:p w14:paraId="475F3FE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noWrap/>
            <w:hideMark/>
          </w:tcPr>
          <w:p w14:paraId="2C228D9B"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4CE1DCD9" w14:textId="77777777" w:rsidTr="00EA7607">
        <w:trPr>
          <w:trHeight w:val="300"/>
        </w:trPr>
        <w:tc>
          <w:tcPr>
            <w:tcW w:w="4641" w:type="dxa"/>
            <w:noWrap/>
            <w:hideMark/>
          </w:tcPr>
          <w:p w14:paraId="2B3D808F"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EBITDA (1)</w:t>
            </w:r>
          </w:p>
        </w:tc>
        <w:tc>
          <w:tcPr>
            <w:tcW w:w="2447" w:type="dxa"/>
            <w:hideMark/>
          </w:tcPr>
          <w:p w14:paraId="7179C636"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280,5</w:t>
            </w:r>
          </w:p>
        </w:tc>
        <w:tc>
          <w:tcPr>
            <w:tcW w:w="2410" w:type="dxa"/>
            <w:hideMark/>
          </w:tcPr>
          <w:p w14:paraId="67B604C5"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170,0</w:t>
            </w:r>
          </w:p>
        </w:tc>
      </w:tr>
      <w:tr w:rsidR="00F100CD" w:rsidRPr="007648DE" w14:paraId="64EABF3F" w14:textId="77777777" w:rsidTr="00EA7607">
        <w:trPr>
          <w:trHeight w:val="300"/>
        </w:trPr>
        <w:tc>
          <w:tcPr>
            <w:tcW w:w="4641" w:type="dxa"/>
            <w:noWrap/>
            <w:hideMark/>
          </w:tcPr>
          <w:p w14:paraId="0FE23E29"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roofErr w:type="spellStart"/>
            <w:r w:rsidRPr="007648DE">
              <w:rPr>
                <w:rFonts w:ascii="Ping LCG Regular" w:hAnsi="Ping LCG Regular" w:cs="Arial"/>
                <w:b/>
                <w:bCs/>
                <w:color w:val="000000"/>
                <w:sz w:val="20"/>
                <w:szCs w:val="20"/>
              </w:rPr>
              <w:t>συν</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εφά</w:t>
            </w:r>
            <w:proofErr w:type="spellEnd"/>
            <w:r w:rsidRPr="007648DE">
              <w:rPr>
                <w:rFonts w:ascii="Ping LCG Regular" w:hAnsi="Ping LCG Regular" w:cs="Arial"/>
                <w:b/>
                <w:bCs/>
                <w:color w:val="000000"/>
                <w:sz w:val="20"/>
                <w:szCs w:val="20"/>
              </w:rPr>
              <w:t>παξ επιπ</w:t>
            </w:r>
            <w:proofErr w:type="spellStart"/>
            <w:r w:rsidRPr="007648DE">
              <w:rPr>
                <w:rFonts w:ascii="Ping LCG Regular" w:hAnsi="Ping LCG Regular" w:cs="Arial"/>
                <w:b/>
                <w:bCs/>
                <w:color w:val="000000"/>
                <w:sz w:val="20"/>
                <w:szCs w:val="20"/>
              </w:rPr>
              <w:t>τώσεις</w:t>
            </w:r>
            <w:proofErr w:type="spellEnd"/>
            <w:r w:rsidRPr="007648DE">
              <w:rPr>
                <w:rFonts w:ascii="Ping LCG Regular" w:hAnsi="Ping LCG Regular" w:cs="Arial"/>
                <w:b/>
                <w:bCs/>
                <w:color w:val="000000"/>
                <w:sz w:val="20"/>
                <w:szCs w:val="20"/>
              </w:rPr>
              <w:t xml:space="preserve"> (2):</w:t>
            </w:r>
          </w:p>
        </w:tc>
        <w:tc>
          <w:tcPr>
            <w:tcW w:w="2447" w:type="dxa"/>
            <w:hideMark/>
          </w:tcPr>
          <w:p w14:paraId="75776FC0"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
        </w:tc>
        <w:tc>
          <w:tcPr>
            <w:tcW w:w="2410" w:type="dxa"/>
            <w:hideMark/>
          </w:tcPr>
          <w:p w14:paraId="0207162F"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
        </w:tc>
      </w:tr>
      <w:tr w:rsidR="00F100CD" w:rsidRPr="007648DE" w14:paraId="4B81A61A" w14:textId="77777777" w:rsidTr="00EA7607">
        <w:trPr>
          <w:trHeight w:val="600"/>
        </w:trPr>
        <w:tc>
          <w:tcPr>
            <w:tcW w:w="4641" w:type="dxa"/>
            <w:hideMark/>
          </w:tcPr>
          <w:p w14:paraId="4C343E08"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7648DE">
              <w:rPr>
                <w:rFonts w:ascii="Ping LCG Regular" w:hAnsi="Ping LCG Regular" w:cs="Arial"/>
                <w:b/>
                <w:bCs/>
                <w:color w:val="000000"/>
                <w:sz w:val="20"/>
                <w:szCs w:val="20"/>
              </w:rPr>
              <w:t>EBITDA</w:t>
            </w:r>
            <w:r w:rsidRPr="00EA7607">
              <w:rPr>
                <w:rFonts w:ascii="Ping LCG Regular" w:hAnsi="Ping LCG Regular" w:cs="Arial"/>
                <w:b/>
                <w:bCs/>
                <w:color w:val="000000"/>
                <w:sz w:val="20"/>
                <w:szCs w:val="20"/>
                <w:lang w:val="el-GR"/>
              </w:rPr>
              <w:t xml:space="preserve"> ΕΠΑΝΑΛΑΜΒΑΝΟΜΕΝΟ ΧΩΡΙΣ ΕΦΑΠΑΞ ΕΠΙΠΤΩΣΕΙΣ (3) = [(1)+(2)]</w:t>
            </w:r>
          </w:p>
        </w:tc>
        <w:tc>
          <w:tcPr>
            <w:tcW w:w="2447" w:type="dxa"/>
            <w:noWrap/>
            <w:hideMark/>
          </w:tcPr>
          <w:p w14:paraId="0B3C8FD4"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280,5</w:t>
            </w:r>
          </w:p>
        </w:tc>
        <w:tc>
          <w:tcPr>
            <w:tcW w:w="2410" w:type="dxa"/>
            <w:noWrap/>
            <w:hideMark/>
          </w:tcPr>
          <w:p w14:paraId="2D66601B"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170,0</w:t>
            </w:r>
          </w:p>
        </w:tc>
      </w:tr>
      <w:tr w:rsidR="00F100CD" w:rsidRPr="007648DE" w14:paraId="2D0A46E0" w14:textId="77777777" w:rsidTr="00EA7607">
        <w:trPr>
          <w:trHeight w:val="435"/>
        </w:trPr>
        <w:tc>
          <w:tcPr>
            <w:tcW w:w="4641" w:type="dxa"/>
            <w:hideMark/>
          </w:tcPr>
          <w:p w14:paraId="47CE196C"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ΚΥΚΛΟΣ ΕΡΓΑΣΙΩΝ (4) </w:t>
            </w:r>
          </w:p>
        </w:tc>
        <w:tc>
          <w:tcPr>
            <w:tcW w:w="2447" w:type="dxa"/>
            <w:hideMark/>
          </w:tcPr>
          <w:p w14:paraId="48B2263E"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1.992,8</w:t>
            </w:r>
          </w:p>
        </w:tc>
        <w:tc>
          <w:tcPr>
            <w:tcW w:w="2410" w:type="dxa"/>
            <w:hideMark/>
          </w:tcPr>
          <w:p w14:paraId="7571E27A"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2.247,4</w:t>
            </w:r>
          </w:p>
        </w:tc>
      </w:tr>
      <w:tr w:rsidR="00F100CD" w:rsidRPr="007648DE" w14:paraId="2FFA9916" w14:textId="77777777" w:rsidTr="00EA7607">
        <w:trPr>
          <w:trHeight w:val="142"/>
        </w:trPr>
        <w:tc>
          <w:tcPr>
            <w:tcW w:w="4641" w:type="dxa"/>
            <w:hideMark/>
          </w:tcPr>
          <w:p w14:paraId="7E4DD038"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t xml:space="preserve">ΠΕΡΙΘΩΡΙΟ </w:t>
            </w:r>
            <w:r w:rsidRPr="007648DE">
              <w:rPr>
                <w:rFonts w:ascii="Ping LCG Regular" w:hAnsi="Ping LCG Regular" w:cs="Arial"/>
                <w:b/>
                <w:bCs/>
                <w:color w:val="000000"/>
                <w:sz w:val="20"/>
                <w:szCs w:val="20"/>
              </w:rPr>
              <w:t>EBITDA</w:t>
            </w:r>
            <w:r w:rsidRPr="00EA7607">
              <w:rPr>
                <w:rFonts w:ascii="Ping LCG Regular" w:hAnsi="Ping LCG Regular" w:cs="Arial"/>
                <w:b/>
                <w:bCs/>
                <w:color w:val="000000"/>
                <w:sz w:val="20"/>
                <w:szCs w:val="20"/>
                <w:lang w:val="el-GR"/>
              </w:rPr>
              <w:t xml:space="preserve"> ΕΠΑΝΑΛΑΜΒΑΝΟΜΕΝΟ ΧΩΡΙΣ ΕΦΑΠΑΞ ΕΠΙΠΤΩΣΕΙΣ [(3)/(4)</w:t>
            </w:r>
          </w:p>
        </w:tc>
        <w:tc>
          <w:tcPr>
            <w:tcW w:w="2447" w:type="dxa"/>
            <w:hideMark/>
          </w:tcPr>
          <w:p w14:paraId="0A39F42D"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14,1%</w:t>
            </w:r>
          </w:p>
        </w:tc>
        <w:tc>
          <w:tcPr>
            <w:tcW w:w="2410" w:type="dxa"/>
            <w:hideMark/>
          </w:tcPr>
          <w:p w14:paraId="6C591153"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7,6%</w:t>
            </w:r>
          </w:p>
        </w:tc>
      </w:tr>
    </w:tbl>
    <w:p w14:paraId="3BCFA541"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2803744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27915E9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0EE70F5E"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51453F5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1"/>
        <w:gridCol w:w="2447"/>
        <w:gridCol w:w="2410"/>
      </w:tblGrid>
      <w:tr w:rsidR="00F100CD" w:rsidRPr="00157158" w14:paraId="203A2A91" w14:textId="77777777" w:rsidTr="00F01F3B">
        <w:trPr>
          <w:trHeight w:val="795"/>
        </w:trPr>
        <w:tc>
          <w:tcPr>
            <w:tcW w:w="9498" w:type="dxa"/>
            <w:gridSpan w:val="3"/>
            <w:hideMark/>
          </w:tcPr>
          <w:p w14:paraId="689B1324"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lastRenderedPageBreak/>
              <w:t xml:space="preserve">ΠΙΝΑΚΑΣ Δ. </w:t>
            </w:r>
            <w:r w:rsidRPr="007648DE">
              <w:rPr>
                <w:rFonts w:ascii="Ping LCG Regular" w:hAnsi="Ping LCG Regular" w:cs="Arial"/>
                <w:b/>
                <w:bCs/>
                <w:color w:val="000000"/>
                <w:sz w:val="20"/>
                <w:szCs w:val="20"/>
              </w:rPr>
              <w:t>EBIT</w:t>
            </w:r>
            <w:r w:rsidRPr="00EA7607">
              <w:rPr>
                <w:rFonts w:ascii="Ping LCG Regular" w:hAnsi="Ping LCG Regular" w:cs="Arial"/>
                <w:b/>
                <w:bCs/>
                <w:color w:val="000000"/>
                <w:sz w:val="20"/>
                <w:szCs w:val="20"/>
                <w:lang w:val="el-GR"/>
              </w:rPr>
              <w:t xml:space="preserve"> (Δείκτης λειτουργικών κερδών πριν από καθαρές χρηματοοικονομικές δαπάνες και φόρους)</w:t>
            </w:r>
          </w:p>
        </w:tc>
      </w:tr>
      <w:tr w:rsidR="00F100CD" w:rsidRPr="007648DE" w14:paraId="2AE5D94E" w14:textId="77777777" w:rsidTr="00EA7607">
        <w:trPr>
          <w:trHeight w:val="300"/>
        </w:trPr>
        <w:tc>
          <w:tcPr>
            <w:tcW w:w="4641" w:type="dxa"/>
            <w:noWrap/>
            <w:hideMark/>
          </w:tcPr>
          <w:p w14:paraId="727FB206"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47" w:type="dxa"/>
            <w:noWrap/>
            <w:hideMark/>
          </w:tcPr>
          <w:p w14:paraId="27DD769C"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noWrap/>
            <w:hideMark/>
          </w:tcPr>
          <w:p w14:paraId="761BFDD5"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61E9A717" w14:textId="77777777" w:rsidTr="00F01F3B">
        <w:trPr>
          <w:trHeight w:val="300"/>
        </w:trPr>
        <w:tc>
          <w:tcPr>
            <w:tcW w:w="4641" w:type="dxa"/>
            <w:vMerge w:val="restart"/>
            <w:hideMark/>
          </w:tcPr>
          <w:p w14:paraId="0CF154CB"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4857" w:type="dxa"/>
            <w:gridSpan w:val="2"/>
            <w:tcBorders>
              <w:bottom w:val="single" w:sz="12" w:space="0" w:color="auto"/>
            </w:tcBorders>
            <w:hideMark/>
          </w:tcPr>
          <w:p w14:paraId="214EAA58"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r w:rsidRPr="007648DE">
              <w:rPr>
                <w:rFonts w:ascii="Ping LCG Regular" w:hAnsi="Ping LCG Regular" w:cs="Arial"/>
                <w:b/>
                <w:bCs/>
                <w:color w:val="000000"/>
                <w:sz w:val="20"/>
                <w:szCs w:val="20"/>
              </w:rPr>
              <w:t>ΟΜΙΛΟΣ</w:t>
            </w:r>
          </w:p>
        </w:tc>
      </w:tr>
      <w:tr w:rsidR="00F100CD" w:rsidRPr="007648DE" w14:paraId="3AB7C0E3" w14:textId="77777777" w:rsidTr="00EA7607">
        <w:trPr>
          <w:trHeight w:val="300"/>
        </w:trPr>
        <w:tc>
          <w:tcPr>
            <w:tcW w:w="4641" w:type="dxa"/>
            <w:vMerge/>
            <w:hideMark/>
          </w:tcPr>
          <w:p w14:paraId="5BBC153D"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
        </w:tc>
        <w:tc>
          <w:tcPr>
            <w:tcW w:w="2447" w:type="dxa"/>
            <w:tcBorders>
              <w:top w:val="single" w:sz="12" w:space="0" w:color="auto"/>
              <w:bottom w:val="nil"/>
            </w:tcBorders>
            <w:hideMark/>
          </w:tcPr>
          <w:p w14:paraId="5987B6FA"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01.01-31.03.2023</w:t>
            </w:r>
          </w:p>
        </w:tc>
        <w:tc>
          <w:tcPr>
            <w:tcW w:w="2410" w:type="dxa"/>
            <w:tcBorders>
              <w:top w:val="single" w:sz="12" w:space="0" w:color="auto"/>
              <w:bottom w:val="nil"/>
            </w:tcBorders>
            <w:hideMark/>
          </w:tcPr>
          <w:p w14:paraId="46836B4A"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01.01-31.03.2022</w:t>
            </w:r>
          </w:p>
        </w:tc>
      </w:tr>
      <w:tr w:rsidR="00F100CD" w:rsidRPr="007648DE" w14:paraId="6A81CA10" w14:textId="77777777" w:rsidTr="00F01F3B">
        <w:trPr>
          <w:trHeight w:val="289"/>
        </w:trPr>
        <w:tc>
          <w:tcPr>
            <w:tcW w:w="4641" w:type="dxa"/>
            <w:vMerge/>
            <w:hideMark/>
          </w:tcPr>
          <w:p w14:paraId="366F977C"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
        </w:tc>
        <w:tc>
          <w:tcPr>
            <w:tcW w:w="4857" w:type="dxa"/>
            <w:gridSpan w:val="2"/>
            <w:tcBorders>
              <w:top w:val="nil"/>
            </w:tcBorders>
            <w:hideMark/>
          </w:tcPr>
          <w:p w14:paraId="721353C6"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5A173036" w14:textId="77777777" w:rsidTr="00EA7607">
        <w:trPr>
          <w:trHeight w:val="300"/>
        </w:trPr>
        <w:tc>
          <w:tcPr>
            <w:tcW w:w="4641" w:type="dxa"/>
            <w:vMerge/>
            <w:hideMark/>
          </w:tcPr>
          <w:p w14:paraId="1031C0D3"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
        </w:tc>
        <w:tc>
          <w:tcPr>
            <w:tcW w:w="2447" w:type="dxa"/>
            <w:hideMark/>
          </w:tcPr>
          <w:p w14:paraId="5FBF1F8A"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hideMark/>
          </w:tcPr>
          <w:p w14:paraId="4229D683"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0ADDF91F" w14:textId="77777777" w:rsidTr="00EA7607">
        <w:trPr>
          <w:trHeight w:val="300"/>
        </w:trPr>
        <w:tc>
          <w:tcPr>
            <w:tcW w:w="4641" w:type="dxa"/>
            <w:hideMark/>
          </w:tcPr>
          <w:p w14:paraId="46A1728A"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EBITDA</w:t>
            </w:r>
          </w:p>
        </w:tc>
        <w:tc>
          <w:tcPr>
            <w:tcW w:w="2447" w:type="dxa"/>
            <w:hideMark/>
          </w:tcPr>
          <w:p w14:paraId="3AB3F9B1"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280,5</w:t>
            </w:r>
          </w:p>
        </w:tc>
        <w:tc>
          <w:tcPr>
            <w:tcW w:w="2410" w:type="dxa"/>
            <w:hideMark/>
          </w:tcPr>
          <w:p w14:paraId="257EC1CF"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170,0</w:t>
            </w:r>
          </w:p>
        </w:tc>
      </w:tr>
      <w:tr w:rsidR="00F100CD" w:rsidRPr="007648DE" w14:paraId="43B654F9" w14:textId="77777777" w:rsidTr="00EA7607">
        <w:trPr>
          <w:trHeight w:val="285"/>
        </w:trPr>
        <w:tc>
          <w:tcPr>
            <w:tcW w:w="4641" w:type="dxa"/>
            <w:hideMark/>
          </w:tcPr>
          <w:p w14:paraId="00AAC25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u w:val="single"/>
              </w:rPr>
            </w:pPr>
            <w:proofErr w:type="spellStart"/>
            <w:r w:rsidRPr="007648DE">
              <w:rPr>
                <w:rFonts w:ascii="Ping LCG Regular" w:hAnsi="Ping LCG Regular" w:cs="Arial"/>
                <w:color w:val="000000"/>
                <w:sz w:val="20"/>
                <w:szCs w:val="20"/>
                <w:u w:val="single"/>
              </w:rPr>
              <w:t>μείον</w:t>
            </w:r>
            <w:proofErr w:type="spellEnd"/>
            <w:r w:rsidRPr="007648DE">
              <w:rPr>
                <w:rFonts w:ascii="Ping LCG Regular" w:hAnsi="Ping LCG Regular" w:cs="Arial"/>
                <w:color w:val="000000"/>
                <w:sz w:val="20"/>
                <w:szCs w:val="20"/>
                <w:u w:val="single"/>
              </w:rPr>
              <w:t xml:space="preserve"> :</w:t>
            </w:r>
          </w:p>
        </w:tc>
        <w:tc>
          <w:tcPr>
            <w:tcW w:w="2447" w:type="dxa"/>
            <w:hideMark/>
          </w:tcPr>
          <w:p w14:paraId="31EEB0FE"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u w:val="single"/>
              </w:rPr>
            </w:pPr>
          </w:p>
        </w:tc>
        <w:tc>
          <w:tcPr>
            <w:tcW w:w="2410" w:type="dxa"/>
            <w:hideMark/>
          </w:tcPr>
          <w:p w14:paraId="2D08BFE4"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u w:val="single"/>
              </w:rPr>
            </w:pPr>
          </w:p>
        </w:tc>
      </w:tr>
      <w:tr w:rsidR="00F100CD" w:rsidRPr="007648DE" w14:paraId="60360CAF" w14:textId="77777777" w:rsidTr="00EA7607">
        <w:trPr>
          <w:trHeight w:val="285"/>
        </w:trPr>
        <w:tc>
          <w:tcPr>
            <w:tcW w:w="4641" w:type="dxa"/>
            <w:hideMark/>
          </w:tcPr>
          <w:p w14:paraId="44E6AD0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Απ</w:t>
            </w:r>
            <w:proofErr w:type="spellStart"/>
            <w:r w:rsidRPr="007648DE">
              <w:rPr>
                <w:rFonts w:ascii="Ping LCG Regular" w:hAnsi="Ping LCG Regular" w:cs="Arial"/>
                <w:color w:val="000000"/>
                <w:sz w:val="20"/>
                <w:szCs w:val="20"/>
              </w:rPr>
              <w:t>οσ</w:t>
            </w:r>
            <w:proofErr w:type="spellEnd"/>
            <w:r w:rsidRPr="007648DE">
              <w:rPr>
                <w:rFonts w:ascii="Ping LCG Regular" w:hAnsi="Ping LCG Regular" w:cs="Arial"/>
                <w:color w:val="000000"/>
                <w:sz w:val="20"/>
                <w:szCs w:val="20"/>
              </w:rPr>
              <w:t>βέσεις και απ</w:t>
            </w:r>
            <w:proofErr w:type="spellStart"/>
            <w:r w:rsidRPr="007648DE">
              <w:rPr>
                <w:rFonts w:ascii="Ping LCG Regular" w:hAnsi="Ping LCG Regular" w:cs="Arial"/>
                <w:color w:val="000000"/>
                <w:sz w:val="20"/>
                <w:szCs w:val="20"/>
              </w:rPr>
              <w:t>ομείωση</w:t>
            </w:r>
            <w:proofErr w:type="spellEnd"/>
            <w:r w:rsidRPr="007648DE">
              <w:rPr>
                <w:rFonts w:ascii="Ping LCG Regular" w:hAnsi="Ping LCG Regular" w:cs="Arial"/>
                <w:color w:val="000000"/>
                <w:sz w:val="20"/>
                <w:szCs w:val="20"/>
              </w:rPr>
              <w:t xml:space="preserve"> πα</w:t>
            </w:r>
            <w:proofErr w:type="spellStart"/>
            <w:r w:rsidRPr="007648DE">
              <w:rPr>
                <w:rFonts w:ascii="Ping LCG Regular" w:hAnsi="Ping LCG Regular" w:cs="Arial"/>
                <w:color w:val="000000"/>
                <w:sz w:val="20"/>
                <w:szCs w:val="20"/>
              </w:rPr>
              <w:t>γίων</w:t>
            </w:r>
            <w:proofErr w:type="spellEnd"/>
            <w:r w:rsidRPr="007648DE">
              <w:rPr>
                <w:rFonts w:ascii="Ping LCG Regular" w:hAnsi="Ping LCG Regular" w:cs="Arial"/>
                <w:color w:val="000000"/>
                <w:sz w:val="20"/>
                <w:szCs w:val="20"/>
              </w:rPr>
              <w:t xml:space="preserve"> </w:t>
            </w:r>
          </w:p>
        </w:tc>
        <w:tc>
          <w:tcPr>
            <w:tcW w:w="2447" w:type="dxa"/>
            <w:hideMark/>
          </w:tcPr>
          <w:p w14:paraId="6089FD73"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153,6</w:t>
            </w:r>
          </w:p>
        </w:tc>
        <w:tc>
          <w:tcPr>
            <w:tcW w:w="2410" w:type="dxa"/>
            <w:hideMark/>
          </w:tcPr>
          <w:p w14:paraId="28CD1F49"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166,9</w:t>
            </w:r>
          </w:p>
        </w:tc>
      </w:tr>
      <w:tr w:rsidR="00F100CD" w:rsidRPr="007648DE" w14:paraId="29ADA87D" w14:textId="77777777" w:rsidTr="00EA7607">
        <w:trPr>
          <w:trHeight w:val="300"/>
        </w:trPr>
        <w:tc>
          <w:tcPr>
            <w:tcW w:w="4641" w:type="dxa"/>
            <w:hideMark/>
          </w:tcPr>
          <w:p w14:paraId="14917543"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ΕΒΙΤ (Α)</w:t>
            </w:r>
          </w:p>
        </w:tc>
        <w:tc>
          <w:tcPr>
            <w:tcW w:w="2447" w:type="dxa"/>
            <w:hideMark/>
          </w:tcPr>
          <w:p w14:paraId="2B4C3D18"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126,9</w:t>
            </w:r>
          </w:p>
        </w:tc>
        <w:tc>
          <w:tcPr>
            <w:tcW w:w="2410" w:type="dxa"/>
            <w:hideMark/>
          </w:tcPr>
          <w:p w14:paraId="26D08C93"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3,1</w:t>
            </w:r>
          </w:p>
        </w:tc>
      </w:tr>
      <w:tr w:rsidR="00F100CD" w:rsidRPr="007648DE" w14:paraId="7906B71A" w14:textId="77777777" w:rsidTr="00EA7607">
        <w:trPr>
          <w:trHeight w:val="300"/>
        </w:trPr>
        <w:tc>
          <w:tcPr>
            <w:tcW w:w="4641" w:type="dxa"/>
            <w:hideMark/>
          </w:tcPr>
          <w:p w14:paraId="06258906"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proofErr w:type="spellStart"/>
            <w:r w:rsidRPr="007648DE">
              <w:rPr>
                <w:rFonts w:ascii="Ping LCG Regular" w:hAnsi="Ping LCG Regular" w:cs="Arial"/>
                <w:b/>
                <w:bCs/>
                <w:color w:val="000000"/>
                <w:sz w:val="20"/>
                <w:szCs w:val="20"/>
              </w:rPr>
              <w:t>Κύκλος</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Εργ</w:t>
            </w:r>
            <w:proofErr w:type="spellEnd"/>
            <w:r w:rsidRPr="007648DE">
              <w:rPr>
                <w:rFonts w:ascii="Ping LCG Regular" w:hAnsi="Ping LCG Regular" w:cs="Arial"/>
                <w:b/>
                <w:bCs/>
                <w:color w:val="000000"/>
                <w:sz w:val="20"/>
                <w:szCs w:val="20"/>
              </w:rPr>
              <w:t>ασιών (1)</w:t>
            </w:r>
          </w:p>
        </w:tc>
        <w:tc>
          <w:tcPr>
            <w:tcW w:w="2447" w:type="dxa"/>
            <w:hideMark/>
          </w:tcPr>
          <w:p w14:paraId="690654D6"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1.992,8</w:t>
            </w:r>
          </w:p>
        </w:tc>
        <w:tc>
          <w:tcPr>
            <w:tcW w:w="2410" w:type="dxa"/>
            <w:hideMark/>
          </w:tcPr>
          <w:p w14:paraId="32F195A5"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2.247,4</w:t>
            </w:r>
          </w:p>
        </w:tc>
      </w:tr>
      <w:tr w:rsidR="00F100CD" w:rsidRPr="007648DE" w14:paraId="1A4ADC50" w14:textId="77777777" w:rsidTr="00EA7607">
        <w:trPr>
          <w:trHeight w:val="66"/>
        </w:trPr>
        <w:tc>
          <w:tcPr>
            <w:tcW w:w="4641" w:type="dxa"/>
            <w:hideMark/>
          </w:tcPr>
          <w:p w14:paraId="11AB4A52"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ΠΕΡΙΘΩΡΙΟ EBIT [(Α) / (1)]</w:t>
            </w:r>
          </w:p>
        </w:tc>
        <w:tc>
          <w:tcPr>
            <w:tcW w:w="2447" w:type="dxa"/>
            <w:hideMark/>
          </w:tcPr>
          <w:p w14:paraId="734EF896"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6,4%</w:t>
            </w:r>
          </w:p>
        </w:tc>
        <w:tc>
          <w:tcPr>
            <w:tcW w:w="2410" w:type="dxa"/>
            <w:hideMark/>
          </w:tcPr>
          <w:p w14:paraId="37A399AA"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0,1%</w:t>
            </w:r>
          </w:p>
        </w:tc>
      </w:tr>
    </w:tbl>
    <w:p w14:paraId="44F29C77"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1"/>
        <w:gridCol w:w="2447"/>
        <w:gridCol w:w="2410"/>
      </w:tblGrid>
      <w:tr w:rsidR="00F100CD" w:rsidRPr="00157158" w14:paraId="2492ED56" w14:textId="77777777" w:rsidTr="00F01F3B">
        <w:trPr>
          <w:trHeight w:val="780"/>
        </w:trPr>
        <w:tc>
          <w:tcPr>
            <w:tcW w:w="9498" w:type="dxa"/>
            <w:gridSpan w:val="3"/>
            <w:hideMark/>
          </w:tcPr>
          <w:p w14:paraId="2A694BF0"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lang w:val="el-GR"/>
              </w:rPr>
            </w:pPr>
            <w:r w:rsidRPr="00EA7607">
              <w:rPr>
                <w:rFonts w:ascii="Ping LCG Regular" w:hAnsi="Ping LCG Regular" w:cs="Arial"/>
                <w:b/>
                <w:bCs/>
                <w:color w:val="000000"/>
                <w:sz w:val="20"/>
                <w:szCs w:val="20"/>
                <w:lang w:val="el-GR"/>
              </w:rPr>
              <w:t>ΠΙΝΑΚΑΣ Ε. ΚΑΘΑΡΟ ΠΟΣΟ ΑΠΟΣΒΕΣΕΩΝ, ΧΡΗΜΑΤΟΟΙΚΟΝΟΜΙΚΩΝ ΔΑΠΑΝΩΝ ΚΑΙ ΚΕΡΔΩΝ ΑΠΌ ΣΥΓΓΕΝΕΙΣ ΕΠΙΧΕΙΡΗΣΕΙΣ</w:t>
            </w:r>
          </w:p>
        </w:tc>
      </w:tr>
      <w:tr w:rsidR="00F100CD" w:rsidRPr="007648DE" w14:paraId="5751B191" w14:textId="77777777" w:rsidTr="00EA7607">
        <w:trPr>
          <w:trHeight w:val="300"/>
        </w:trPr>
        <w:tc>
          <w:tcPr>
            <w:tcW w:w="4641" w:type="dxa"/>
            <w:noWrap/>
            <w:hideMark/>
          </w:tcPr>
          <w:p w14:paraId="33A7CA18"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47" w:type="dxa"/>
            <w:noWrap/>
            <w:hideMark/>
          </w:tcPr>
          <w:p w14:paraId="4700C9FE"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c>
          <w:tcPr>
            <w:tcW w:w="2410" w:type="dxa"/>
            <w:noWrap/>
            <w:hideMark/>
          </w:tcPr>
          <w:p w14:paraId="0451F5DC"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 </w:t>
            </w:r>
          </w:p>
        </w:tc>
      </w:tr>
      <w:tr w:rsidR="00F100CD" w:rsidRPr="007648DE" w14:paraId="4EABE694" w14:textId="77777777" w:rsidTr="00F01F3B">
        <w:trPr>
          <w:trHeight w:val="300"/>
        </w:trPr>
        <w:tc>
          <w:tcPr>
            <w:tcW w:w="4641" w:type="dxa"/>
            <w:noWrap/>
            <w:hideMark/>
          </w:tcPr>
          <w:p w14:paraId="5AA5AF97"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4857" w:type="dxa"/>
            <w:gridSpan w:val="2"/>
            <w:tcBorders>
              <w:bottom w:val="single" w:sz="12" w:space="0" w:color="auto"/>
            </w:tcBorders>
            <w:hideMark/>
          </w:tcPr>
          <w:p w14:paraId="214E29F2"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r w:rsidRPr="007648DE">
              <w:rPr>
                <w:rFonts w:ascii="Ping LCG Regular" w:hAnsi="Ping LCG Regular" w:cs="Arial"/>
                <w:b/>
                <w:bCs/>
                <w:color w:val="000000"/>
                <w:sz w:val="20"/>
                <w:szCs w:val="20"/>
              </w:rPr>
              <w:t>ΟΜΙΛΟΣ</w:t>
            </w:r>
          </w:p>
        </w:tc>
      </w:tr>
      <w:tr w:rsidR="00F100CD" w:rsidRPr="007648DE" w14:paraId="2441E286" w14:textId="77777777" w:rsidTr="00EA7607">
        <w:trPr>
          <w:trHeight w:val="300"/>
        </w:trPr>
        <w:tc>
          <w:tcPr>
            <w:tcW w:w="4641" w:type="dxa"/>
            <w:hideMark/>
          </w:tcPr>
          <w:p w14:paraId="33B9A86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47" w:type="dxa"/>
            <w:tcBorders>
              <w:top w:val="single" w:sz="12" w:space="0" w:color="auto"/>
              <w:bottom w:val="nil"/>
            </w:tcBorders>
            <w:hideMark/>
          </w:tcPr>
          <w:p w14:paraId="747EAC84"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01.01-31.03.2023</w:t>
            </w:r>
          </w:p>
        </w:tc>
        <w:tc>
          <w:tcPr>
            <w:tcW w:w="2410" w:type="dxa"/>
            <w:tcBorders>
              <w:top w:val="single" w:sz="12" w:space="0" w:color="auto"/>
              <w:bottom w:val="nil"/>
            </w:tcBorders>
            <w:hideMark/>
          </w:tcPr>
          <w:p w14:paraId="3AAD4521"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01.01-31.03.2022</w:t>
            </w:r>
          </w:p>
        </w:tc>
      </w:tr>
      <w:tr w:rsidR="00F100CD" w:rsidRPr="007648DE" w14:paraId="3B6A76D8" w14:textId="77777777" w:rsidTr="00EA7607">
        <w:trPr>
          <w:trHeight w:val="285"/>
        </w:trPr>
        <w:tc>
          <w:tcPr>
            <w:tcW w:w="4641" w:type="dxa"/>
            <w:hideMark/>
          </w:tcPr>
          <w:p w14:paraId="1632D3D3"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47" w:type="dxa"/>
            <w:hideMark/>
          </w:tcPr>
          <w:p w14:paraId="36F4F23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hideMark/>
          </w:tcPr>
          <w:p w14:paraId="6DFDC48E"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16266E8A" w14:textId="77777777" w:rsidTr="00EA7607">
        <w:trPr>
          <w:trHeight w:val="600"/>
        </w:trPr>
        <w:tc>
          <w:tcPr>
            <w:tcW w:w="4641" w:type="dxa"/>
            <w:hideMark/>
          </w:tcPr>
          <w:p w14:paraId="7E5E0EA9" w14:textId="77777777" w:rsidR="00F100CD" w:rsidRPr="00EA7607" w:rsidRDefault="00F100CD" w:rsidP="0075043E">
            <w:pPr>
              <w:autoSpaceDE w:val="0"/>
              <w:autoSpaceDN w:val="0"/>
              <w:adjustRightInd w:val="0"/>
              <w:spacing w:after="160"/>
              <w:jc w:val="both"/>
              <w:rPr>
                <w:rFonts w:ascii="Ping LCG Regular" w:hAnsi="Ping LCG Regular" w:cs="Arial"/>
                <w:b/>
                <w:bCs/>
                <w:color w:val="000000"/>
                <w:sz w:val="20"/>
                <w:szCs w:val="20"/>
                <w:u w:val="single"/>
                <w:lang w:val="el-GR"/>
              </w:rPr>
            </w:pPr>
            <w:r w:rsidRPr="00EA7607">
              <w:rPr>
                <w:rFonts w:ascii="Ping LCG Regular" w:hAnsi="Ping LCG Regular" w:cs="Arial"/>
                <w:b/>
                <w:bCs/>
                <w:color w:val="000000"/>
                <w:sz w:val="20"/>
                <w:szCs w:val="20"/>
                <w:u w:val="single"/>
                <w:lang w:val="el-GR"/>
              </w:rPr>
              <w:t>ΑΠΟΣΒΕΣΕΙΣ, ΚΑΘΑΡΕΣ ΧΡΗΜΑΤΟΟΙΚΟΝΟΜΙΚΕΣ ΔΑΠΑΝΕΣ, ΚΕΡΔΗ ΑΠΟ ΣΥΓΓΕΝΕΙΣ ΕΠΙΧΕΙΡΗΣΕΙΣ</w:t>
            </w:r>
          </w:p>
        </w:tc>
        <w:tc>
          <w:tcPr>
            <w:tcW w:w="2447" w:type="dxa"/>
            <w:hideMark/>
          </w:tcPr>
          <w:p w14:paraId="7965738F"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207,3</w:t>
            </w:r>
          </w:p>
        </w:tc>
        <w:tc>
          <w:tcPr>
            <w:tcW w:w="2410" w:type="dxa"/>
            <w:hideMark/>
          </w:tcPr>
          <w:p w14:paraId="440F330E"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199,4</w:t>
            </w:r>
          </w:p>
        </w:tc>
      </w:tr>
      <w:tr w:rsidR="00F100CD" w:rsidRPr="007648DE" w14:paraId="2D6C541A" w14:textId="77777777" w:rsidTr="00EA7607">
        <w:trPr>
          <w:trHeight w:val="285"/>
        </w:trPr>
        <w:tc>
          <w:tcPr>
            <w:tcW w:w="4641" w:type="dxa"/>
            <w:hideMark/>
          </w:tcPr>
          <w:p w14:paraId="5B6B5E6D"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Απ</w:t>
            </w:r>
            <w:proofErr w:type="spellStart"/>
            <w:r w:rsidRPr="007648DE">
              <w:rPr>
                <w:rFonts w:ascii="Ping LCG Regular" w:hAnsi="Ping LCG Regular" w:cs="Arial"/>
                <w:color w:val="000000"/>
                <w:sz w:val="20"/>
                <w:szCs w:val="20"/>
              </w:rPr>
              <w:t>οσ</w:t>
            </w:r>
            <w:proofErr w:type="spellEnd"/>
            <w:r w:rsidRPr="007648DE">
              <w:rPr>
                <w:rFonts w:ascii="Ping LCG Regular" w:hAnsi="Ping LCG Regular" w:cs="Arial"/>
                <w:color w:val="000000"/>
                <w:sz w:val="20"/>
                <w:szCs w:val="20"/>
              </w:rPr>
              <w:t xml:space="preserve">βέσεις </w:t>
            </w:r>
          </w:p>
        </w:tc>
        <w:tc>
          <w:tcPr>
            <w:tcW w:w="2447" w:type="dxa"/>
            <w:hideMark/>
          </w:tcPr>
          <w:p w14:paraId="41126193"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153,6</w:t>
            </w:r>
          </w:p>
        </w:tc>
        <w:tc>
          <w:tcPr>
            <w:tcW w:w="2410" w:type="dxa"/>
            <w:hideMark/>
          </w:tcPr>
          <w:p w14:paraId="79362668"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166</w:t>
            </w:r>
          </w:p>
        </w:tc>
      </w:tr>
      <w:tr w:rsidR="00F100CD" w:rsidRPr="007648DE" w14:paraId="75A64968" w14:textId="77777777" w:rsidTr="00EA7607">
        <w:trPr>
          <w:trHeight w:val="285"/>
        </w:trPr>
        <w:tc>
          <w:tcPr>
            <w:tcW w:w="4641" w:type="dxa"/>
            <w:hideMark/>
          </w:tcPr>
          <w:p w14:paraId="2FE327B6"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Χρημ</w:t>
            </w:r>
            <w:proofErr w:type="spellEnd"/>
            <w:r w:rsidRPr="007648DE">
              <w:rPr>
                <w:rFonts w:ascii="Ping LCG Regular" w:hAnsi="Ping LCG Regular" w:cs="Arial"/>
                <w:color w:val="000000"/>
                <w:sz w:val="20"/>
                <w:szCs w:val="20"/>
              </w:rPr>
              <w:t xml:space="preserve">ατοοικονομικά </w:t>
            </w:r>
            <w:proofErr w:type="spellStart"/>
            <w:r w:rsidRPr="007648DE">
              <w:rPr>
                <w:rFonts w:ascii="Ping LCG Regular" w:hAnsi="Ping LCG Regular" w:cs="Arial"/>
                <w:color w:val="000000"/>
                <w:sz w:val="20"/>
                <w:szCs w:val="20"/>
              </w:rPr>
              <w:t>έξοδ</w:t>
            </w:r>
            <w:proofErr w:type="spellEnd"/>
            <w:r w:rsidRPr="007648DE">
              <w:rPr>
                <w:rFonts w:ascii="Ping LCG Regular" w:hAnsi="Ping LCG Regular" w:cs="Arial"/>
                <w:color w:val="000000"/>
                <w:sz w:val="20"/>
                <w:szCs w:val="20"/>
              </w:rPr>
              <w:t>α</w:t>
            </w:r>
          </w:p>
        </w:tc>
        <w:tc>
          <w:tcPr>
            <w:tcW w:w="2447" w:type="dxa"/>
            <w:hideMark/>
          </w:tcPr>
          <w:p w14:paraId="387748C9"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84,3</w:t>
            </w:r>
          </w:p>
        </w:tc>
        <w:tc>
          <w:tcPr>
            <w:tcW w:w="2410" w:type="dxa"/>
            <w:hideMark/>
          </w:tcPr>
          <w:p w14:paraId="53300E6D"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80,6</w:t>
            </w:r>
          </w:p>
        </w:tc>
      </w:tr>
      <w:tr w:rsidR="00F100CD" w:rsidRPr="007648DE" w14:paraId="46960F95" w14:textId="77777777" w:rsidTr="00EA7607">
        <w:trPr>
          <w:trHeight w:val="285"/>
        </w:trPr>
        <w:tc>
          <w:tcPr>
            <w:tcW w:w="4641" w:type="dxa"/>
            <w:hideMark/>
          </w:tcPr>
          <w:p w14:paraId="075B048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Χρημ</w:t>
            </w:r>
            <w:proofErr w:type="spellEnd"/>
            <w:r w:rsidRPr="007648DE">
              <w:rPr>
                <w:rFonts w:ascii="Ping LCG Regular" w:hAnsi="Ping LCG Regular" w:cs="Arial"/>
                <w:color w:val="000000"/>
                <w:sz w:val="20"/>
                <w:szCs w:val="20"/>
              </w:rPr>
              <w:t xml:space="preserve">ατοοικονομικά </w:t>
            </w:r>
            <w:proofErr w:type="spellStart"/>
            <w:r w:rsidRPr="007648DE">
              <w:rPr>
                <w:rFonts w:ascii="Ping LCG Regular" w:hAnsi="Ping LCG Regular" w:cs="Arial"/>
                <w:color w:val="000000"/>
                <w:sz w:val="20"/>
                <w:szCs w:val="20"/>
              </w:rPr>
              <w:t>έσοδ</w:t>
            </w:r>
            <w:proofErr w:type="spellEnd"/>
            <w:r w:rsidRPr="007648DE">
              <w:rPr>
                <w:rFonts w:ascii="Ping LCG Regular" w:hAnsi="Ping LCG Regular" w:cs="Arial"/>
                <w:color w:val="000000"/>
                <w:sz w:val="20"/>
                <w:szCs w:val="20"/>
              </w:rPr>
              <w:t>α</w:t>
            </w:r>
          </w:p>
        </w:tc>
        <w:tc>
          <w:tcPr>
            <w:tcW w:w="2447" w:type="dxa"/>
            <w:noWrap/>
            <w:hideMark/>
          </w:tcPr>
          <w:p w14:paraId="49C8AE17" w14:textId="55D2429C"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(26,5)</w:t>
            </w:r>
          </w:p>
        </w:tc>
        <w:tc>
          <w:tcPr>
            <w:tcW w:w="2410" w:type="dxa"/>
            <w:noWrap/>
            <w:hideMark/>
          </w:tcPr>
          <w:p w14:paraId="32CB9168" w14:textId="2DD16E9A"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(7,7)</w:t>
            </w:r>
          </w:p>
        </w:tc>
      </w:tr>
      <w:tr w:rsidR="00F100CD" w:rsidRPr="007648DE" w14:paraId="7073434C" w14:textId="77777777" w:rsidTr="00EA7607">
        <w:trPr>
          <w:trHeight w:val="285"/>
        </w:trPr>
        <w:tc>
          <w:tcPr>
            <w:tcW w:w="4641" w:type="dxa"/>
            <w:hideMark/>
          </w:tcPr>
          <w:p w14:paraId="05E0A7F1"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Καθαρό (κέρδος)/ζημία από συγγενείς επιχειρήσεις</w:t>
            </w:r>
          </w:p>
        </w:tc>
        <w:tc>
          <w:tcPr>
            <w:tcW w:w="2447" w:type="dxa"/>
            <w:noWrap/>
            <w:hideMark/>
          </w:tcPr>
          <w:p w14:paraId="16976FBE" w14:textId="6EEE5896"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EA7607">
              <w:rPr>
                <w:rFonts w:ascii="Ping LCG Regular" w:hAnsi="Ping LCG Regular" w:cs="Arial"/>
                <w:color w:val="000000"/>
                <w:sz w:val="20"/>
                <w:szCs w:val="20"/>
                <w:lang w:val="el-GR"/>
              </w:rPr>
              <w:t xml:space="preserve">                                     </w:t>
            </w:r>
            <w:r w:rsidRPr="007648DE">
              <w:rPr>
                <w:rFonts w:ascii="Ping LCG Regular" w:hAnsi="Ping LCG Regular" w:cs="Arial"/>
                <w:color w:val="000000"/>
                <w:sz w:val="20"/>
                <w:szCs w:val="20"/>
              </w:rPr>
              <w:t>(0,1)</w:t>
            </w:r>
          </w:p>
        </w:tc>
        <w:tc>
          <w:tcPr>
            <w:tcW w:w="2410" w:type="dxa"/>
            <w:noWrap/>
            <w:hideMark/>
          </w:tcPr>
          <w:p w14:paraId="4AA67F6D" w14:textId="3AC2D458"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(40,0)</w:t>
            </w:r>
          </w:p>
        </w:tc>
      </w:tr>
      <w:tr w:rsidR="00F100CD" w:rsidRPr="007648DE" w14:paraId="1FBBBBC0" w14:textId="77777777" w:rsidTr="00EA7607">
        <w:trPr>
          <w:trHeight w:val="261"/>
        </w:trPr>
        <w:tc>
          <w:tcPr>
            <w:tcW w:w="4641" w:type="dxa"/>
            <w:hideMark/>
          </w:tcPr>
          <w:p w14:paraId="10E9BE7D"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Καθαρές ζημίες /(κέρδη) από συναλλαγματικές διαφορές</w:t>
            </w:r>
          </w:p>
        </w:tc>
        <w:tc>
          <w:tcPr>
            <w:tcW w:w="2447" w:type="dxa"/>
            <w:noWrap/>
            <w:hideMark/>
          </w:tcPr>
          <w:p w14:paraId="723D68E5"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EA7607">
              <w:rPr>
                <w:rFonts w:ascii="Ping LCG Regular" w:hAnsi="Ping LCG Regular" w:cs="Arial"/>
                <w:color w:val="000000"/>
                <w:sz w:val="20"/>
                <w:szCs w:val="20"/>
                <w:lang w:val="el-GR"/>
              </w:rPr>
              <w:t xml:space="preserve"> </w:t>
            </w:r>
            <w:r w:rsidRPr="007648DE">
              <w:rPr>
                <w:rFonts w:ascii="Ping LCG Regular" w:hAnsi="Ping LCG Regular" w:cs="Arial"/>
                <w:color w:val="000000"/>
                <w:sz w:val="20"/>
                <w:szCs w:val="20"/>
              </w:rPr>
              <w:t xml:space="preserve">(4,0)                                    </w:t>
            </w:r>
          </w:p>
        </w:tc>
        <w:tc>
          <w:tcPr>
            <w:tcW w:w="2410" w:type="dxa"/>
            <w:hideMark/>
          </w:tcPr>
          <w:p w14:paraId="38EE0ED4"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0,5</w:t>
            </w:r>
          </w:p>
        </w:tc>
      </w:tr>
    </w:tbl>
    <w:p w14:paraId="001E7B56"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2C6E49C4"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1E10AE89"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010486D4"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bl>
      <w:tblPr>
        <w:tblStyle w:val="af0"/>
        <w:tblW w:w="949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41"/>
        <w:gridCol w:w="2447"/>
        <w:gridCol w:w="2410"/>
      </w:tblGrid>
      <w:tr w:rsidR="00F100CD" w:rsidRPr="007648DE" w14:paraId="6490A28C" w14:textId="77777777" w:rsidTr="00EA7607">
        <w:trPr>
          <w:trHeight w:val="300"/>
        </w:trPr>
        <w:tc>
          <w:tcPr>
            <w:tcW w:w="4641" w:type="dxa"/>
            <w:noWrap/>
            <w:hideMark/>
          </w:tcPr>
          <w:p w14:paraId="25B52A51"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ΠΙΝΑΚΑΣ ΣΤ: ΚΑΘΑΡΟΣ ΔΑΝΕΙΣΜΟΣ</w:t>
            </w:r>
          </w:p>
        </w:tc>
        <w:tc>
          <w:tcPr>
            <w:tcW w:w="2447" w:type="dxa"/>
            <w:noWrap/>
            <w:hideMark/>
          </w:tcPr>
          <w:p w14:paraId="32251AD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noWrap/>
            <w:hideMark/>
          </w:tcPr>
          <w:p w14:paraId="5483EFBA"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64C3F10F" w14:textId="77777777" w:rsidTr="00EA7607">
        <w:trPr>
          <w:trHeight w:val="300"/>
        </w:trPr>
        <w:tc>
          <w:tcPr>
            <w:tcW w:w="4641" w:type="dxa"/>
            <w:noWrap/>
            <w:hideMark/>
          </w:tcPr>
          <w:p w14:paraId="1BB8D3A4"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w:t>
            </w:r>
            <w:proofErr w:type="spellStart"/>
            <w:r w:rsidRPr="007648DE">
              <w:rPr>
                <w:rFonts w:ascii="Ping LCG Regular" w:hAnsi="Ping LCG Regular" w:cs="Arial"/>
                <w:b/>
                <w:bCs/>
                <w:color w:val="000000"/>
                <w:sz w:val="20"/>
                <w:szCs w:val="20"/>
              </w:rPr>
              <w:t>Ποσά</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σε</w:t>
            </w:r>
            <w:proofErr w:type="spellEnd"/>
            <w:r w:rsidRPr="007648DE">
              <w:rPr>
                <w:rFonts w:ascii="Ping LCG Regular" w:hAnsi="Ping LCG Regular" w:cs="Arial"/>
                <w:b/>
                <w:bCs/>
                <w:color w:val="000000"/>
                <w:sz w:val="20"/>
                <w:szCs w:val="20"/>
              </w:rPr>
              <w:t xml:space="preserve"> </w:t>
            </w:r>
            <w:proofErr w:type="spellStart"/>
            <w:r w:rsidRPr="007648DE">
              <w:rPr>
                <w:rFonts w:ascii="Ping LCG Regular" w:hAnsi="Ping LCG Regular" w:cs="Arial"/>
                <w:b/>
                <w:bCs/>
                <w:color w:val="000000"/>
                <w:sz w:val="20"/>
                <w:szCs w:val="20"/>
              </w:rPr>
              <w:t>εκ</w:t>
            </w:r>
            <w:proofErr w:type="spellEnd"/>
            <w:r w:rsidRPr="007648DE">
              <w:rPr>
                <w:rFonts w:ascii="Ping LCG Regular" w:hAnsi="Ping LCG Regular" w:cs="Arial"/>
                <w:b/>
                <w:bCs/>
                <w:color w:val="000000"/>
                <w:sz w:val="20"/>
                <w:szCs w:val="20"/>
              </w:rPr>
              <w:t xml:space="preserve">ατ. </w:t>
            </w:r>
            <w:proofErr w:type="spellStart"/>
            <w:r w:rsidRPr="007648DE">
              <w:rPr>
                <w:rFonts w:ascii="Ping LCG Regular" w:hAnsi="Ping LCG Regular" w:cs="Arial"/>
                <w:b/>
                <w:bCs/>
                <w:color w:val="000000"/>
                <w:sz w:val="20"/>
                <w:szCs w:val="20"/>
              </w:rPr>
              <w:t>Ευρώ</w:t>
            </w:r>
            <w:proofErr w:type="spellEnd"/>
            <w:r w:rsidRPr="007648DE">
              <w:rPr>
                <w:rFonts w:ascii="Ping LCG Regular" w:hAnsi="Ping LCG Regular" w:cs="Arial"/>
                <w:b/>
                <w:bCs/>
                <w:color w:val="000000"/>
                <w:sz w:val="20"/>
                <w:szCs w:val="20"/>
              </w:rPr>
              <w:t>)</w:t>
            </w:r>
          </w:p>
        </w:tc>
        <w:tc>
          <w:tcPr>
            <w:tcW w:w="2447" w:type="dxa"/>
            <w:noWrap/>
            <w:hideMark/>
          </w:tcPr>
          <w:p w14:paraId="1C9BFAF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10" w:type="dxa"/>
            <w:noWrap/>
            <w:hideMark/>
          </w:tcPr>
          <w:p w14:paraId="26F6CA84"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r>
      <w:tr w:rsidR="00F100CD" w:rsidRPr="007648DE" w14:paraId="36614349" w14:textId="77777777" w:rsidTr="00F01F3B">
        <w:trPr>
          <w:trHeight w:val="315"/>
        </w:trPr>
        <w:tc>
          <w:tcPr>
            <w:tcW w:w="4641" w:type="dxa"/>
            <w:hideMark/>
          </w:tcPr>
          <w:p w14:paraId="04B93555"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tc>
        <w:tc>
          <w:tcPr>
            <w:tcW w:w="4857" w:type="dxa"/>
            <w:gridSpan w:val="2"/>
            <w:tcBorders>
              <w:bottom w:val="single" w:sz="12" w:space="0" w:color="auto"/>
            </w:tcBorders>
            <w:hideMark/>
          </w:tcPr>
          <w:p w14:paraId="503FB074" w14:textId="77777777" w:rsidR="00F100CD" w:rsidRPr="007648DE" w:rsidRDefault="00F100CD" w:rsidP="0075043E">
            <w:pPr>
              <w:autoSpaceDE w:val="0"/>
              <w:autoSpaceDN w:val="0"/>
              <w:adjustRightInd w:val="0"/>
              <w:spacing w:after="160"/>
              <w:jc w:val="center"/>
              <w:rPr>
                <w:rFonts w:ascii="Ping LCG Regular" w:hAnsi="Ping LCG Regular" w:cs="Arial"/>
                <w:b/>
                <w:bCs/>
                <w:color w:val="000000"/>
                <w:sz w:val="20"/>
                <w:szCs w:val="20"/>
              </w:rPr>
            </w:pPr>
            <w:proofErr w:type="spellStart"/>
            <w:r w:rsidRPr="007648DE">
              <w:rPr>
                <w:rFonts w:ascii="Ping LCG Regular" w:hAnsi="Ping LCG Regular" w:cs="Arial"/>
                <w:b/>
                <w:bCs/>
                <w:color w:val="000000"/>
                <w:sz w:val="20"/>
                <w:szCs w:val="20"/>
              </w:rPr>
              <w:t>Όμιλος</w:t>
            </w:r>
            <w:proofErr w:type="spellEnd"/>
          </w:p>
        </w:tc>
      </w:tr>
      <w:tr w:rsidR="00F100CD" w:rsidRPr="007648DE" w14:paraId="30A0D773" w14:textId="77777777" w:rsidTr="00EA7607">
        <w:trPr>
          <w:trHeight w:val="300"/>
        </w:trPr>
        <w:tc>
          <w:tcPr>
            <w:tcW w:w="4641" w:type="dxa"/>
            <w:hideMark/>
          </w:tcPr>
          <w:p w14:paraId="4C5F05A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 </w:t>
            </w:r>
          </w:p>
        </w:tc>
        <w:tc>
          <w:tcPr>
            <w:tcW w:w="2447" w:type="dxa"/>
            <w:tcBorders>
              <w:top w:val="single" w:sz="12" w:space="0" w:color="auto"/>
              <w:bottom w:val="nil"/>
            </w:tcBorders>
            <w:hideMark/>
          </w:tcPr>
          <w:p w14:paraId="746807F1"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31.03.2023</w:t>
            </w:r>
          </w:p>
        </w:tc>
        <w:tc>
          <w:tcPr>
            <w:tcW w:w="2410" w:type="dxa"/>
            <w:tcBorders>
              <w:top w:val="single" w:sz="12" w:space="0" w:color="auto"/>
              <w:bottom w:val="nil"/>
            </w:tcBorders>
            <w:hideMark/>
          </w:tcPr>
          <w:p w14:paraId="56059E90"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 xml:space="preserve">   31.03.2022</w:t>
            </w:r>
          </w:p>
        </w:tc>
      </w:tr>
      <w:tr w:rsidR="00F100CD" w:rsidRPr="007648DE" w14:paraId="6D0237C5" w14:textId="77777777" w:rsidTr="00EA7607">
        <w:trPr>
          <w:trHeight w:val="285"/>
        </w:trPr>
        <w:tc>
          <w:tcPr>
            <w:tcW w:w="4641" w:type="dxa"/>
            <w:hideMark/>
          </w:tcPr>
          <w:p w14:paraId="25762827"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r w:rsidRPr="007648DE">
              <w:rPr>
                <w:rFonts w:ascii="Ping LCG Regular" w:hAnsi="Ping LCG Regular" w:cs="Arial"/>
                <w:color w:val="000000"/>
                <w:sz w:val="20"/>
                <w:szCs w:val="20"/>
              </w:rPr>
              <w:t>Μα</w:t>
            </w:r>
            <w:proofErr w:type="spellStart"/>
            <w:r w:rsidRPr="007648DE">
              <w:rPr>
                <w:rFonts w:ascii="Ping LCG Regular" w:hAnsi="Ping LCG Regular" w:cs="Arial"/>
                <w:color w:val="000000"/>
                <w:sz w:val="20"/>
                <w:szCs w:val="20"/>
              </w:rPr>
              <w:t>κρο</w:t>
            </w:r>
            <w:proofErr w:type="spellEnd"/>
            <w:r w:rsidRPr="007648DE">
              <w:rPr>
                <w:rFonts w:ascii="Ping LCG Regular" w:hAnsi="Ping LCG Regular" w:cs="Arial"/>
                <w:color w:val="000000"/>
                <w:sz w:val="20"/>
                <w:szCs w:val="20"/>
              </w:rPr>
              <w:t>πρόθεσμος δα</w:t>
            </w:r>
            <w:proofErr w:type="spellStart"/>
            <w:r w:rsidRPr="007648DE">
              <w:rPr>
                <w:rFonts w:ascii="Ping LCG Regular" w:hAnsi="Ping LCG Regular" w:cs="Arial"/>
                <w:color w:val="000000"/>
                <w:sz w:val="20"/>
                <w:szCs w:val="20"/>
              </w:rPr>
              <w:t>νεισμός</w:t>
            </w:r>
            <w:proofErr w:type="spellEnd"/>
          </w:p>
        </w:tc>
        <w:tc>
          <w:tcPr>
            <w:tcW w:w="2447" w:type="dxa"/>
            <w:tcBorders>
              <w:top w:val="nil"/>
            </w:tcBorders>
            <w:hideMark/>
          </w:tcPr>
          <w:p w14:paraId="40EF1DAF"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3.895,0</w:t>
            </w:r>
          </w:p>
        </w:tc>
        <w:tc>
          <w:tcPr>
            <w:tcW w:w="2410" w:type="dxa"/>
            <w:tcBorders>
              <w:top w:val="nil"/>
            </w:tcBorders>
            <w:hideMark/>
          </w:tcPr>
          <w:p w14:paraId="3052A149"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3.958,1</w:t>
            </w:r>
          </w:p>
        </w:tc>
      </w:tr>
      <w:tr w:rsidR="00F100CD" w:rsidRPr="007648DE" w14:paraId="3D446BD7" w14:textId="77777777" w:rsidTr="00EA7607">
        <w:trPr>
          <w:trHeight w:val="285"/>
        </w:trPr>
        <w:tc>
          <w:tcPr>
            <w:tcW w:w="4641" w:type="dxa"/>
            <w:hideMark/>
          </w:tcPr>
          <w:p w14:paraId="092280FF"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Βρ</w:t>
            </w:r>
            <w:proofErr w:type="spellEnd"/>
            <w:r w:rsidRPr="007648DE">
              <w:rPr>
                <w:rFonts w:ascii="Ping LCG Regular" w:hAnsi="Ping LCG Regular" w:cs="Arial"/>
                <w:color w:val="000000"/>
                <w:sz w:val="20"/>
                <w:szCs w:val="20"/>
              </w:rPr>
              <w:t xml:space="preserve">αχυπρόθεσμο </w:t>
            </w:r>
            <w:proofErr w:type="spellStart"/>
            <w:r w:rsidRPr="007648DE">
              <w:rPr>
                <w:rFonts w:ascii="Ping LCG Regular" w:hAnsi="Ping LCG Regular" w:cs="Arial"/>
                <w:color w:val="000000"/>
                <w:sz w:val="20"/>
                <w:szCs w:val="20"/>
              </w:rPr>
              <w:t>μέρος</w:t>
            </w:r>
            <w:proofErr w:type="spellEnd"/>
            <w:r w:rsidRPr="007648DE">
              <w:rPr>
                <w:rFonts w:ascii="Ping LCG Regular" w:hAnsi="Ping LCG Regular" w:cs="Arial"/>
                <w:color w:val="000000"/>
                <w:sz w:val="20"/>
                <w:szCs w:val="20"/>
              </w:rPr>
              <w:t xml:space="preserve"> μα</w:t>
            </w:r>
            <w:proofErr w:type="spellStart"/>
            <w:r w:rsidRPr="007648DE">
              <w:rPr>
                <w:rFonts w:ascii="Ping LCG Regular" w:hAnsi="Ping LCG Regular" w:cs="Arial"/>
                <w:color w:val="000000"/>
                <w:sz w:val="20"/>
                <w:szCs w:val="20"/>
              </w:rPr>
              <w:t>κρο</w:t>
            </w:r>
            <w:proofErr w:type="spellEnd"/>
            <w:r w:rsidRPr="007648DE">
              <w:rPr>
                <w:rFonts w:ascii="Ping LCG Regular" w:hAnsi="Ping LCG Regular" w:cs="Arial"/>
                <w:color w:val="000000"/>
                <w:sz w:val="20"/>
                <w:szCs w:val="20"/>
              </w:rPr>
              <w:t>πρόθεσμου δα</w:t>
            </w:r>
            <w:proofErr w:type="spellStart"/>
            <w:r w:rsidRPr="007648DE">
              <w:rPr>
                <w:rFonts w:ascii="Ping LCG Regular" w:hAnsi="Ping LCG Regular" w:cs="Arial"/>
                <w:color w:val="000000"/>
                <w:sz w:val="20"/>
                <w:szCs w:val="20"/>
              </w:rPr>
              <w:t>νεισμού</w:t>
            </w:r>
            <w:proofErr w:type="spellEnd"/>
          </w:p>
        </w:tc>
        <w:tc>
          <w:tcPr>
            <w:tcW w:w="2447" w:type="dxa"/>
            <w:hideMark/>
          </w:tcPr>
          <w:p w14:paraId="0BBB7701"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515,1</w:t>
            </w:r>
          </w:p>
        </w:tc>
        <w:tc>
          <w:tcPr>
            <w:tcW w:w="2410" w:type="dxa"/>
            <w:hideMark/>
          </w:tcPr>
          <w:p w14:paraId="31D115F7"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332,4</w:t>
            </w:r>
          </w:p>
        </w:tc>
      </w:tr>
      <w:tr w:rsidR="00F100CD" w:rsidRPr="007648DE" w14:paraId="065A0FA6" w14:textId="77777777" w:rsidTr="00EA7607">
        <w:trPr>
          <w:trHeight w:val="285"/>
        </w:trPr>
        <w:tc>
          <w:tcPr>
            <w:tcW w:w="4641" w:type="dxa"/>
            <w:hideMark/>
          </w:tcPr>
          <w:p w14:paraId="04E9D90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Βρ</w:t>
            </w:r>
            <w:proofErr w:type="spellEnd"/>
            <w:r w:rsidRPr="007648DE">
              <w:rPr>
                <w:rFonts w:ascii="Ping LCG Regular" w:hAnsi="Ping LCG Regular" w:cs="Arial"/>
                <w:color w:val="000000"/>
                <w:sz w:val="20"/>
                <w:szCs w:val="20"/>
              </w:rPr>
              <w:t>αχυπρόθεσμος δα</w:t>
            </w:r>
            <w:proofErr w:type="spellStart"/>
            <w:r w:rsidRPr="007648DE">
              <w:rPr>
                <w:rFonts w:ascii="Ping LCG Regular" w:hAnsi="Ping LCG Regular" w:cs="Arial"/>
                <w:color w:val="000000"/>
                <w:sz w:val="20"/>
                <w:szCs w:val="20"/>
              </w:rPr>
              <w:t>νεισμός</w:t>
            </w:r>
            <w:proofErr w:type="spellEnd"/>
          </w:p>
        </w:tc>
        <w:tc>
          <w:tcPr>
            <w:tcW w:w="2447" w:type="dxa"/>
            <w:hideMark/>
          </w:tcPr>
          <w:p w14:paraId="1A384ED8"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87,6</w:t>
            </w:r>
          </w:p>
        </w:tc>
        <w:tc>
          <w:tcPr>
            <w:tcW w:w="2410" w:type="dxa"/>
            <w:hideMark/>
          </w:tcPr>
          <w:p w14:paraId="7D3571C2"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282,7</w:t>
            </w:r>
          </w:p>
        </w:tc>
      </w:tr>
      <w:tr w:rsidR="00F100CD" w:rsidRPr="007648DE" w14:paraId="283F74FE" w14:textId="77777777" w:rsidTr="00EA7607">
        <w:trPr>
          <w:trHeight w:val="285"/>
        </w:trPr>
        <w:tc>
          <w:tcPr>
            <w:tcW w:w="4641" w:type="dxa"/>
            <w:hideMark/>
          </w:tcPr>
          <w:p w14:paraId="481703A2"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Χρημ</w:t>
            </w:r>
            <w:proofErr w:type="spellEnd"/>
            <w:r w:rsidRPr="007648DE">
              <w:rPr>
                <w:rFonts w:ascii="Ping LCG Regular" w:hAnsi="Ping LCG Regular" w:cs="Arial"/>
                <w:color w:val="000000"/>
                <w:sz w:val="20"/>
                <w:szCs w:val="20"/>
              </w:rPr>
              <w:t xml:space="preserve">ατικά </w:t>
            </w:r>
            <w:proofErr w:type="spellStart"/>
            <w:r w:rsidRPr="007648DE">
              <w:rPr>
                <w:rFonts w:ascii="Ping LCG Regular" w:hAnsi="Ping LCG Regular" w:cs="Arial"/>
                <w:color w:val="000000"/>
                <w:sz w:val="20"/>
                <w:szCs w:val="20"/>
              </w:rPr>
              <w:t>δι</w:t>
            </w:r>
            <w:proofErr w:type="spellEnd"/>
            <w:r w:rsidRPr="007648DE">
              <w:rPr>
                <w:rFonts w:ascii="Ping LCG Regular" w:hAnsi="Ping LCG Regular" w:cs="Arial"/>
                <w:color w:val="000000"/>
                <w:sz w:val="20"/>
                <w:szCs w:val="20"/>
              </w:rPr>
              <w:t>αθέσιμα</w:t>
            </w:r>
          </w:p>
        </w:tc>
        <w:tc>
          <w:tcPr>
            <w:tcW w:w="2447" w:type="dxa"/>
            <w:noWrap/>
            <w:hideMark/>
          </w:tcPr>
          <w:p w14:paraId="35F33DC3"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(2.461,9)                                  </w:t>
            </w:r>
          </w:p>
        </w:tc>
        <w:tc>
          <w:tcPr>
            <w:tcW w:w="2410" w:type="dxa"/>
            <w:noWrap/>
            <w:hideMark/>
          </w:tcPr>
          <w:p w14:paraId="4F95287F" w14:textId="3D20B8CA"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(2.479,5)</w:t>
            </w:r>
          </w:p>
        </w:tc>
      </w:tr>
      <w:tr w:rsidR="00F100CD" w:rsidRPr="007648DE" w14:paraId="7A59150A" w14:textId="77777777" w:rsidTr="00EA7607">
        <w:trPr>
          <w:trHeight w:val="285"/>
        </w:trPr>
        <w:tc>
          <w:tcPr>
            <w:tcW w:w="4641" w:type="dxa"/>
            <w:hideMark/>
          </w:tcPr>
          <w:p w14:paraId="2577FA7C"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roofErr w:type="spellStart"/>
            <w:r w:rsidRPr="007648DE">
              <w:rPr>
                <w:rFonts w:ascii="Ping LCG Regular" w:hAnsi="Ping LCG Regular" w:cs="Arial"/>
                <w:color w:val="000000"/>
                <w:sz w:val="20"/>
                <w:szCs w:val="20"/>
              </w:rPr>
              <w:t>Δεσμευμένες</w:t>
            </w:r>
            <w:proofErr w:type="spellEnd"/>
            <w:r w:rsidRPr="007648DE">
              <w:rPr>
                <w:rFonts w:ascii="Ping LCG Regular" w:hAnsi="Ping LCG Regular" w:cs="Arial"/>
                <w:color w:val="000000"/>
                <w:sz w:val="20"/>
                <w:szCs w:val="20"/>
              </w:rPr>
              <w:t xml:space="preserve"> Κατα</w:t>
            </w:r>
            <w:proofErr w:type="spellStart"/>
            <w:r w:rsidRPr="007648DE">
              <w:rPr>
                <w:rFonts w:ascii="Ping LCG Regular" w:hAnsi="Ping LCG Regular" w:cs="Arial"/>
                <w:color w:val="000000"/>
                <w:sz w:val="20"/>
                <w:szCs w:val="20"/>
              </w:rPr>
              <w:t>θέσεις</w:t>
            </w:r>
            <w:proofErr w:type="spellEnd"/>
          </w:p>
        </w:tc>
        <w:tc>
          <w:tcPr>
            <w:tcW w:w="2447" w:type="dxa"/>
            <w:noWrap/>
            <w:hideMark/>
          </w:tcPr>
          <w:p w14:paraId="06D12218"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(77,1)</w:t>
            </w:r>
          </w:p>
        </w:tc>
        <w:tc>
          <w:tcPr>
            <w:tcW w:w="2410" w:type="dxa"/>
            <w:noWrap/>
            <w:hideMark/>
          </w:tcPr>
          <w:p w14:paraId="2015AB4B"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                                       (46,1)</w:t>
            </w:r>
          </w:p>
        </w:tc>
      </w:tr>
      <w:tr w:rsidR="00F100CD" w:rsidRPr="007648DE" w14:paraId="48DFB8D2" w14:textId="77777777" w:rsidTr="00EA7607">
        <w:trPr>
          <w:trHeight w:val="570"/>
        </w:trPr>
        <w:tc>
          <w:tcPr>
            <w:tcW w:w="4641" w:type="dxa"/>
            <w:hideMark/>
          </w:tcPr>
          <w:p w14:paraId="468914B2"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r w:rsidRPr="00EA7607">
              <w:rPr>
                <w:rFonts w:ascii="Ping LCG Regular" w:hAnsi="Ping LCG Regular" w:cs="Arial"/>
                <w:color w:val="000000"/>
                <w:sz w:val="20"/>
                <w:szCs w:val="20"/>
                <w:lang w:val="el-GR"/>
              </w:rPr>
              <w:t xml:space="preserve">Χρηματοοικονομικά περιουσιακά στοιχεία </w:t>
            </w:r>
            <w:proofErr w:type="spellStart"/>
            <w:r w:rsidRPr="00EA7607">
              <w:rPr>
                <w:rFonts w:ascii="Ping LCG Regular" w:hAnsi="Ping LCG Regular" w:cs="Arial"/>
                <w:color w:val="000000"/>
                <w:sz w:val="20"/>
                <w:szCs w:val="20"/>
                <w:lang w:val="el-GR"/>
              </w:rPr>
              <w:t>επιμετρούμενα</w:t>
            </w:r>
            <w:proofErr w:type="spellEnd"/>
            <w:r w:rsidRPr="00EA7607">
              <w:rPr>
                <w:rFonts w:ascii="Ping LCG Regular" w:hAnsi="Ping LCG Regular" w:cs="Arial"/>
                <w:color w:val="000000"/>
                <w:sz w:val="20"/>
                <w:szCs w:val="20"/>
                <w:lang w:val="el-GR"/>
              </w:rPr>
              <w:t xml:space="preserve"> στην εύλογη αξία μέσω των συνολικών αποτελεσμάτων</w:t>
            </w:r>
          </w:p>
        </w:tc>
        <w:tc>
          <w:tcPr>
            <w:tcW w:w="2447" w:type="dxa"/>
            <w:noWrap/>
            <w:hideMark/>
          </w:tcPr>
          <w:p w14:paraId="13EBD871"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 xml:space="preserve">(0,3)                                       </w:t>
            </w:r>
          </w:p>
        </w:tc>
        <w:tc>
          <w:tcPr>
            <w:tcW w:w="2410" w:type="dxa"/>
            <w:noWrap/>
            <w:hideMark/>
          </w:tcPr>
          <w:p w14:paraId="59DB307B"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(0,3)</w:t>
            </w:r>
          </w:p>
        </w:tc>
      </w:tr>
      <w:tr w:rsidR="00F100CD" w:rsidRPr="007648DE" w14:paraId="207B3B93" w14:textId="77777777" w:rsidTr="00EA7607">
        <w:trPr>
          <w:trHeight w:val="285"/>
        </w:trPr>
        <w:tc>
          <w:tcPr>
            <w:tcW w:w="4641" w:type="dxa"/>
            <w:hideMark/>
          </w:tcPr>
          <w:p w14:paraId="49C23DD5" w14:textId="77777777" w:rsidR="00F100CD" w:rsidRPr="00EA7607" w:rsidRDefault="00F100CD" w:rsidP="0075043E">
            <w:pPr>
              <w:autoSpaceDE w:val="0"/>
              <w:autoSpaceDN w:val="0"/>
              <w:adjustRightInd w:val="0"/>
              <w:spacing w:after="160"/>
              <w:jc w:val="both"/>
              <w:rPr>
                <w:rFonts w:ascii="Ping LCG Regular" w:hAnsi="Ping LCG Regular" w:cs="Arial"/>
                <w:color w:val="000000"/>
                <w:sz w:val="20"/>
                <w:szCs w:val="20"/>
                <w:lang w:val="el-GR"/>
              </w:rPr>
            </w:pPr>
            <w:proofErr w:type="spellStart"/>
            <w:r w:rsidRPr="00EA7607">
              <w:rPr>
                <w:rFonts w:ascii="Ping LCG Regular" w:hAnsi="Ping LCG Regular" w:cs="Arial"/>
                <w:color w:val="000000"/>
                <w:sz w:val="20"/>
                <w:szCs w:val="20"/>
                <w:lang w:val="el-GR"/>
              </w:rPr>
              <w:t>Αναπόσβεστο</w:t>
            </w:r>
            <w:proofErr w:type="spellEnd"/>
            <w:r w:rsidRPr="00EA7607">
              <w:rPr>
                <w:rFonts w:ascii="Ping LCG Regular" w:hAnsi="Ping LCG Regular" w:cs="Arial"/>
                <w:color w:val="000000"/>
                <w:sz w:val="20"/>
                <w:szCs w:val="20"/>
                <w:lang w:val="el-GR"/>
              </w:rPr>
              <w:t xml:space="preserve"> μέρος εξόδων σύναψης δανείων</w:t>
            </w:r>
          </w:p>
        </w:tc>
        <w:tc>
          <w:tcPr>
            <w:tcW w:w="2447" w:type="dxa"/>
            <w:hideMark/>
          </w:tcPr>
          <w:p w14:paraId="3BCB03A6"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72,0</w:t>
            </w:r>
          </w:p>
        </w:tc>
        <w:tc>
          <w:tcPr>
            <w:tcW w:w="2410" w:type="dxa"/>
            <w:hideMark/>
          </w:tcPr>
          <w:p w14:paraId="7657C707" w14:textId="77777777" w:rsidR="00F100CD" w:rsidRPr="007648DE" w:rsidRDefault="00F100CD" w:rsidP="0075043E">
            <w:pPr>
              <w:autoSpaceDE w:val="0"/>
              <w:autoSpaceDN w:val="0"/>
              <w:adjustRightInd w:val="0"/>
              <w:spacing w:after="160"/>
              <w:jc w:val="right"/>
              <w:rPr>
                <w:rFonts w:ascii="Ping LCG Regular" w:hAnsi="Ping LCG Regular" w:cs="Arial"/>
                <w:color w:val="000000"/>
                <w:sz w:val="20"/>
                <w:szCs w:val="20"/>
              </w:rPr>
            </w:pPr>
            <w:r w:rsidRPr="007648DE">
              <w:rPr>
                <w:rFonts w:ascii="Ping LCG Regular" w:hAnsi="Ping LCG Regular" w:cs="Arial"/>
                <w:color w:val="000000"/>
                <w:sz w:val="20"/>
                <w:szCs w:val="20"/>
              </w:rPr>
              <w:t>84,5</w:t>
            </w:r>
          </w:p>
        </w:tc>
      </w:tr>
      <w:tr w:rsidR="00F100CD" w:rsidRPr="007648DE" w14:paraId="4BC4C817" w14:textId="77777777" w:rsidTr="00EA7607">
        <w:trPr>
          <w:trHeight w:val="315"/>
        </w:trPr>
        <w:tc>
          <w:tcPr>
            <w:tcW w:w="4641" w:type="dxa"/>
            <w:hideMark/>
          </w:tcPr>
          <w:p w14:paraId="32A93CC3" w14:textId="77777777" w:rsidR="00F100CD" w:rsidRPr="007648DE" w:rsidRDefault="00F100CD" w:rsidP="0075043E">
            <w:pPr>
              <w:autoSpaceDE w:val="0"/>
              <w:autoSpaceDN w:val="0"/>
              <w:adjustRightInd w:val="0"/>
              <w:spacing w:after="160"/>
              <w:jc w:val="both"/>
              <w:rPr>
                <w:rFonts w:ascii="Ping LCG Regular" w:hAnsi="Ping LCG Regular" w:cs="Arial"/>
                <w:b/>
                <w:bCs/>
                <w:color w:val="000000"/>
                <w:sz w:val="20"/>
                <w:szCs w:val="20"/>
              </w:rPr>
            </w:pPr>
            <w:r w:rsidRPr="007648DE">
              <w:rPr>
                <w:rFonts w:ascii="Ping LCG Regular" w:hAnsi="Ping LCG Regular" w:cs="Arial"/>
                <w:b/>
                <w:bCs/>
                <w:color w:val="000000"/>
                <w:sz w:val="20"/>
                <w:szCs w:val="20"/>
              </w:rPr>
              <w:t>ΣΥΝΟΛΟ</w:t>
            </w:r>
          </w:p>
        </w:tc>
        <w:tc>
          <w:tcPr>
            <w:tcW w:w="2447" w:type="dxa"/>
            <w:hideMark/>
          </w:tcPr>
          <w:p w14:paraId="218CCDD2"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2.030,4</w:t>
            </w:r>
          </w:p>
        </w:tc>
        <w:tc>
          <w:tcPr>
            <w:tcW w:w="2410" w:type="dxa"/>
            <w:hideMark/>
          </w:tcPr>
          <w:p w14:paraId="31C0C7FB" w14:textId="77777777" w:rsidR="00F100CD" w:rsidRPr="007648DE" w:rsidRDefault="00F100CD" w:rsidP="0075043E">
            <w:pPr>
              <w:autoSpaceDE w:val="0"/>
              <w:autoSpaceDN w:val="0"/>
              <w:adjustRightInd w:val="0"/>
              <w:spacing w:after="160"/>
              <w:jc w:val="right"/>
              <w:rPr>
                <w:rFonts w:ascii="Ping LCG Regular" w:hAnsi="Ping LCG Regular" w:cs="Arial"/>
                <w:b/>
                <w:bCs/>
                <w:color w:val="000000"/>
                <w:sz w:val="20"/>
                <w:szCs w:val="20"/>
              </w:rPr>
            </w:pPr>
            <w:r w:rsidRPr="007648DE">
              <w:rPr>
                <w:rFonts w:ascii="Ping LCG Regular" w:hAnsi="Ping LCG Regular" w:cs="Arial"/>
                <w:b/>
                <w:bCs/>
                <w:color w:val="000000"/>
                <w:sz w:val="20"/>
                <w:szCs w:val="20"/>
              </w:rPr>
              <w:t>2.131,8</w:t>
            </w:r>
          </w:p>
        </w:tc>
      </w:tr>
    </w:tbl>
    <w:p w14:paraId="573D0760" w14:textId="77777777" w:rsidR="00F100CD" w:rsidRPr="007648DE" w:rsidRDefault="00F100CD" w:rsidP="0075043E">
      <w:pPr>
        <w:autoSpaceDE w:val="0"/>
        <w:autoSpaceDN w:val="0"/>
        <w:adjustRightInd w:val="0"/>
        <w:spacing w:after="160"/>
        <w:jc w:val="both"/>
        <w:rPr>
          <w:rFonts w:ascii="Ping LCG Regular" w:hAnsi="Ping LCG Regular" w:cs="Arial"/>
          <w:color w:val="000000"/>
          <w:sz w:val="20"/>
          <w:szCs w:val="20"/>
        </w:rPr>
      </w:pPr>
    </w:p>
    <w:p w14:paraId="6119EDB8" w14:textId="77777777" w:rsidR="00893CF8" w:rsidRPr="00C01CB3" w:rsidRDefault="00893CF8" w:rsidP="0075043E">
      <w:pPr>
        <w:autoSpaceDE w:val="0"/>
        <w:autoSpaceDN w:val="0"/>
        <w:adjustRightInd w:val="0"/>
        <w:spacing w:after="160"/>
        <w:rPr>
          <w:rFonts w:ascii="Ping LCG Regular" w:hAnsi="Ping LCG Regular" w:cs="Arial"/>
          <w:b/>
          <w:color w:val="70AD47" w:themeColor="accent6"/>
          <w:sz w:val="20"/>
          <w:szCs w:val="20"/>
          <w:lang w:val="el-GR"/>
        </w:rPr>
      </w:pPr>
    </w:p>
    <w:sectPr w:rsidR="00893CF8" w:rsidRPr="00C01CB3" w:rsidSect="00AC2B39">
      <w:headerReference w:type="default" r:id="rId21"/>
      <w:footerReference w:type="default" r:id="rId22"/>
      <w:pgSz w:w="11900" w:h="16840"/>
      <w:pgMar w:top="720" w:right="985" w:bottom="851" w:left="1134" w:header="98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D295" w14:textId="77777777" w:rsidR="008F5042" w:rsidRDefault="008F5042" w:rsidP="000E10BE">
      <w:r>
        <w:separator/>
      </w:r>
    </w:p>
  </w:endnote>
  <w:endnote w:type="continuationSeparator" w:id="0">
    <w:p w14:paraId="51472247" w14:textId="77777777" w:rsidR="008F5042" w:rsidRDefault="008F5042" w:rsidP="000E10BE">
      <w:r>
        <w:continuationSeparator/>
      </w:r>
    </w:p>
  </w:endnote>
  <w:endnote w:type="continuationNotice" w:id="1">
    <w:p w14:paraId="25CFA9C1" w14:textId="77777777" w:rsidR="008F5042" w:rsidRDefault="008F5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ing LCG Regular">
    <w:altName w:val="Calibri"/>
    <w:panose1 w:val="00000000000000000000"/>
    <w:charset w:val="00"/>
    <w:family w:val="modern"/>
    <w:notTrueType/>
    <w:pitch w:val="variable"/>
    <w:sig w:usb0="E00002FF" w:usb1="5001E47B" w:usb2="00000000" w:usb3="00000000" w:csb0="0000019F" w:csb1="00000000"/>
  </w:font>
  <w:font w:name="Ping LCG Bold">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ing LCG Regular" w:hAnsi="Ping LCG Regular"/>
        <w:lang w:val="el-GR"/>
      </w:rPr>
      <w:id w:val="360316571"/>
      <w:docPartObj>
        <w:docPartGallery w:val="Page Numbers (Bottom of Page)"/>
        <w:docPartUnique/>
      </w:docPartObj>
    </w:sdtPr>
    <w:sdtContent>
      <w:p w14:paraId="14BCB474" w14:textId="5153D000" w:rsidR="007A0DF1" w:rsidRPr="008D6B4C" w:rsidRDefault="007A0DF1">
        <w:pPr>
          <w:pStyle w:val="af"/>
          <w:jc w:val="center"/>
          <w:rPr>
            <w:rFonts w:ascii="Ping LCG Regular" w:hAnsi="Ping LCG Regular"/>
          </w:rPr>
        </w:pPr>
        <w:r w:rsidRPr="008D6B4C">
          <w:rPr>
            <w:rFonts w:ascii="Ping LCG Regular" w:hAnsi="Ping LCG Regular"/>
            <w:lang w:val="el-GR"/>
          </w:rPr>
          <w:t>[</w:t>
        </w:r>
        <w:r w:rsidRPr="008D6B4C">
          <w:rPr>
            <w:rFonts w:ascii="Ping LCG Regular" w:hAnsi="Ping LCG Regular"/>
          </w:rPr>
          <w:fldChar w:fldCharType="begin"/>
        </w:r>
        <w:r w:rsidRPr="008D6B4C">
          <w:rPr>
            <w:rFonts w:ascii="Ping LCG Regular" w:hAnsi="Ping LCG Regular"/>
          </w:rPr>
          <w:instrText>PAGE   \* MERGEFORMAT</w:instrText>
        </w:r>
        <w:r w:rsidRPr="008D6B4C">
          <w:rPr>
            <w:rFonts w:ascii="Ping LCG Regular" w:hAnsi="Ping LCG Regular"/>
          </w:rPr>
          <w:fldChar w:fldCharType="separate"/>
        </w:r>
        <w:r w:rsidRPr="008D6B4C">
          <w:rPr>
            <w:rFonts w:ascii="Ping LCG Regular" w:hAnsi="Ping LCG Regular"/>
            <w:lang w:val="el-GR"/>
          </w:rPr>
          <w:t>2</w:t>
        </w:r>
        <w:r w:rsidRPr="008D6B4C">
          <w:rPr>
            <w:rFonts w:ascii="Ping LCG Regular" w:hAnsi="Ping LCG Regular"/>
          </w:rPr>
          <w:fldChar w:fldCharType="end"/>
        </w:r>
        <w:r w:rsidRPr="008D6B4C">
          <w:rPr>
            <w:rFonts w:ascii="Ping LCG Regular" w:hAnsi="Ping LCG Regular"/>
            <w:lang w:val="el-GR"/>
          </w:rPr>
          <w:t>]</w:t>
        </w:r>
      </w:p>
    </w:sdtContent>
  </w:sdt>
  <w:p w14:paraId="250A1140" w14:textId="77777777" w:rsidR="007A0DF1" w:rsidRDefault="007A0DF1">
    <w:pPr>
      <w:pStyle w:val="af"/>
    </w:pPr>
  </w:p>
  <w:p w14:paraId="62EC8CAA" w14:textId="77777777" w:rsidR="00C72D7E" w:rsidRDefault="00C72D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20CF" w14:textId="77777777" w:rsidR="008F5042" w:rsidRDefault="008F5042" w:rsidP="000E10BE">
      <w:r>
        <w:separator/>
      </w:r>
    </w:p>
  </w:footnote>
  <w:footnote w:type="continuationSeparator" w:id="0">
    <w:p w14:paraId="5C135A53" w14:textId="77777777" w:rsidR="008F5042" w:rsidRDefault="008F5042" w:rsidP="000E10BE">
      <w:r>
        <w:continuationSeparator/>
      </w:r>
    </w:p>
  </w:footnote>
  <w:footnote w:type="continuationNotice" w:id="1">
    <w:p w14:paraId="72236B2E" w14:textId="77777777" w:rsidR="008F5042" w:rsidRDefault="008F5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3DFD" w14:textId="78480853" w:rsidR="007A0DF1" w:rsidRPr="00157158" w:rsidRDefault="007A0DF1">
    <w:pPr>
      <w:pStyle w:val="ae"/>
      <w:rPr>
        <w:rFonts w:ascii="Ping LCG Regular" w:hAnsi="Ping LCG Regular"/>
        <w:sz w:val="20"/>
        <w:szCs w:val="20"/>
      </w:rPr>
    </w:pPr>
    <w:r w:rsidRPr="00157158">
      <w:rPr>
        <w:rFonts w:ascii="Ping LCG Regular" w:hAnsi="Ping LCG Regular"/>
        <w:noProof/>
        <w:sz w:val="18"/>
        <w:szCs w:val="18"/>
      </w:rPr>
      <w:drawing>
        <wp:anchor distT="0" distB="0" distL="114300" distR="114300" simplePos="0" relativeHeight="251660288" behindDoc="1" locked="0" layoutInCell="1" allowOverlap="1" wp14:anchorId="06631F23" wp14:editId="425013DF">
          <wp:simplePos x="0" y="0"/>
          <wp:positionH relativeFrom="page">
            <wp:posOffset>5591175</wp:posOffset>
          </wp:positionH>
          <wp:positionV relativeFrom="page">
            <wp:posOffset>-74295</wp:posOffset>
          </wp:positionV>
          <wp:extent cx="1609200" cy="160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EI_Logo_RGB-with-safe-area.png"/>
                  <pic:cNvPicPr/>
                </pic:nvPicPr>
                <pic:blipFill>
                  <a:blip r:embed="rId1">
                    <a:extLst>
                      <a:ext uri="{28A0092B-C50C-407E-A947-70E740481C1C}">
                        <a14:useLocalDpi xmlns:a14="http://schemas.microsoft.com/office/drawing/2010/main" val="0"/>
                      </a:ext>
                    </a:extLst>
                  </a:blip>
                  <a:stretch>
                    <a:fillRect/>
                  </a:stretch>
                </pic:blipFill>
                <pic:spPr>
                  <a:xfrm>
                    <a:off x="0" y="0"/>
                    <a:ext cx="1609200" cy="1609200"/>
                  </a:xfrm>
                  <a:prstGeom prst="rect">
                    <a:avLst/>
                  </a:prstGeom>
                </pic:spPr>
              </pic:pic>
            </a:graphicData>
          </a:graphic>
          <wp14:sizeRelH relativeFrom="page">
            <wp14:pctWidth>0</wp14:pctWidth>
          </wp14:sizeRelH>
          <wp14:sizeRelV relativeFrom="page">
            <wp14:pctHeight>0</wp14:pctHeight>
          </wp14:sizeRelV>
        </wp:anchor>
      </w:drawing>
    </w:r>
    <w:r w:rsidRPr="00157158">
      <w:rPr>
        <w:rFonts w:ascii="Ping LCG Regular" w:hAnsi="Ping LCG Regular"/>
        <w:sz w:val="20"/>
        <w:szCs w:val="20"/>
      </w:rPr>
      <w:t xml:space="preserve">Διεύθυνση </w:t>
    </w:r>
    <w:r w:rsidRPr="00157158">
      <w:rPr>
        <w:rFonts w:ascii="Ping LCG Regular" w:hAnsi="Ping LCG Regular"/>
        <w:sz w:val="20"/>
        <w:szCs w:val="20"/>
      </w:rPr>
      <w:br/>
      <w:t xml:space="preserve">Επενδυτικών </w:t>
    </w:r>
    <w:r w:rsidRPr="00157158">
      <w:rPr>
        <w:rFonts w:ascii="Ping LCG Regular" w:hAnsi="Ping LCG Regular"/>
        <w:sz w:val="20"/>
        <w:szCs w:val="20"/>
      </w:rPr>
      <w:br/>
      <w:t>Σχέσεων</w:t>
    </w:r>
  </w:p>
  <w:p w14:paraId="03EE564A" w14:textId="13C504A5" w:rsidR="007A0DF1" w:rsidRPr="00BB4345" w:rsidRDefault="007A0DF1">
    <w:pPr>
      <w:pStyle w:val="ae"/>
      <w:rPr>
        <w:sz w:val="18"/>
        <w:szCs w:val="18"/>
      </w:rPr>
    </w:pPr>
  </w:p>
  <w:p w14:paraId="008678F8" w14:textId="78168467" w:rsidR="007A0DF1" w:rsidRDefault="007A0DF1">
    <w:pPr>
      <w:pStyle w:val="ae"/>
    </w:pPr>
  </w:p>
  <w:p w14:paraId="3FEADFDC" w14:textId="77777777" w:rsidR="00C72D7E" w:rsidRDefault="00C72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2B8"/>
    <w:multiLevelType w:val="hybridMultilevel"/>
    <w:tmpl w:val="14A0C014"/>
    <w:lvl w:ilvl="0" w:tplc="0000000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6116690"/>
    <w:multiLevelType w:val="hybridMultilevel"/>
    <w:tmpl w:val="84ECCD3E"/>
    <w:lvl w:ilvl="0" w:tplc="04080003">
      <w:start w:val="1"/>
      <w:numFmt w:val="bullet"/>
      <w:lvlText w:val="o"/>
      <w:lvlJc w:val="left"/>
      <w:pPr>
        <w:ind w:left="717" w:hanging="360"/>
      </w:pPr>
      <w:rPr>
        <w:rFonts w:ascii="Courier New" w:hAnsi="Courier New" w:cs="Courier New"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2" w15:restartNumberingAfterBreak="0">
    <w:nsid w:val="099D6B76"/>
    <w:multiLevelType w:val="hybridMultilevel"/>
    <w:tmpl w:val="DADEF2F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8677E7"/>
    <w:multiLevelType w:val="hybridMultilevel"/>
    <w:tmpl w:val="6FD00A80"/>
    <w:lvl w:ilvl="0" w:tplc="00000001">
      <w:numFmt w:val="bullet"/>
      <w:lvlText w:val="-"/>
      <w:lvlJc w:val="left"/>
      <w:pPr>
        <w:ind w:left="717" w:hanging="360"/>
      </w:pPr>
      <w:rPr>
        <w:rFonts w:ascii="Times New Roman" w:hAnsi="Times New Roman" w:cs="Times New Roman"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 w15:restartNumberingAfterBreak="0">
    <w:nsid w:val="0A8B21C7"/>
    <w:multiLevelType w:val="hybridMultilevel"/>
    <w:tmpl w:val="00E81F68"/>
    <w:lvl w:ilvl="0" w:tplc="0000000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BDC29CE"/>
    <w:multiLevelType w:val="hybridMultilevel"/>
    <w:tmpl w:val="D8A4A3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5D7ADD"/>
    <w:multiLevelType w:val="hybridMultilevel"/>
    <w:tmpl w:val="757A6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AF6C19"/>
    <w:multiLevelType w:val="hybridMultilevel"/>
    <w:tmpl w:val="9B48944C"/>
    <w:lvl w:ilvl="0" w:tplc="CB68E564">
      <w:numFmt w:val="bullet"/>
      <w:lvlText w:val="-"/>
      <w:lvlJc w:val="left"/>
      <w:pPr>
        <w:ind w:left="731" w:hanging="360"/>
      </w:pPr>
      <w:rPr>
        <w:rFonts w:ascii="Arial" w:eastAsia="Times New Roman" w:hAnsi="Arial" w:cs="Arial" w:hint="default"/>
      </w:rPr>
    </w:lvl>
    <w:lvl w:ilvl="1" w:tplc="04080003" w:tentative="1">
      <w:start w:val="1"/>
      <w:numFmt w:val="bullet"/>
      <w:lvlText w:val="o"/>
      <w:lvlJc w:val="left"/>
      <w:pPr>
        <w:ind w:left="1451" w:hanging="360"/>
      </w:pPr>
      <w:rPr>
        <w:rFonts w:ascii="Courier New" w:hAnsi="Courier New" w:cs="Courier New" w:hint="default"/>
      </w:rPr>
    </w:lvl>
    <w:lvl w:ilvl="2" w:tplc="04080005" w:tentative="1">
      <w:start w:val="1"/>
      <w:numFmt w:val="bullet"/>
      <w:lvlText w:val=""/>
      <w:lvlJc w:val="left"/>
      <w:pPr>
        <w:ind w:left="2171" w:hanging="360"/>
      </w:pPr>
      <w:rPr>
        <w:rFonts w:ascii="Wingdings" w:hAnsi="Wingdings" w:hint="default"/>
      </w:rPr>
    </w:lvl>
    <w:lvl w:ilvl="3" w:tplc="04080001" w:tentative="1">
      <w:start w:val="1"/>
      <w:numFmt w:val="bullet"/>
      <w:lvlText w:val=""/>
      <w:lvlJc w:val="left"/>
      <w:pPr>
        <w:ind w:left="2891" w:hanging="360"/>
      </w:pPr>
      <w:rPr>
        <w:rFonts w:ascii="Symbol" w:hAnsi="Symbol" w:hint="default"/>
      </w:rPr>
    </w:lvl>
    <w:lvl w:ilvl="4" w:tplc="04080003" w:tentative="1">
      <w:start w:val="1"/>
      <w:numFmt w:val="bullet"/>
      <w:lvlText w:val="o"/>
      <w:lvlJc w:val="left"/>
      <w:pPr>
        <w:ind w:left="3611" w:hanging="360"/>
      </w:pPr>
      <w:rPr>
        <w:rFonts w:ascii="Courier New" w:hAnsi="Courier New" w:cs="Courier New" w:hint="default"/>
      </w:rPr>
    </w:lvl>
    <w:lvl w:ilvl="5" w:tplc="04080005" w:tentative="1">
      <w:start w:val="1"/>
      <w:numFmt w:val="bullet"/>
      <w:lvlText w:val=""/>
      <w:lvlJc w:val="left"/>
      <w:pPr>
        <w:ind w:left="4331" w:hanging="360"/>
      </w:pPr>
      <w:rPr>
        <w:rFonts w:ascii="Wingdings" w:hAnsi="Wingdings" w:hint="default"/>
      </w:rPr>
    </w:lvl>
    <w:lvl w:ilvl="6" w:tplc="04080001" w:tentative="1">
      <w:start w:val="1"/>
      <w:numFmt w:val="bullet"/>
      <w:lvlText w:val=""/>
      <w:lvlJc w:val="left"/>
      <w:pPr>
        <w:ind w:left="5051" w:hanging="360"/>
      </w:pPr>
      <w:rPr>
        <w:rFonts w:ascii="Symbol" w:hAnsi="Symbol" w:hint="default"/>
      </w:rPr>
    </w:lvl>
    <w:lvl w:ilvl="7" w:tplc="04080003" w:tentative="1">
      <w:start w:val="1"/>
      <w:numFmt w:val="bullet"/>
      <w:lvlText w:val="o"/>
      <w:lvlJc w:val="left"/>
      <w:pPr>
        <w:ind w:left="5771" w:hanging="360"/>
      </w:pPr>
      <w:rPr>
        <w:rFonts w:ascii="Courier New" w:hAnsi="Courier New" w:cs="Courier New" w:hint="default"/>
      </w:rPr>
    </w:lvl>
    <w:lvl w:ilvl="8" w:tplc="04080005" w:tentative="1">
      <w:start w:val="1"/>
      <w:numFmt w:val="bullet"/>
      <w:lvlText w:val=""/>
      <w:lvlJc w:val="left"/>
      <w:pPr>
        <w:ind w:left="6491" w:hanging="360"/>
      </w:pPr>
      <w:rPr>
        <w:rFonts w:ascii="Wingdings" w:hAnsi="Wingdings" w:hint="default"/>
      </w:rPr>
    </w:lvl>
  </w:abstractNum>
  <w:abstractNum w:abstractNumId="8" w15:restartNumberingAfterBreak="0">
    <w:nsid w:val="170A072E"/>
    <w:multiLevelType w:val="hybridMultilevel"/>
    <w:tmpl w:val="27DEF4BC"/>
    <w:lvl w:ilvl="0" w:tplc="5D96AB8E">
      <w:start w:val="1"/>
      <w:numFmt w:val="bullet"/>
      <w:lvlText w:val=""/>
      <w:lvlJc w:val="left"/>
      <w:pPr>
        <w:tabs>
          <w:tab w:val="num" w:pos="720"/>
        </w:tabs>
        <w:ind w:left="720" w:hanging="360"/>
      </w:pPr>
      <w:rPr>
        <w:rFonts w:ascii="Wingdings" w:hAnsi="Wingdings" w:hint="default"/>
      </w:rPr>
    </w:lvl>
    <w:lvl w:ilvl="1" w:tplc="150A89C8">
      <w:start w:val="1"/>
      <w:numFmt w:val="bullet"/>
      <w:lvlText w:val=""/>
      <w:lvlJc w:val="left"/>
      <w:pPr>
        <w:tabs>
          <w:tab w:val="num" w:pos="1440"/>
        </w:tabs>
        <w:ind w:left="1440" w:hanging="360"/>
      </w:pPr>
      <w:rPr>
        <w:rFonts w:ascii="Wingdings" w:hAnsi="Wingdings" w:hint="default"/>
      </w:rPr>
    </w:lvl>
    <w:lvl w:ilvl="2" w:tplc="2436B798" w:tentative="1">
      <w:start w:val="1"/>
      <w:numFmt w:val="bullet"/>
      <w:lvlText w:val=""/>
      <w:lvlJc w:val="left"/>
      <w:pPr>
        <w:tabs>
          <w:tab w:val="num" w:pos="2160"/>
        </w:tabs>
        <w:ind w:left="2160" w:hanging="360"/>
      </w:pPr>
      <w:rPr>
        <w:rFonts w:ascii="Wingdings" w:hAnsi="Wingdings" w:hint="default"/>
      </w:rPr>
    </w:lvl>
    <w:lvl w:ilvl="3" w:tplc="BFE652CA" w:tentative="1">
      <w:start w:val="1"/>
      <w:numFmt w:val="bullet"/>
      <w:lvlText w:val=""/>
      <w:lvlJc w:val="left"/>
      <w:pPr>
        <w:tabs>
          <w:tab w:val="num" w:pos="2880"/>
        </w:tabs>
        <w:ind w:left="2880" w:hanging="360"/>
      </w:pPr>
      <w:rPr>
        <w:rFonts w:ascii="Wingdings" w:hAnsi="Wingdings" w:hint="default"/>
      </w:rPr>
    </w:lvl>
    <w:lvl w:ilvl="4" w:tplc="A016DD7E" w:tentative="1">
      <w:start w:val="1"/>
      <w:numFmt w:val="bullet"/>
      <w:lvlText w:val=""/>
      <w:lvlJc w:val="left"/>
      <w:pPr>
        <w:tabs>
          <w:tab w:val="num" w:pos="3600"/>
        </w:tabs>
        <w:ind w:left="3600" w:hanging="360"/>
      </w:pPr>
      <w:rPr>
        <w:rFonts w:ascii="Wingdings" w:hAnsi="Wingdings" w:hint="default"/>
      </w:rPr>
    </w:lvl>
    <w:lvl w:ilvl="5" w:tplc="C35E7BD6" w:tentative="1">
      <w:start w:val="1"/>
      <w:numFmt w:val="bullet"/>
      <w:lvlText w:val=""/>
      <w:lvlJc w:val="left"/>
      <w:pPr>
        <w:tabs>
          <w:tab w:val="num" w:pos="4320"/>
        </w:tabs>
        <w:ind w:left="4320" w:hanging="360"/>
      </w:pPr>
      <w:rPr>
        <w:rFonts w:ascii="Wingdings" w:hAnsi="Wingdings" w:hint="default"/>
      </w:rPr>
    </w:lvl>
    <w:lvl w:ilvl="6" w:tplc="4CF82B56" w:tentative="1">
      <w:start w:val="1"/>
      <w:numFmt w:val="bullet"/>
      <w:lvlText w:val=""/>
      <w:lvlJc w:val="left"/>
      <w:pPr>
        <w:tabs>
          <w:tab w:val="num" w:pos="5040"/>
        </w:tabs>
        <w:ind w:left="5040" w:hanging="360"/>
      </w:pPr>
      <w:rPr>
        <w:rFonts w:ascii="Wingdings" w:hAnsi="Wingdings" w:hint="default"/>
      </w:rPr>
    </w:lvl>
    <w:lvl w:ilvl="7" w:tplc="F61891EC" w:tentative="1">
      <w:start w:val="1"/>
      <w:numFmt w:val="bullet"/>
      <w:lvlText w:val=""/>
      <w:lvlJc w:val="left"/>
      <w:pPr>
        <w:tabs>
          <w:tab w:val="num" w:pos="5760"/>
        </w:tabs>
        <w:ind w:left="5760" w:hanging="360"/>
      </w:pPr>
      <w:rPr>
        <w:rFonts w:ascii="Wingdings" w:hAnsi="Wingdings" w:hint="default"/>
      </w:rPr>
    </w:lvl>
    <w:lvl w:ilvl="8" w:tplc="AFCCCF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93B38"/>
    <w:multiLevelType w:val="hybridMultilevel"/>
    <w:tmpl w:val="F9BE7390"/>
    <w:lvl w:ilvl="0" w:tplc="0408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22815E60"/>
    <w:multiLevelType w:val="hybridMultilevel"/>
    <w:tmpl w:val="DC94C526"/>
    <w:lvl w:ilvl="0" w:tplc="9E86EF02">
      <w:numFmt w:val="bullet"/>
      <w:lvlText w:val=""/>
      <w:lvlJc w:val="left"/>
      <w:pPr>
        <w:ind w:left="720" w:hanging="360"/>
      </w:pPr>
      <w:rPr>
        <w:rFonts w:ascii="Wingdings" w:eastAsiaTheme="minorHAnsi" w:hAnsi="Wingding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D90661"/>
    <w:multiLevelType w:val="multilevel"/>
    <w:tmpl w:val="D4B81BCC"/>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2" w15:restartNumberingAfterBreak="0">
    <w:nsid w:val="50FA50AB"/>
    <w:multiLevelType w:val="hybridMultilevel"/>
    <w:tmpl w:val="7A708C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47E2E28"/>
    <w:multiLevelType w:val="hybridMultilevel"/>
    <w:tmpl w:val="08585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D45756A"/>
    <w:multiLevelType w:val="hybridMultilevel"/>
    <w:tmpl w:val="5D1EB3A2"/>
    <w:lvl w:ilvl="0" w:tplc="CB68E564">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4230" w:hanging="360"/>
      </w:pPr>
      <w:rPr>
        <w:rFonts w:ascii="Courier New" w:hAnsi="Courier New" w:cs="Courier New" w:hint="default"/>
      </w:rPr>
    </w:lvl>
    <w:lvl w:ilvl="2" w:tplc="04080005" w:tentative="1">
      <w:start w:val="1"/>
      <w:numFmt w:val="bullet"/>
      <w:lvlText w:val=""/>
      <w:lvlJc w:val="left"/>
      <w:pPr>
        <w:ind w:left="-3510" w:hanging="360"/>
      </w:pPr>
      <w:rPr>
        <w:rFonts w:ascii="Wingdings" w:hAnsi="Wingdings" w:hint="default"/>
      </w:rPr>
    </w:lvl>
    <w:lvl w:ilvl="3" w:tplc="04080001" w:tentative="1">
      <w:start w:val="1"/>
      <w:numFmt w:val="bullet"/>
      <w:lvlText w:val=""/>
      <w:lvlJc w:val="left"/>
      <w:pPr>
        <w:ind w:left="-2790" w:hanging="360"/>
      </w:pPr>
      <w:rPr>
        <w:rFonts w:ascii="Symbol" w:hAnsi="Symbol" w:hint="default"/>
      </w:rPr>
    </w:lvl>
    <w:lvl w:ilvl="4" w:tplc="04080003" w:tentative="1">
      <w:start w:val="1"/>
      <w:numFmt w:val="bullet"/>
      <w:lvlText w:val="o"/>
      <w:lvlJc w:val="left"/>
      <w:pPr>
        <w:ind w:left="-2070" w:hanging="360"/>
      </w:pPr>
      <w:rPr>
        <w:rFonts w:ascii="Courier New" w:hAnsi="Courier New" w:cs="Courier New" w:hint="default"/>
      </w:rPr>
    </w:lvl>
    <w:lvl w:ilvl="5" w:tplc="04080005" w:tentative="1">
      <w:start w:val="1"/>
      <w:numFmt w:val="bullet"/>
      <w:lvlText w:val=""/>
      <w:lvlJc w:val="left"/>
      <w:pPr>
        <w:ind w:left="-1350" w:hanging="360"/>
      </w:pPr>
      <w:rPr>
        <w:rFonts w:ascii="Wingdings" w:hAnsi="Wingdings" w:hint="default"/>
      </w:rPr>
    </w:lvl>
    <w:lvl w:ilvl="6" w:tplc="04080001" w:tentative="1">
      <w:start w:val="1"/>
      <w:numFmt w:val="bullet"/>
      <w:lvlText w:val=""/>
      <w:lvlJc w:val="left"/>
      <w:pPr>
        <w:ind w:left="-630" w:hanging="360"/>
      </w:pPr>
      <w:rPr>
        <w:rFonts w:ascii="Symbol" w:hAnsi="Symbol" w:hint="default"/>
      </w:rPr>
    </w:lvl>
    <w:lvl w:ilvl="7" w:tplc="04080003" w:tentative="1">
      <w:start w:val="1"/>
      <w:numFmt w:val="bullet"/>
      <w:lvlText w:val="o"/>
      <w:lvlJc w:val="left"/>
      <w:pPr>
        <w:ind w:left="90" w:hanging="360"/>
      </w:pPr>
      <w:rPr>
        <w:rFonts w:ascii="Courier New" w:hAnsi="Courier New" w:cs="Courier New" w:hint="default"/>
      </w:rPr>
    </w:lvl>
    <w:lvl w:ilvl="8" w:tplc="04080005" w:tentative="1">
      <w:start w:val="1"/>
      <w:numFmt w:val="bullet"/>
      <w:lvlText w:val=""/>
      <w:lvlJc w:val="left"/>
      <w:pPr>
        <w:ind w:left="810" w:hanging="360"/>
      </w:pPr>
      <w:rPr>
        <w:rFonts w:ascii="Wingdings" w:hAnsi="Wingdings" w:hint="default"/>
      </w:rPr>
    </w:lvl>
  </w:abstractNum>
  <w:abstractNum w:abstractNumId="15" w15:restartNumberingAfterBreak="0">
    <w:nsid w:val="62E66E28"/>
    <w:multiLevelType w:val="hybridMultilevel"/>
    <w:tmpl w:val="E458AD94"/>
    <w:lvl w:ilvl="0" w:tplc="C82CC4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43C97"/>
    <w:multiLevelType w:val="hybridMultilevel"/>
    <w:tmpl w:val="395621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292AE7"/>
    <w:multiLevelType w:val="hybridMultilevel"/>
    <w:tmpl w:val="41409D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8835853">
    <w:abstractNumId w:val="9"/>
  </w:num>
  <w:num w:numId="2" w16cid:durableId="169951300">
    <w:abstractNumId w:val="4"/>
  </w:num>
  <w:num w:numId="3" w16cid:durableId="1634556696">
    <w:abstractNumId w:val="14"/>
  </w:num>
  <w:num w:numId="4" w16cid:durableId="1265772239">
    <w:abstractNumId w:val="8"/>
  </w:num>
  <w:num w:numId="5" w16cid:durableId="372267589">
    <w:abstractNumId w:val="6"/>
  </w:num>
  <w:num w:numId="6" w16cid:durableId="282884016">
    <w:abstractNumId w:val="17"/>
  </w:num>
  <w:num w:numId="7" w16cid:durableId="603268458">
    <w:abstractNumId w:val="5"/>
  </w:num>
  <w:num w:numId="8" w16cid:durableId="591938233">
    <w:abstractNumId w:val="0"/>
  </w:num>
  <w:num w:numId="9" w16cid:durableId="259602859">
    <w:abstractNumId w:val="7"/>
  </w:num>
  <w:num w:numId="10" w16cid:durableId="437914375">
    <w:abstractNumId w:val="3"/>
  </w:num>
  <w:num w:numId="11" w16cid:durableId="343947421">
    <w:abstractNumId w:val="15"/>
  </w:num>
  <w:num w:numId="12" w16cid:durableId="1256863702">
    <w:abstractNumId w:val="11"/>
  </w:num>
  <w:num w:numId="13" w16cid:durableId="1501315873">
    <w:abstractNumId w:val="16"/>
  </w:num>
  <w:num w:numId="14" w16cid:durableId="1287857139">
    <w:abstractNumId w:val="1"/>
  </w:num>
  <w:num w:numId="15" w16cid:durableId="1577471780">
    <w:abstractNumId w:val="13"/>
  </w:num>
  <w:num w:numId="16" w16cid:durableId="1550149520">
    <w:abstractNumId w:val="12"/>
  </w:num>
  <w:num w:numId="17" w16cid:durableId="1985154828">
    <w:abstractNumId w:val="2"/>
  </w:num>
  <w:num w:numId="18" w16cid:durableId="702054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BE"/>
    <w:rsid w:val="000013DB"/>
    <w:rsid w:val="00001463"/>
    <w:rsid w:val="000018BC"/>
    <w:rsid w:val="00001E5E"/>
    <w:rsid w:val="000025E9"/>
    <w:rsid w:val="00002B50"/>
    <w:rsid w:val="00002D18"/>
    <w:rsid w:val="000031B8"/>
    <w:rsid w:val="0000344A"/>
    <w:rsid w:val="00003CC4"/>
    <w:rsid w:val="0000478F"/>
    <w:rsid w:val="00004B0A"/>
    <w:rsid w:val="000056D1"/>
    <w:rsid w:val="000057C4"/>
    <w:rsid w:val="0000658D"/>
    <w:rsid w:val="000069F0"/>
    <w:rsid w:val="00006FEA"/>
    <w:rsid w:val="0000737D"/>
    <w:rsid w:val="000073EC"/>
    <w:rsid w:val="000074E9"/>
    <w:rsid w:val="00007614"/>
    <w:rsid w:val="00007C70"/>
    <w:rsid w:val="0001084D"/>
    <w:rsid w:val="000108D8"/>
    <w:rsid w:val="00010CB7"/>
    <w:rsid w:val="00011212"/>
    <w:rsid w:val="000113F4"/>
    <w:rsid w:val="00012D6D"/>
    <w:rsid w:val="00013062"/>
    <w:rsid w:val="000133A1"/>
    <w:rsid w:val="0001342B"/>
    <w:rsid w:val="00013471"/>
    <w:rsid w:val="00013593"/>
    <w:rsid w:val="000135F5"/>
    <w:rsid w:val="0001378A"/>
    <w:rsid w:val="00013998"/>
    <w:rsid w:val="00013D4F"/>
    <w:rsid w:val="000143E7"/>
    <w:rsid w:val="00015064"/>
    <w:rsid w:val="0001669D"/>
    <w:rsid w:val="00016759"/>
    <w:rsid w:val="00016E8E"/>
    <w:rsid w:val="00017175"/>
    <w:rsid w:val="00017568"/>
    <w:rsid w:val="00017B32"/>
    <w:rsid w:val="0002094C"/>
    <w:rsid w:val="0002203F"/>
    <w:rsid w:val="000220AE"/>
    <w:rsid w:val="0002274A"/>
    <w:rsid w:val="00022FA2"/>
    <w:rsid w:val="00022FC4"/>
    <w:rsid w:val="00024422"/>
    <w:rsid w:val="00024551"/>
    <w:rsid w:val="0002582F"/>
    <w:rsid w:val="00025DEC"/>
    <w:rsid w:val="0002667F"/>
    <w:rsid w:val="000268AB"/>
    <w:rsid w:val="00026DBA"/>
    <w:rsid w:val="0002754B"/>
    <w:rsid w:val="0003146F"/>
    <w:rsid w:val="00031829"/>
    <w:rsid w:val="000319AF"/>
    <w:rsid w:val="00032103"/>
    <w:rsid w:val="000322A7"/>
    <w:rsid w:val="000337AD"/>
    <w:rsid w:val="00033AD1"/>
    <w:rsid w:val="00033E4D"/>
    <w:rsid w:val="00034BF0"/>
    <w:rsid w:val="00035E2E"/>
    <w:rsid w:val="00035ED6"/>
    <w:rsid w:val="00036590"/>
    <w:rsid w:val="00037936"/>
    <w:rsid w:val="00040150"/>
    <w:rsid w:val="000408A0"/>
    <w:rsid w:val="00040A9C"/>
    <w:rsid w:val="000419A2"/>
    <w:rsid w:val="00041CD6"/>
    <w:rsid w:val="000420B9"/>
    <w:rsid w:val="000423CD"/>
    <w:rsid w:val="000426F9"/>
    <w:rsid w:val="0004297C"/>
    <w:rsid w:val="000436B4"/>
    <w:rsid w:val="00043857"/>
    <w:rsid w:val="00044325"/>
    <w:rsid w:val="00044428"/>
    <w:rsid w:val="00044D94"/>
    <w:rsid w:val="00045B0B"/>
    <w:rsid w:val="000468F6"/>
    <w:rsid w:val="0004716F"/>
    <w:rsid w:val="000474D4"/>
    <w:rsid w:val="00050694"/>
    <w:rsid w:val="00050868"/>
    <w:rsid w:val="00050AA8"/>
    <w:rsid w:val="00050AE3"/>
    <w:rsid w:val="00051106"/>
    <w:rsid w:val="0005145C"/>
    <w:rsid w:val="00051485"/>
    <w:rsid w:val="000534BB"/>
    <w:rsid w:val="000539AC"/>
    <w:rsid w:val="00054441"/>
    <w:rsid w:val="00054DC0"/>
    <w:rsid w:val="00055140"/>
    <w:rsid w:val="000559A2"/>
    <w:rsid w:val="00055AD1"/>
    <w:rsid w:val="00055C88"/>
    <w:rsid w:val="000561D7"/>
    <w:rsid w:val="0005634C"/>
    <w:rsid w:val="000569B6"/>
    <w:rsid w:val="000570A2"/>
    <w:rsid w:val="0005779C"/>
    <w:rsid w:val="00060690"/>
    <w:rsid w:val="0006261E"/>
    <w:rsid w:val="00063759"/>
    <w:rsid w:val="000638D9"/>
    <w:rsid w:val="00063C55"/>
    <w:rsid w:val="00063EFC"/>
    <w:rsid w:val="0006402D"/>
    <w:rsid w:val="00064956"/>
    <w:rsid w:val="000652BF"/>
    <w:rsid w:val="00065351"/>
    <w:rsid w:val="0006544F"/>
    <w:rsid w:val="00065873"/>
    <w:rsid w:val="00065EBB"/>
    <w:rsid w:val="00067082"/>
    <w:rsid w:val="0006714A"/>
    <w:rsid w:val="000671EB"/>
    <w:rsid w:val="0006722A"/>
    <w:rsid w:val="00067C36"/>
    <w:rsid w:val="00070326"/>
    <w:rsid w:val="00070635"/>
    <w:rsid w:val="00072120"/>
    <w:rsid w:val="000725BE"/>
    <w:rsid w:val="000729A0"/>
    <w:rsid w:val="00073B5F"/>
    <w:rsid w:val="00073CF0"/>
    <w:rsid w:val="000742C9"/>
    <w:rsid w:val="0007526B"/>
    <w:rsid w:val="000753EE"/>
    <w:rsid w:val="00075EDB"/>
    <w:rsid w:val="00076804"/>
    <w:rsid w:val="00076CE5"/>
    <w:rsid w:val="00081A15"/>
    <w:rsid w:val="00081F33"/>
    <w:rsid w:val="00083D7E"/>
    <w:rsid w:val="00084F96"/>
    <w:rsid w:val="00085470"/>
    <w:rsid w:val="00085B76"/>
    <w:rsid w:val="00085EA9"/>
    <w:rsid w:val="0008621C"/>
    <w:rsid w:val="0008698B"/>
    <w:rsid w:val="00087FC4"/>
    <w:rsid w:val="00090B00"/>
    <w:rsid w:val="00090C18"/>
    <w:rsid w:val="00091014"/>
    <w:rsid w:val="00091DDA"/>
    <w:rsid w:val="00091EAE"/>
    <w:rsid w:val="0009228B"/>
    <w:rsid w:val="0009294A"/>
    <w:rsid w:val="00092998"/>
    <w:rsid w:val="00092C42"/>
    <w:rsid w:val="00093193"/>
    <w:rsid w:val="00095056"/>
    <w:rsid w:val="00095838"/>
    <w:rsid w:val="00095C30"/>
    <w:rsid w:val="00095FCB"/>
    <w:rsid w:val="0009624B"/>
    <w:rsid w:val="00096713"/>
    <w:rsid w:val="000A0032"/>
    <w:rsid w:val="000A0468"/>
    <w:rsid w:val="000A04F5"/>
    <w:rsid w:val="000A08A6"/>
    <w:rsid w:val="000A0991"/>
    <w:rsid w:val="000A13D2"/>
    <w:rsid w:val="000A18BC"/>
    <w:rsid w:val="000A2885"/>
    <w:rsid w:val="000A2933"/>
    <w:rsid w:val="000A2A5C"/>
    <w:rsid w:val="000A30E7"/>
    <w:rsid w:val="000A4D42"/>
    <w:rsid w:val="000A5036"/>
    <w:rsid w:val="000A5255"/>
    <w:rsid w:val="000A5A1F"/>
    <w:rsid w:val="000A6431"/>
    <w:rsid w:val="000A6C19"/>
    <w:rsid w:val="000A74ED"/>
    <w:rsid w:val="000B05D1"/>
    <w:rsid w:val="000B0648"/>
    <w:rsid w:val="000B08CB"/>
    <w:rsid w:val="000B0DFA"/>
    <w:rsid w:val="000B1C13"/>
    <w:rsid w:val="000B1E66"/>
    <w:rsid w:val="000B296A"/>
    <w:rsid w:val="000B2A3B"/>
    <w:rsid w:val="000B2F3E"/>
    <w:rsid w:val="000B2F82"/>
    <w:rsid w:val="000B336F"/>
    <w:rsid w:val="000B374B"/>
    <w:rsid w:val="000B3D46"/>
    <w:rsid w:val="000B47F9"/>
    <w:rsid w:val="000B5D13"/>
    <w:rsid w:val="000B5FD3"/>
    <w:rsid w:val="000B6000"/>
    <w:rsid w:val="000B64D5"/>
    <w:rsid w:val="000B6772"/>
    <w:rsid w:val="000B77E0"/>
    <w:rsid w:val="000C0603"/>
    <w:rsid w:val="000C11AE"/>
    <w:rsid w:val="000C11E4"/>
    <w:rsid w:val="000C11F8"/>
    <w:rsid w:val="000C1A3F"/>
    <w:rsid w:val="000C24E1"/>
    <w:rsid w:val="000C2764"/>
    <w:rsid w:val="000C2A32"/>
    <w:rsid w:val="000C3871"/>
    <w:rsid w:val="000C41AE"/>
    <w:rsid w:val="000C62AD"/>
    <w:rsid w:val="000C7210"/>
    <w:rsid w:val="000C7D9A"/>
    <w:rsid w:val="000D005D"/>
    <w:rsid w:val="000D0402"/>
    <w:rsid w:val="000D053D"/>
    <w:rsid w:val="000D0705"/>
    <w:rsid w:val="000D0AB6"/>
    <w:rsid w:val="000D12D8"/>
    <w:rsid w:val="000D142A"/>
    <w:rsid w:val="000D2463"/>
    <w:rsid w:val="000D26B9"/>
    <w:rsid w:val="000D358B"/>
    <w:rsid w:val="000D3D66"/>
    <w:rsid w:val="000D4172"/>
    <w:rsid w:val="000D41E3"/>
    <w:rsid w:val="000D5A44"/>
    <w:rsid w:val="000D6446"/>
    <w:rsid w:val="000D67A1"/>
    <w:rsid w:val="000D7348"/>
    <w:rsid w:val="000D7A62"/>
    <w:rsid w:val="000D7BFE"/>
    <w:rsid w:val="000D7D16"/>
    <w:rsid w:val="000E01B9"/>
    <w:rsid w:val="000E10BE"/>
    <w:rsid w:val="000E1503"/>
    <w:rsid w:val="000E1AEB"/>
    <w:rsid w:val="000E1B95"/>
    <w:rsid w:val="000E2125"/>
    <w:rsid w:val="000E26A3"/>
    <w:rsid w:val="000E2981"/>
    <w:rsid w:val="000E397C"/>
    <w:rsid w:val="000E4439"/>
    <w:rsid w:val="000E4FEB"/>
    <w:rsid w:val="000E564F"/>
    <w:rsid w:val="000E64B6"/>
    <w:rsid w:val="000E6654"/>
    <w:rsid w:val="000E6B59"/>
    <w:rsid w:val="000E6DED"/>
    <w:rsid w:val="000E75A2"/>
    <w:rsid w:val="000F076B"/>
    <w:rsid w:val="000F0843"/>
    <w:rsid w:val="000F1280"/>
    <w:rsid w:val="000F28D9"/>
    <w:rsid w:val="000F2A6F"/>
    <w:rsid w:val="000F2E86"/>
    <w:rsid w:val="000F3700"/>
    <w:rsid w:val="000F3FF0"/>
    <w:rsid w:val="000F49BB"/>
    <w:rsid w:val="000F4E79"/>
    <w:rsid w:val="000F54C9"/>
    <w:rsid w:val="000F5624"/>
    <w:rsid w:val="000F60B4"/>
    <w:rsid w:val="000F613D"/>
    <w:rsid w:val="000F6CB7"/>
    <w:rsid w:val="000F7110"/>
    <w:rsid w:val="000F7182"/>
    <w:rsid w:val="000F7218"/>
    <w:rsid w:val="0010032F"/>
    <w:rsid w:val="0010083B"/>
    <w:rsid w:val="00101D3E"/>
    <w:rsid w:val="00102E20"/>
    <w:rsid w:val="001035BA"/>
    <w:rsid w:val="001036B1"/>
    <w:rsid w:val="001038CC"/>
    <w:rsid w:val="00103C1C"/>
    <w:rsid w:val="00103F15"/>
    <w:rsid w:val="00104B80"/>
    <w:rsid w:val="001065EC"/>
    <w:rsid w:val="00107248"/>
    <w:rsid w:val="001076D9"/>
    <w:rsid w:val="00107FE2"/>
    <w:rsid w:val="00110028"/>
    <w:rsid w:val="0011044D"/>
    <w:rsid w:val="00110DF2"/>
    <w:rsid w:val="001113B0"/>
    <w:rsid w:val="001127A5"/>
    <w:rsid w:val="0011360C"/>
    <w:rsid w:val="00113900"/>
    <w:rsid w:val="00113920"/>
    <w:rsid w:val="00113D07"/>
    <w:rsid w:val="001142D6"/>
    <w:rsid w:val="00115B9D"/>
    <w:rsid w:val="00116E35"/>
    <w:rsid w:val="00117089"/>
    <w:rsid w:val="001170AD"/>
    <w:rsid w:val="00117C20"/>
    <w:rsid w:val="00117CB7"/>
    <w:rsid w:val="00120D20"/>
    <w:rsid w:val="00120FBB"/>
    <w:rsid w:val="00121A6A"/>
    <w:rsid w:val="00122760"/>
    <w:rsid w:val="0012285D"/>
    <w:rsid w:val="00122EB3"/>
    <w:rsid w:val="001232D9"/>
    <w:rsid w:val="00123A58"/>
    <w:rsid w:val="00124509"/>
    <w:rsid w:val="00124B84"/>
    <w:rsid w:val="00125569"/>
    <w:rsid w:val="00125A35"/>
    <w:rsid w:val="00125DAE"/>
    <w:rsid w:val="0012605F"/>
    <w:rsid w:val="00126110"/>
    <w:rsid w:val="00126142"/>
    <w:rsid w:val="0012632E"/>
    <w:rsid w:val="00126A6D"/>
    <w:rsid w:val="00126C55"/>
    <w:rsid w:val="00126CAA"/>
    <w:rsid w:val="001301DA"/>
    <w:rsid w:val="001313AD"/>
    <w:rsid w:val="0013151D"/>
    <w:rsid w:val="001325FC"/>
    <w:rsid w:val="001326CB"/>
    <w:rsid w:val="00132977"/>
    <w:rsid w:val="00133094"/>
    <w:rsid w:val="001354D2"/>
    <w:rsid w:val="0013599F"/>
    <w:rsid w:val="0013668D"/>
    <w:rsid w:val="00136C83"/>
    <w:rsid w:val="00136EAB"/>
    <w:rsid w:val="00137C76"/>
    <w:rsid w:val="001407F3"/>
    <w:rsid w:val="001407FD"/>
    <w:rsid w:val="0014082E"/>
    <w:rsid w:val="00141186"/>
    <w:rsid w:val="00141501"/>
    <w:rsid w:val="001417CB"/>
    <w:rsid w:val="001419FB"/>
    <w:rsid w:val="00141BD8"/>
    <w:rsid w:val="00141BEF"/>
    <w:rsid w:val="001424F1"/>
    <w:rsid w:val="00143442"/>
    <w:rsid w:val="001443E4"/>
    <w:rsid w:val="001447F2"/>
    <w:rsid w:val="00144F71"/>
    <w:rsid w:val="00145CA1"/>
    <w:rsid w:val="00147324"/>
    <w:rsid w:val="00147A43"/>
    <w:rsid w:val="001511E7"/>
    <w:rsid w:val="001516D6"/>
    <w:rsid w:val="001517B9"/>
    <w:rsid w:val="00152212"/>
    <w:rsid w:val="00152CFF"/>
    <w:rsid w:val="00153F2D"/>
    <w:rsid w:val="001547D6"/>
    <w:rsid w:val="0015514E"/>
    <w:rsid w:val="0015574E"/>
    <w:rsid w:val="00156398"/>
    <w:rsid w:val="00157158"/>
    <w:rsid w:val="001574F8"/>
    <w:rsid w:val="001577D3"/>
    <w:rsid w:val="00157B4C"/>
    <w:rsid w:val="001602C2"/>
    <w:rsid w:val="00160662"/>
    <w:rsid w:val="0016066F"/>
    <w:rsid w:val="00161298"/>
    <w:rsid w:val="00161532"/>
    <w:rsid w:val="00161B81"/>
    <w:rsid w:val="001624EF"/>
    <w:rsid w:val="00162DDE"/>
    <w:rsid w:val="00163905"/>
    <w:rsid w:val="00163B6A"/>
    <w:rsid w:val="001641E2"/>
    <w:rsid w:val="00164468"/>
    <w:rsid w:val="001657D8"/>
    <w:rsid w:val="00165CD8"/>
    <w:rsid w:val="00166519"/>
    <w:rsid w:val="0016685E"/>
    <w:rsid w:val="0016700B"/>
    <w:rsid w:val="0016769A"/>
    <w:rsid w:val="00167908"/>
    <w:rsid w:val="00167E5D"/>
    <w:rsid w:val="00170EED"/>
    <w:rsid w:val="0017291E"/>
    <w:rsid w:val="00172BB5"/>
    <w:rsid w:val="00173777"/>
    <w:rsid w:val="00173D4F"/>
    <w:rsid w:val="00176579"/>
    <w:rsid w:val="00176B24"/>
    <w:rsid w:val="00176F65"/>
    <w:rsid w:val="00180063"/>
    <w:rsid w:val="00180271"/>
    <w:rsid w:val="00180426"/>
    <w:rsid w:val="00180563"/>
    <w:rsid w:val="00180DE2"/>
    <w:rsid w:val="001813DB"/>
    <w:rsid w:val="001830FD"/>
    <w:rsid w:val="00183643"/>
    <w:rsid w:val="001838D5"/>
    <w:rsid w:val="00184408"/>
    <w:rsid w:val="001844B6"/>
    <w:rsid w:val="00184DD7"/>
    <w:rsid w:val="00186259"/>
    <w:rsid w:val="0018749C"/>
    <w:rsid w:val="001878DB"/>
    <w:rsid w:val="00187AF9"/>
    <w:rsid w:val="00187B5D"/>
    <w:rsid w:val="00187EE1"/>
    <w:rsid w:val="00190BB1"/>
    <w:rsid w:val="00192257"/>
    <w:rsid w:val="00192A92"/>
    <w:rsid w:val="00192DFC"/>
    <w:rsid w:val="00192DFD"/>
    <w:rsid w:val="001932EF"/>
    <w:rsid w:val="00193F17"/>
    <w:rsid w:val="001940A3"/>
    <w:rsid w:val="00194B02"/>
    <w:rsid w:val="001959B1"/>
    <w:rsid w:val="001974E7"/>
    <w:rsid w:val="00197741"/>
    <w:rsid w:val="00197C74"/>
    <w:rsid w:val="00197E0E"/>
    <w:rsid w:val="001A0A3B"/>
    <w:rsid w:val="001A1F82"/>
    <w:rsid w:val="001A25A9"/>
    <w:rsid w:val="001A2788"/>
    <w:rsid w:val="001A2F4A"/>
    <w:rsid w:val="001A31CD"/>
    <w:rsid w:val="001A3499"/>
    <w:rsid w:val="001A34B1"/>
    <w:rsid w:val="001A3589"/>
    <w:rsid w:val="001A3C8F"/>
    <w:rsid w:val="001A3E12"/>
    <w:rsid w:val="001A4921"/>
    <w:rsid w:val="001A54F1"/>
    <w:rsid w:val="001A7D0F"/>
    <w:rsid w:val="001B0EB8"/>
    <w:rsid w:val="001B0ECE"/>
    <w:rsid w:val="001B0F7A"/>
    <w:rsid w:val="001B129E"/>
    <w:rsid w:val="001B1572"/>
    <w:rsid w:val="001B1CF6"/>
    <w:rsid w:val="001B23E9"/>
    <w:rsid w:val="001B24AD"/>
    <w:rsid w:val="001B27AB"/>
    <w:rsid w:val="001B31C9"/>
    <w:rsid w:val="001B3258"/>
    <w:rsid w:val="001B32FA"/>
    <w:rsid w:val="001B45B2"/>
    <w:rsid w:val="001B46F0"/>
    <w:rsid w:val="001B4B5B"/>
    <w:rsid w:val="001B6D0B"/>
    <w:rsid w:val="001B75DF"/>
    <w:rsid w:val="001B781B"/>
    <w:rsid w:val="001B79BB"/>
    <w:rsid w:val="001B7B1A"/>
    <w:rsid w:val="001B7BA9"/>
    <w:rsid w:val="001C0429"/>
    <w:rsid w:val="001C052D"/>
    <w:rsid w:val="001C0701"/>
    <w:rsid w:val="001C0D4A"/>
    <w:rsid w:val="001C17A4"/>
    <w:rsid w:val="001C17C5"/>
    <w:rsid w:val="001C2179"/>
    <w:rsid w:val="001C23AF"/>
    <w:rsid w:val="001C3371"/>
    <w:rsid w:val="001C4046"/>
    <w:rsid w:val="001C51DF"/>
    <w:rsid w:val="001C5526"/>
    <w:rsid w:val="001C5A15"/>
    <w:rsid w:val="001C5C5E"/>
    <w:rsid w:val="001C694D"/>
    <w:rsid w:val="001C6F91"/>
    <w:rsid w:val="001C7755"/>
    <w:rsid w:val="001D014F"/>
    <w:rsid w:val="001D0777"/>
    <w:rsid w:val="001D0DAC"/>
    <w:rsid w:val="001D0DB3"/>
    <w:rsid w:val="001D1F64"/>
    <w:rsid w:val="001D2004"/>
    <w:rsid w:val="001D2DA4"/>
    <w:rsid w:val="001D3CAA"/>
    <w:rsid w:val="001D3FE1"/>
    <w:rsid w:val="001D4548"/>
    <w:rsid w:val="001D4DE5"/>
    <w:rsid w:val="001D5013"/>
    <w:rsid w:val="001D5A4D"/>
    <w:rsid w:val="001D692E"/>
    <w:rsid w:val="001D6AF1"/>
    <w:rsid w:val="001D7B6E"/>
    <w:rsid w:val="001D7BC4"/>
    <w:rsid w:val="001E03E0"/>
    <w:rsid w:val="001E13D4"/>
    <w:rsid w:val="001E2263"/>
    <w:rsid w:val="001E2B4B"/>
    <w:rsid w:val="001E3785"/>
    <w:rsid w:val="001E49CB"/>
    <w:rsid w:val="001E5118"/>
    <w:rsid w:val="001E602B"/>
    <w:rsid w:val="001E6488"/>
    <w:rsid w:val="001F007F"/>
    <w:rsid w:val="001F050E"/>
    <w:rsid w:val="001F1215"/>
    <w:rsid w:val="001F1ACE"/>
    <w:rsid w:val="001F230A"/>
    <w:rsid w:val="001F3086"/>
    <w:rsid w:val="001F3253"/>
    <w:rsid w:val="001F3700"/>
    <w:rsid w:val="001F3EE3"/>
    <w:rsid w:val="001F4062"/>
    <w:rsid w:val="001F4BDF"/>
    <w:rsid w:val="001F4E56"/>
    <w:rsid w:val="001F523B"/>
    <w:rsid w:val="001F5F5A"/>
    <w:rsid w:val="001F6C8A"/>
    <w:rsid w:val="001F6E9C"/>
    <w:rsid w:val="001F7C40"/>
    <w:rsid w:val="001F7EEE"/>
    <w:rsid w:val="002000EB"/>
    <w:rsid w:val="0020067A"/>
    <w:rsid w:val="00200F20"/>
    <w:rsid w:val="00202E2F"/>
    <w:rsid w:val="002031F8"/>
    <w:rsid w:val="00203D33"/>
    <w:rsid w:val="00204B2B"/>
    <w:rsid w:val="0020615E"/>
    <w:rsid w:val="002079E4"/>
    <w:rsid w:val="0021014C"/>
    <w:rsid w:val="00210B0D"/>
    <w:rsid w:val="002124DF"/>
    <w:rsid w:val="002125EB"/>
    <w:rsid w:val="002137B8"/>
    <w:rsid w:val="002146F3"/>
    <w:rsid w:val="00214DCC"/>
    <w:rsid w:val="00214EFB"/>
    <w:rsid w:val="00215583"/>
    <w:rsid w:val="00215663"/>
    <w:rsid w:val="00217474"/>
    <w:rsid w:val="002175B7"/>
    <w:rsid w:val="00217A10"/>
    <w:rsid w:val="00220492"/>
    <w:rsid w:val="0022089F"/>
    <w:rsid w:val="00221701"/>
    <w:rsid w:val="002217B2"/>
    <w:rsid w:val="0022213B"/>
    <w:rsid w:val="0022243B"/>
    <w:rsid w:val="00222937"/>
    <w:rsid w:val="002236A9"/>
    <w:rsid w:val="00223C7C"/>
    <w:rsid w:val="0022736B"/>
    <w:rsid w:val="00227CA4"/>
    <w:rsid w:val="002305CA"/>
    <w:rsid w:val="002312F8"/>
    <w:rsid w:val="00231AF3"/>
    <w:rsid w:val="00232B83"/>
    <w:rsid w:val="00233A97"/>
    <w:rsid w:val="00234826"/>
    <w:rsid w:val="00234D2E"/>
    <w:rsid w:val="002352BD"/>
    <w:rsid w:val="0023554D"/>
    <w:rsid w:val="002356B0"/>
    <w:rsid w:val="00236AC7"/>
    <w:rsid w:val="00236FAE"/>
    <w:rsid w:val="0024029B"/>
    <w:rsid w:val="002405DA"/>
    <w:rsid w:val="00240B59"/>
    <w:rsid w:val="00240E94"/>
    <w:rsid w:val="0024106C"/>
    <w:rsid w:val="002411E4"/>
    <w:rsid w:val="00241233"/>
    <w:rsid w:val="00241554"/>
    <w:rsid w:val="002416BB"/>
    <w:rsid w:val="00242F03"/>
    <w:rsid w:val="0024329E"/>
    <w:rsid w:val="00244273"/>
    <w:rsid w:val="00245420"/>
    <w:rsid w:val="00245426"/>
    <w:rsid w:val="00245AB3"/>
    <w:rsid w:val="00246084"/>
    <w:rsid w:val="002467E1"/>
    <w:rsid w:val="00246CA1"/>
    <w:rsid w:val="00246EFF"/>
    <w:rsid w:val="0024747C"/>
    <w:rsid w:val="00247DDF"/>
    <w:rsid w:val="0025037B"/>
    <w:rsid w:val="00250564"/>
    <w:rsid w:val="002509B8"/>
    <w:rsid w:val="0025212A"/>
    <w:rsid w:val="002521CA"/>
    <w:rsid w:val="00253795"/>
    <w:rsid w:val="00253C44"/>
    <w:rsid w:val="00254705"/>
    <w:rsid w:val="002554EA"/>
    <w:rsid w:val="00256A29"/>
    <w:rsid w:val="00256E4B"/>
    <w:rsid w:val="0025708E"/>
    <w:rsid w:val="00257221"/>
    <w:rsid w:val="002573E9"/>
    <w:rsid w:val="0025794B"/>
    <w:rsid w:val="00257AE6"/>
    <w:rsid w:val="00257FF9"/>
    <w:rsid w:val="0026085A"/>
    <w:rsid w:val="0026108C"/>
    <w:rsid w:val="00261673"/>
    <w:rsid w:val="0026269F"/>
    <w:rsid w:val="00263419"/>
    <w:rsid w:val="0026345F"/>
    <w:rsid w:val="00263D45"/>
    <w:rsid w:val="00263F3B"/>
    <w:rsid w:val="00264FFD"/>
    <w:rsid w:val="00265F28"/>
    <w:rsid w:val="002660BC"/>
    <w:rsid w:val="00266C1B"/>
    <w:rsid w:val="00266CB1"/>
    <w:rsid w:val="00266DB4"/>
    <w:rsid w:val="00267812"/>
    <w:rsid w:val="00270902"/>
    <w:rsid w:val="00270ADA"/>
    <w:rsid w:val="00270BD6"/>
    <w:rsid w:val="00270EBA"/>
    <w:rsid w:val="002723B5"/>
    <w:rsid w:val="00272C9A"/>
    <w:rsid w:val="002736A8"/>
    <w:rsid w:val="00273F86"/>
    <w:rsid w:val="00274F07"/>
    <w:rsid w:val="002752E7"/>
    <w:rsid w:val="00277D54"/>
    <w:rsid w:val="002801AA"/>
    <w:rsid w:val="00281AAA"/>
    <w:rsid w:val="00282A47"/>
    <w:rsid w:val="00282A9C"/>
    <w:rsid w:val="0028355E"/>
    <w:rsid w:val="00284387"/>
    <w:rsid w:val="0028485A"/>
    <w:rsid w:val="00285C46"/>
    <w:rsid w:val="0028603F"/>
    <w:rsid w:val="002862CC"/>
    <w:rsid w:val="002868CC"/>
    <w:rsid w:val="00287156"/>
    <w:rsid w:val="002879A3"/>
    <w:rsid w:val="00287A62"/>
    <w:rsid w:val="00287D12"/>
    <w:rsid w:val="00290C12"/>
    <w:rsid w:val="00291301"/>
    <w:rsid w:val="002913FF"/>
    <w:rsid w:val="002920DF"/>
    <w:rsid w:val="00292615"/>
    <w:rsid w:val="002934F8"/>
    <w:rsid w:val="002936A6"/>
    <w:rsid w:val="00293E7F"/>
    <w:rsid w:val="0029411E"/>
    <w:rsid w:val="0029435D"/>
    <w:rsid w:val="00295628"/>
    <w:rsid w:val="00295B6E"/>
    <w:rsid w:val="0029653C"/>
    <w:rsid w:val="002967CA"/>
    <w:rsid w:val="00296AEE"/>
    <w:rsid w:val="00297371"/>
    <w:rsid w:val="00297B4B"/>
    <w:rsid w:val="002A03DF"/>
    <w:rsid w:val="002A058D"/>
    <w:rsid w:val="002A066F"/>
    <w:rsid w:val="002A072B"/>
    <w:rsid w:val="002A18D3"/>
    <w:rsid w:val="002A21C8"/>
    <w:rsid w:val="002A2620"/>
    <w:rsid w:val="002A274A"/>
    <w:rsid w:val="002A2BAC"/>
    <w:rsid w:val="002A2FCF"/>
    <w:rsid w:val="002A3073"/>
    <w:rsid w:val="002A326B"/>
    <w:rsid w:val="002A3271"/>
    <w:rsid w:val="002A38CE"/>
    <w:rsid w:val="002A395B"/>
    <w:rsid w:val="002A3F8D"/>
    <w:rsid w:val="002A40B4"/>
    <w:rsid w:val="002A4441"/>
    <w:rsid w:val="002A450B"/>
    <w:rsid w:val="002A46E8"/>
    <w:rsid w:val="002A4A74"/>
    <w:rsid w:val="002A55B7"/>
    <w:rsid w:val="002A61B1"/>
    <w:rsid w:val="002A61BD"/>
    <w:rsid w:val="002A6407"/>
    <w:rsid w:val="002A649F"/>
    <w:rsid w:val="002A6B5E"/>
    <w:rsid w:val="002B0AA0"/>
    <w:rsid w:val="002B0AAB"/>
    <w:rsid w:val="002B239B"/>
    <w:rsid w:val="002B2705"/>
    <w:rsid w:val="002B2838"/>
    <w:rsid w:val="002B3E8C"/>
    <w:rsid w:val="002B52BA"/>
    <w:rsid w:val="002B55A3"/>
    <w:rsid w:val="002B6E0F"/>
    <w:rsid w:val="002B6FC3"/>
    <w:rsid w:val="002B7EB2"/>
    <w:rsid w:val="002C005A"/>
    <w:rsid w:val="002C0E04"/>
    <w:rsid w:val="002C1202"/>
    <w:rsid w:val="002C1655"/>
    <w:rsid w:val="002C17BB"/>
    <w:rsid w:val="002C5C9B"/>
    <w:rsid w:val="002C5E35"/>
    <w:rsid w:val="002C5FB5"/>
    <w:rsid w:val="002C6896"/>
    <w:rsid w:val="002C6B6B"/>
    <w:rsid w:val="002C6BF0"/>
    <w:rsid w:val="002C7025"/>
    <w:rsid w:val="002C7580"/>
    <w:rsid w:val="002C7F9C"/>
    <w:rsid w:val="002D00B4"/>
    <w:rsid w:val="002D0421"/>
    <w:rsid w:val="002D048C"/>
    <w:rsid w:val="002D09AA"/>
    <w:rsid w:val="002D0A28"/>
    <w:rsid w:val="002D25AC"/>
    <w:rsid w:val="002D34DA"/>
    <w:rsid w:val="002D3580"/>
    <w:rsid w:val="002D3D2A"/>
    <w:rsid w:val="002D41A7"/>
    <w:rsid w:val="002D4203"/>
    <w:rsid w:val="002D52C3"/>
    <w:rsid w:val="002D56B7"/>
    <w:rsid w:val="002D5829"/>
    <w:rsid w:val="002D5AE3"/>
    <w:rsid w:val="002D5FF9"/>
    <w:rsid w:val="002D66BC"/>
    <w:rsid w:val="002D6B38"/>
    <w:rsid w:val="002D7414"/>
    <w:rsid w:val="002E0A92"/>
    <w:rsid w:val="002E0E40"/>
    <w:rsid w:val="002E1FD5"/>
    <w:rsid w:val="002E23D9"/>
    <w:rsid w:val="002E2996"/>
    <w:rsid w:val="002E2B69"/>
    <w:rsid w:val="002E3787"/>
    <w:rsid w:val="002E39BB"/>
    <w:rsid w:val="002E69CB"/>
    <w:rsid w:val="002E6FF7"/>
    <w:rsid w:val="002E764E"/>
    <w:rsid w:val="002E7A7B"/>
    <w:rsid w:val="002F0C8A"/>
    <w:rsid w:val="002F1217"/>
    <w:rsid w:val="002F14ED"/>
    <w:rsid w:val="002F17FD"/>
    <w:rsid w:val="002F1995"/>
    <w:rsid w:val="002F1BDE"/>
    <w:rsid w:val="002F1CDB"/>
    <w:rsid w:val="002F215D"/>
    <w:rsid w:val="002F24F7"/>
    <w:rsid w:val="002F2958"/>
    <w:rsid w:val="002F3552"/>
    <w:rsid w:val="002F39FA"/>
    <w:rsid w:val="002F40F8"/>
    <w:rsid w:val="002F4462"/>
    <w:rsid w:val="002F4472"/>
    <w:rsid w:val="002F5045"/>
    <w:rsid w:val="002F65E0"/>
    <w:rsid w:val="002F79BC"/>
    <w:rsid w:val="00300718"/>
    <w:rsid w:val="0030091C"/>
    <w:rsid w:val="003020A5"/>
    <w:rsid w:val="003020F2"/>
    <w:rsid w:val="003020FE"/>
    <w:rsid w:val="00302545"/>
    <w:rsid w:val="003025AF"/>
    <w:rsid w:val="0030398C"/>
    <w:rsid w:val="00303C56"/>
    <w:rsid w:val="0030408E"/>
    <w:rsid w:val="00304535"/>
    <w:rsid w:val="00304B6F"/>
    <w:rsid w:val="0030598B"/>
    <w:rsid w:val="003061D6"/>
    <w:rsid w:val="00306D44"/>
    <w:rsid w:val="003108E5"/>
    <w:rsid w:val="003109EF"/>
    <w:rsid w:val="00310C38"/>
    <w:rsid w:val="00311391"/>
    <w:rsid w:val="003113ED"/>
    <w:rsid w:val="00311B78"/>
    <w:rsid w:val="00311EE6"/>
    <w:rsid w:val="003123DF"/>
    <w:rsid w:val="003126C5"/>
    <w:rsid w:val="00312792"/>
    <w:rsid w:val="00313937"/>
    <w:rsid w:val="00314FF8"/>
    <w:rsid w:val="00315552"/>
    <w:rsid w:val="003160CE"/>
    <w:rsid w:val="003167FD"/>
    <w:rsid w:val="00317877"/>
    <w:rsid w:val="00317A3C"/>
    <w:rsid w:val="00321062"/>
    <w:rsid w:val="00321199"/>
    <w:rsid w:val="00324586"/>
    <w:rsid w:val="00324E55"/>
    <w:rsid w:val="003254A8"/>
    <w:rsid w:val="0032552F"/>
    <w:rsid w:val="00325A0B"/>
    <w:rsid w:val="00325DFD"/>
    <w:rsid w:val="00326302"/>
    <w:rsid w:val="0032631D"/>
    <w:rsid w:val="00326B97"/>
    <w:rsid w:val="0032745B"/>
    <w:rsid w:val="00327BE1"/>
    <w:rsid w:val="00327C59"/>
    <w:rsid w:val="00327E22"/>
    <w:rsid w:val="00330412"/>
    <w:rsid w:val="00330B05"/>
    <w:rsid w:val="00330C13"/>
    <w:rsid w:val="003310BC"/>
    <w:rsid w:val="003315C7"/>
    <w:rsid w:val="003316E6"/>
    <w:rsid w:val="00331703"/>
    <w:rsid w:val="003319B7"/>
    <w:rsid w:val="00331BA4"/>
    <w:rsid w:val="00332A91"/>
    <w:rsid w:val="00333219"/>
    <w:rsid w:val="003332ED"/>
    <w:rsid w:val="003336B3"/>
    <w:rsid w:val="00333C98"/>
    <w:rsid w:val="0033444E"/>
    <w:rsid w:val="00334C15"/>
    <w:rsid w:val="00334ECE"/>
    <w:rsid w:val="0033511D"/>
    <w:rsid w:val="0033543B"/>
    <w:rsid w:val="00335B9A"/>
    <w:rsid w:val="00336A30"/>
    <w:rsid w:val="0033749B"/>
    <w:rsid w:val="003402D3"/>
    <w:rsid w:val="003403A0"/>
    <w:rsid w:val="00340D56"/>
    <w:rsid w:val="00341141"/>
    <w:rsid w:val="003413E4"/>
    <w:rsid w:val="0034170E"/>
    <w:rsid w:val="00341E00"/>
    <w:rsid w:val="003426C4"/>
    <w:rsid w:val="00343455"/>
    <w:rsid w:val="00343977"/>
    <w:rsid w:val="00343E34"/>
    <w:rsid w:val="003451D4"/>
    <w:rsid w:val="00345777"/>
    <w:rsid w:val="003463F9"/>
    <w:rsid w:val="00347425"/>
    <w:rsid w:val="003508C8"/>
    <w:rsid w:val="0035098E"/>
    <w:rsid w:val="003512C1"/>
    <w:rsid w:val="00352741"/>
    <w:rsid w:val="00352BBF"/>
    <w:rsid w:val="003538BE"/>
    <w:rsid w:val="0035458D"/>
    <w:rsid w:val="00354739"/>
    <w:rsid w:val="00354B6F"/>
    <w:rsid w:val="00354C26"/>
    <w:rsid w:val="00354D6B"/>
    <w:rsid w:val="00355270"/>
    <w:rsid w:val="0035550D"/>
    <w:rsid w:val="0035595D"/>
    <w:rsid w:val="00355CAB"/>
    <w:rsid w:val="003561A8"/>
    <w:rsid w:val="00356CF2"/>
    <w:rsid w:val="00356E51"/>
    <w:rsid w:val="003573DF"/>
    <w:rsid w:val="003575FE"/>
    <w:rsid w:val="003577C9"/>
    <w:rsid w:val="003577E8"/>
    <w:rsid w:val="003578D8"/>
    <w:rsid w:val="0036009F"/>
    <w:rsid w:val="00360270"/>
    <w:rsid w:val="00362D1F"/>
    <w:rsid w:val="003633F0"/>
    <w:rsid w:val="003639E2"/>
    <w:rsid w:val="00363C9C"/>
    <w:rsid w:val="003648FC"/>
    <w:rsid w:val="003657A0"/>
    <w:rsid w:val="00365AB8"/>
    <w:rsid w:val="00365C9B"/>
    <w:rsid w:val="003671B6"/>
    <w:rsid w:val="00367A38"/>
    <w:rsid w:val="00370297"/>
    <w:rsid w:val="003709AF"/>
    <w:rsid w:val="00370A7A"/>
    <w:rsid w:val="00370EA0"/>
    <w:rsid w:val="003711DD"/>
    <w:rsid w:val="00372253"/>
    <w:rsid w:val="0037264E"/>
    <w:rsid w:val="003727A8"/>
    <w:rsid w:val="0037302D"/>
    <w:rsid w:val="0037466D"/>
    <w:rsid w:val="00374F9B"/>
    <w:rsid w:val="00375032"/>
    <w:rsid w:val="003753A2"/>
    <w:rsid w:val="00375960"/>
    <w:rsid w:val="00375DC7"/>
    <w:rsid w:val="00376A5B"/>
    <w:rsid w:val="00380524"/>
    <w:rsid w:val="003809B1"/>
    <w:rsid w:val="00381103"/>
    <w:rsid w:val="00381291"/>
    <w:rsid w:val="003812C2"/>
    <w:rsid w:val="0038221F"/>
    <w:rsid w:val="0038243B"/>
    <w:rsid w:val="0038307E"/>
    <w:rsid w:val="0038346B"/>
    <w:rsid w:val="00384C2D"/>
    <w:rsid w:val="003855BF"/>
    <w:rsid w:val="00387084"/>
    <w:rsid w:val="0038753A"/>
    <w:rsid w:val="00390095"/>
    <w:rsid w:val="0039019F"/>
    <w:rsid w:val="0039123E"/>
    <w:rsid w:val="00391267"/>
    <w:rsid w:val="00392ACE"/>
    <w:rsid w:val="00393191"/>
    <w:rsid w:val="003936E7"/>
    <w:rsid w:val="003954AE"/>
    <w:rsid w:val="0039569C"/>
    <w:rsid w:val="003965CB"/>
    <w:rsid w:val="00396BBD"/>
    <w:rsid w:val="00397C67"/>
    <w:rsid w:val="003A014F"/>
    <w:rsid w:val="003A0618"/>
    <w:rsid w:val="003A09DA"/>
    <w:rsid w:val="003A0AB8"/>
    <w:rsid w:val="003A1049"/>
    <w:rsid w:val="003A19E2"/>
    <w:rsid w:val="003A42C1"/>
    <w:rsid w:val="003A44B9"/>
    <w:rsid w:val="003A4676"/>
    <w:rsid w:val="003A46A9"/>
    <w:rsid w:val="003A47C3"/>
    <w:rsid w:val="003A4869"/>
    <w:rsid w:val="003A59DA"/>
    <w:rsid w:val="003A5A2C"/>
    <w:rsid w:val="003A5A3E"/>
    <w:rsid w:val="003A5C3F"/>
    <w:rsid w:val="003A5F72"/>
    <w:rsid w:val="003A5FB7"/>
    <w:rsid w:val="003A6959"/>
    <w:rsid w:val="003A7675"/>
    <w:rsid w:val="003A7E41"/>
    <w:rsid w:val="003A7E4D"/>
    <w:rsid w:val="003B0B55"/>
    <w:rsid w:val="003B1056"/>
    <w:rsid w:val="003B13EF"/>
    <w:rsid w:val="003B1DCD"/>
    <w:rsid w:val="003B5F66"/>
    <w:rsid w:val="003B7225"/>
    <w:rsid w:val="003C03AC"/>
    <w:rsid w:val="003C076D"/>
    <w:rsid w:val="003C1261"/>
    <w:rsid w:val="003C2B2C"/>
    <w:rsid w:val="003C3130"/>
    <w:rsid w:val="003C320D"/>
    <w:rsid w:val="003C4FAA"/>
    <w:rsid w:val="003C6625"/>
    <w:rsid w:val="003C67D2"/>
    <w:rsid w:val="003C6B9A"/>
    <w:rsid w:val="003C6BBF"/>
    <w:rsid w:val="003C7919"/>
    <w:rsid w:val="003C7AD2"/>
    <w:rsid w:val="003C7C98"/>
    <w:rsid w:val="003D088D"/>
    <w:rsid w:val="003D24F8"/>
    <w:rsid w:val="003D31E6"/>
    <w:rsid w:val="003D3228"/>
    <w:rsid w:val="003D3CD2"/>
    <w:rsid w:val="003D3F41"/>
    <w:rsid w:val="003D47DB"/>
    <w:rsid w:val="003D5A13"/>
    <w:rsid w:val="003D5B59"/>
    <w:rsid w:val="003D5D7C"/>
    <w:rsid w:val="003D7A77"/>
    <w:rsid w:val="003E0977"/>
    <w:rsid w:val="003E14D0"/>
    <w:rsid w:val="003E1D77"/>
    <w:rsid w:val="003E3156"/>
    <w:rsid w:val="003E3284"/>
    <w:rsid w:val="003E3C32"/>
    <w:rsid w:val="003E408E"/>
    <w:rsid w:val="003E4D0C"/>
    <w:rsid w:val="003E4E3D"/>
    <w:rsid w:val="003E5499"/>
    <w:rsid w:val="003E5B66"/>
    <w:rsid w:val="003E73CD"/>
    <w:rsid w:val="003F055C"/>
    <w:rsid w:val="003F0C02"/>
    <w:rsid w:val="003F0DDD"/>
    <w:rsid w:val="003F123C"/>
    <w:rsid w:val="003F1279"/>
    <w:rsid w:val="003F14D5"/>
    <w:rsid w:val="003F3D85"/>
    <w:rsid w:val="003F4AE7"/>
    <w:rsid w:val="003F4C1A"/>
    <w:rsid w:val="003F4E12"/>
    <w:rsid w:val="003F4F32"/>
    <w:rsid w:val="003F5045"/>
    <w:rsid w:val="003F6066"/>
    <w:rsid w:val="003F7286"/>
    <w:rsid w:val="003F7AA8"/>
    <w:rsid w:val="004001B8"/>
    <w:rsid w:val="00400E7E"/>
    <w:rsid w:val="00401F3D"/>
    <w:rsid w:val="004027D4"/>
    <w:rsid w:val="00402B59"/>
    <w:rsid w:val="004034DE"/>
    <w:rsid w:val="00403CFF"/>
    <w:rsid w:val="00404351"/>
    <w:rsid w:val="00404A9A"/>
    <w:rsid w:val="004051DB"/>
    <w:rsid w:val="004052E7"/>
    <w:rsid w:val="004053D9"/>
    <w:rsid w:val="00406ACE"/>
    <w:rsid w:val="0040728B"/>
    <w:rsid w:val="0040760C"/>
    <w:rsid w:val="00407A48"/>
    <w:rsid w:val="004107E7"/>
    <w:rsid w:val="00410B52"/>
    <w:rsid w:val="00410C76"/>
    <w:rsid w:val="00410E26"/>
    <w:rsid w:val="00410FF8"/>
    <w:rsid w:val="0041122A"/>
    <w:rsid w:val="004113A6"/>
    <w:rsid w:val="004123BE"/>
    <w:rsid w:val="00412A39"/>
    <w:rsid w:val="00413828"/>
    <w:rsid w:val="00413EEF"/>
    <w:rsid w:val="00413F79"/>
    <w:rsid w:val="004148C0"/>
    <w:rsid w:val="00414AE3"/>
    <w:rsid w:val="00416706"/>
    <w:rsid w:val="0041671C"/>
    <w:rsid w:val="00416A04"/>
    <w:rsid w:val="00416B9B"/>
    <w:rsid w:val="00416BC3"/>
    <w:rsid w:val="0041707D"/>
    <w:rsid w:val="00417DD9"/>
    <w:rsid w:val="00417FAD"/>
    <w:rsid w:val="00421216"/>
    <w:rsid w:val="004239CA"/>
    <w:rsid w:val="00425112"/>
    <w:rsid w:val="004255BE"/>
    <w:rsid w:val="004258C2"/>
    <w:rsid w:val="00425D0D"/>
    <w:rsid w:val="00425E75"/>
    <w:rsid w:val="00427174"/>
    <w:rsid w:val="00427C2F"/>
    <w:rsid w:val="00430765"/>
    <w:rsid w:val="00430F92"/>
    <w:rsid w:val="00431129"/>
    <w:rsid w:val="00431E6B"/>
    <w:rsid w:val="00432568"/>
    <w:rsid w:val="004342F1"/>
    <w:rsid w:val="00434D72"/>
    <w:rsid w:val="00434EA3"/>
    <w:rsid w:val="004365A9"/>
    <w:rsid w:val="00436A3A"/>
    <w:rsid w:val="0043722C"/>
    <w:rsid w:val="00437993"/>
    <w:rsid w:val="00437A8C"/>
    <w:rsid w:val="00437C2E"/>
    <w:rsid w:val="0044090B"/>
    <w:rsid w:val="00440C97"/>
    <w:rsid w:val="00440E44"/>
    <w:rsid w:val="00441013"/>
    <w:rsid w:val="00441206"/>
    <w:rsid w:val="004413CD"/>
    <w:rsid w:val="00442DD4"/>
    <w:rsid w:val="0044322F"/>
    <w:rsid w:val="00443606"/>
    <w:rsid w:val="0044404F"/>
    <w:rsid w:val="00444C50"/>
    <w:rsid w:val="00444E4B"/>
    <w:rsid w:val="00445355"/>
    <w:rsid w:val="004454D3"/>
    <w:rsid w:val="00445582"/>
    <w:rsid w:val="00445744"/>
    <w:rsid w:val="00445B26"/>
    <w:rsid w:val="004464BE"/>
    <w:rsid w:val="004476EA"/>
    <w:rsid w:val="0044780A"/>
    <w:rsid w:val="00447A67"/>
    <w:rsid w:val="00447B24"/>
    <w:rsid w:val="00447EF2"/>
    <w:rsid w:val="00452354"/>
    <w:rsid w:val="00452382"/>
    <w:rsid w:val="00452A51"/>
    <w:rsid w:val="00452B6D"/>
    <w:rsid w:val="00452CA4"/>
    <w:rsid w:val="0045307E"/>
    <w:rsid w:val="0045315E"/>
    <w:rsid w:val="004536CD"/>
    <w:rsid w:val="0045425D"/>
    <w:rsid w:val="0045461E"/>
    <w:rsid w:val="00454FD8"/>
    <w:rsid w:val="004560A2"/>
    <w:rsid w:val="00457370"/>
    <w:rsid w:val="00457FA4"/>
    <w:rsid w:val="00460C52"/>
    <w:rsid w:val="00461E63"/>
    <w:rsid w:val="00462666"/>
    <w:rsid w:val="00463A71"/>
    <w:rsid w:val="00464D0A"/>
    <w:rsid w:val="00465824"/>
    <w:rsid w:val="004669F7"/>
    <w:rsid w:val="00466CE5"/>
    <w:rsid w:val="00467266"/>
    <w:rsid w:val="00470372"/>
    <w:rsid w:val="0047041C"/>
    <w:rsid w:val="00471087"/>
    <w:rsid w:val="00471C49"/>
    <w:rsid w:val="0047325E"/>
    <w:rsid w:val="004733C4"/>
    <w:rsid w:val="004744CC"/>
    <w:rsid w:val="00474C60"/>
    <w:rsid w:val="00474CC1"/>
    <w:rsid w:val="00474ED6"/>
    <w:rsid w:val="00474F1D"/>
    <w:rsid w:val="00475C85"/>
    <w:rsid w:val="004761D1"/>
    <w:rsid w:val="00476DE2"/>
    <w:rsid w:val="00476FE2"/>
    <w:rsid w:val="00477B50"/>
    <w:rsid w:val="00480834"/>
    <w:rsid w:val="00480C09"/>
    <w:rsid w:val="00482407"/>
    <w:rsid w:val="0048240F"/>
    <w:rsid w:val="004840EC"/>
    <w:rsid w:val="00484F7B"/>
    <w:rsid w:val="0048538E"/>
    <w:rsid w:val="00485C32"/>
    <w:rsid w:val="00485FCF"/>
    <w:rsid w:val="00486760"/>
    <w:rsid w:val="00486A4F"/>
    <w:rsid w:val="00487783"/>
    <w:rsid w:val="00487F8B"/>
    <w:rsid w:val="0049024D"/>
    <w:rsid w:val="004903E8"/>
    <w:rsid w:val="00491360"/>
    <w:rsid w:val="00491391"/>
    <w:rsid w:val="00491983"/>
    <w:rsid w:val="00491FE1"/>
    <w:rsid w:val="0049493E"/>
    <w:rsid w:val="00495B35"/>
    <w:rsid w:val="004971A3"/>
    <w:rsid w:val="00497541"/>
    <w:rsid w:val="00497AE5"/>
    <w:rsid w:val="00497F47"/>
    <w:rsid w:val="004A07CC"/>
    <w:rsid w:val="004A09F2"/>
    <w:rsid w:val="004A0F4E"/>
    <w:rsid w:val="004A39DC"/>
    <w:rsid w:val="004A424A"/>
    <w:rsid w:val="004A46D2"/>
    <w:rsid w:val="004A49CD"/>
    <w:rsid w:val="004A4CDD"/>
    <w:rsid w:val="004A564A"/>
    <w:rsid w:val="004A5AEE"/>
    <w:rsid w:val="004A6354"/>
    <w:rsid w:val="004A6483"/>
    <w:rsid w:val="004A6561"/>
    <w:rsid w:val="004A6B86"/>
    <w:rsid w:val="004A6BA7"/>
    <w:rsid w:val="004A7405"/>
    <w:rsid w:val="004A793D"/>
    <w:rsid w:val="004A7A45"/>
    <w:rsid w:val="004A7DBA"/>
    <w:rsid w:val="004A7E09"/>
    <w:rsid w:val="004B0ADD"/>
    <w:rsid w:val="004B0C4E"/>
    <w:rsid w:val="004B11D7"/>
    <w:rsid w:val="004B1B05"/>
    <w:rsid w:val="004B1BAE"/>
    <w:rsid w:val="004B2AEF"/>
    <w:rsid w:val="004B2B1A"/>
    <w:rsid w:val="004B393C"/>
    <w:rsid w:val="004B39AD"/>
    <w:rsid w:val="004B3A53"/>
    <w:rsid w:val="004B3AD2"/>
    <w:rsid w:val="004B493B"/>
    <w:rsid w:val="004B4B62"/>
    <w:rsid w:val="004B55B3"/>
    <w:rsid w:val="004B55F7"/>
    <w:rsid w:val="004B5B50"/>
    <w:rsid w:val="004B6A33"/>
    <w:rsid w:val="004B7266"/>
    <w:rsid w:val="004B7288"/>
    <w:rsid w:val="004C00F6"/>
    <w:rsid w:val="004C0248"/>
    <w:rsid w:val="004C0D37"/>
    <w:rsid w:val="004C196C"/>
    <w:rsid w:val="004C20A2"/>
    <w:rsid w:val="004C25D4"/>
    <w:rsid w:val="004C333F"/>
    <w:rsid w:val="004C3660"/>
    <w:rsid w:val="004C3A90"/>
    <w:rsid w:val="004C3FD5"/>
    <w:rsid w:val="004C4F51"/>
    <w:rsid w:val="004C6AC1"/>
    <w:rsid w:val="004C6FF1"/>
    <w:rsid w:val="004C7053"/>
    <w:rsid w:val="004C7274"/>
    <w:rsid w:val="004C78D9"/>
    <w:rsid w:val="004C7973"/>
    <w:rsid w:val="004C7BF9"/>
    <w:rsid w:val="004D09BD"/>
    <w:rsid w:val="004D0AB2"/>
    <w:rsid w:val="004D1171"/>
    <w:rsid w:val="004D1D92"/>
    <w:rsid w:val="004D236E"/>
    <w:rsid w:val="004D23E7"/>
    <w:rsid w:val="004D2413"/>
    <w:rsid w:val="004D3CD0"/>
    <w:rsid w:val="004D5160"/>
    <w:rsid w:val="004D5E3B"/>
    <w:rsid w:val="004D6A72"/>
    <w:rsid w:val="004D6B9A"/>
    <w:rsid w:val="004D6FEA"/>
    <w:rsid w:val="004D74DF"/>
    <w:rsid w:val="004D76DD"/>
    <w:rsid w:val="004E00EE"/>
    <w:rsid w:val="004E03E1"/>
    <w:rsid w:val="004E11FD"/>
    <w:rsid w:val="004E16EE"/>
    <w:rsid w:val="004E1E07"/>
    <w:rsid w:val="004E2668"/>
    <w:rsid w:val="004E2D03"/>
    <w:rsid w:val="004E2DA0"/>
    <w:rsid w:val="004E36D5"/>
    <w:rsid w:val="004E3749"/>
    <w:rsid w:val="004E38A3"/>
    <w:rsid w:val="004E406D"/>
    <w:rsid w:val="004E40F6"/>
    <w:rsid w:val="004E5311"/>
    <w:rsid w:val="004E5C09"/>
    <w:rsid w:val="004E6098"/>
    <w:rsid w:val="004E726F"/>
    <w:rsid w:val="004F1BB0"/>
    <w:rsid w:val="004F1C06"/>
    <w:rsid w:val="004F1C4B"/>
    <w:rsid w:val="004F1D28"/>
    <w:rsid w:val="004F2199"/>
    <w:rsid w:val="004F256D"/>
    <w:rsid w:val="004F26E2"/>
    <w:rsid w:val="004F298E"/>
    <w:rsid w:val="004F2C64"/>
    <w:rsid w:val="004F3806"/>
    <w:rsid w:val="004F398F"/>
    <w:rsid w:val="004F41CC"/>
    <w:rsid w:val="004F7805"/>
    <w:rsid w:val="0050008F"/>
    <w:rsid w:val="00500167"/>
    <w:rsid w:val="00500A94"/>
    <w:rsid w:val="0050100A"/>
    <w:rsid w:val="0050168F"/>
    <w:rsid w:val="005017FA"/>
    <w:rsid w:val="00501A37"/>
    <w:rsid w:val="00503533"/>
    <w:rsid w:val="00503719"/>
    <w:rsid w:val="00503B4E"/>
    <w:rsid w:val="00503E55"/>
    <w:rsid w:val="00503FD3"/>
    <w:rsid w:val="005061DD"/>
    <w:rsid w:val="005062BC"/>
    <w:rsid w:val="00507329"/>
    <w:rsid w:val="00510BA3"/>
    <w:rsid w:val="00511FA3"/>
    <w:rsid w:val="00512441"/>
    <w:rsid w:val="00512840"/>
    <w:rsid w:val="005131E8"/>
    <w:rsid w:val="005139AE"/>
    <w:rsid w:val="005147D0"/>
    <w:rsid w:val="005149BF"/>
    <w:rsid w:val="0051529C"/>
    <w:rsid w:val="00515715"/>
    <w:rsid w:val="00515762"/>
    <w:rsid w:val="0051682A"/>
    <w:rsid w:val="0051688B"/>
    <w:rsid w:val="00517B68"/>
    <w:rsid w:val="00517F0A"/>
    <w:rsid w:val="005202CB"/>
    <w:rsid w:val="0052034A"/>
    <w:rsid w:val="005204E3"/>
    <w:rsid w:val="00520843"/>
    <w:rsid w:val="00522276"/>
    <w:rsid w:val="0052240B"/>
    <w:rsid w:val="005226B0"/>
    <w:rsid w:val="0052397F"/>
    <w:rsid w:val="00523DA9"/>
    <w:rsid w:val="00523DD9"/>
    <w:rsid w:val="0052494D"/>
    <w:rsid w:val="0052525D"/>
    <w:rsid w:val="005253FE"/>
    <w:rsid w:val="00525DCF"/>
    <w:rsid w:val="00530E55"/>
    <w:rsid w:val="00531147"/>
    <w:rsid w:val="00531F75"/>
    <w:rsid w:val="0053209F"/>
    <w:rsid w:val="0053237D"/>
    <w:rsid w:val="00532D75"/>
    <w:rsid w:val="00532E1A"/>
    <w:rsid w:val="005336C9"/>
    <w:rsid w:val="00533D12"/>
    <w:rsid w:val="00534C60"/>
    <w:rsid w:val="00535880"/>
    <w:rsid w:val="005358F2"/>
    <w:rsid w:val="005364C0"/>
    <w:rsid w:val="0053675B"/>
    <w:rsid w:val="005369CD"/>
    <w:rsid w:val="00540019"/>
    <w:rsid w:val="00540160"/>
    <w:rsid w:val="00540BE3"/>
    <w:rsid w:val="00540E9C"/>
    <w:rsid w:val="00542947"/>
    <w:rsid w:val="00542C61"/>
    <w:rsid w:val="005431AC"/>
    <w:rsid w:val="0054485E"/>
    <w:rsid w:val="00544942"/>
    <w:rsid w:val="00544EAB"/>
    <w:rsid w:val="0054503A"/>
    <w:rsid w:val="00545EF7"/>
    <w:rsid w:val="0054663F"/>
    <w:rsid w:val="005470BD"/>
    <w:rsid w:val="00547328"/>
    <w:rsid w:val="00547779"/>
    <w:rsid w:val="00550C81"/>
    <w:rsid w:val="00550E45"/>
    <w:rsid w:val="00551B14"/>
    <w:rsid w:val="00552415"/>
    <w:rsid w:val="005524A0"/>
    <w:rsid w:val="00554439"/>
    <w:rsid w:val="00554ABF"/>
    <w:rsid w:val="00554D26"/>
    <w:rsid w:val="00554DA2"/>
    <w:rsid w:val="0055558F"/>
    <w:rsid w:val="0055598D"/>
    <w:rsid w:val="00555B95"/>
    <w:rsid w:val="00557268"/>
    <w:rsid w:val="005572A8"/>
    <w:rsid w:val="005574D9"/>
    <w:rsid w:val="005613D2"/>
    <w:rsid w:val="005623FE"/>
    <w:rsid w:val="00562AAC"/>
    <w:rsid w:val="00563504"/>
    <w:rsid w:val="00563705"/>
    <w:rsid w:val="0056396F"/>
    <w:rsid w:val="00563989"/>
    <w:rsid w:val="00563C8D"/>
    <w:rsid w:val="00563EEA"/>
    <w:rsid w:val="00564158"/>
    <w:rsid w:val="005646CE"/>
    <w:rsid w:val="005648BF"/>
    <w:rsid w:val="00564B85"/>
    <w:rsid w:val="005653EF"/>
    <w:rsid w:val="00566080"/>
    <w:rsid w:val="005660C8"/>
    <w:rsid w:val="00566B2A"/>
    <w:rsid w:val="00570F84"/>
    <w:rsid w:val="00571C8A"/>
    <w:rsid w:val="005726BE"/>
    <w:rsid w:val="005737F1"/>
    <w:rsid w:val="00575DD1"/>
    <w:rsid w:val="0057696B"/>
    <w:rsid w:val="00576ACC"/>
    <w:rsid w:val="00577D43"/>
    <w:rsid w:val="005802E6"/>
    <w:rsid w:val="00580C34"/>
    <w:rsid w:val="00580FDC"/>
    <w:rsid w:val="005810DE"/>
    <w:rsid w:val="0058138E"/>
    <w:rsid w:val="0058157A"/>
    <w:rsid w:val="00581ED0"/>
    <w:rsid w:val="00582184"/>
    <w:rsid w:val="00583829"/>
    <w:rsid w:val="00583885"/>
    <w:rsid w:val="00583CFA"/>
    <w:rsid w:val="005845B0"/>
    <w:rsid w:val="0058504E"/>
    <w:rsid w:val="005865A6"/>
    <w:rsid w:val="005866B6"/>
    <w:rsid w:val="00586B2E"/>
    <w:rsid w:val="00586D72"/>
    <w:rsid w:val="00587472"/>
    <w:rsid w:val="00587A47"/>
    <w:rsid w:val="00587F47"/>
    <w:rsid w:val="00590B7D"/>
    <w:rsid w:val="00590E16"/>
    <w:rsid w:val="0059121E"/>
    <w:rsid w:val="0059132C"/>
    <w:rsid w:val="005915DB"/>
    <w:rsid w:val="00591A57"/>
    <w:rsid w:val="00591EEF"/>
    <w:rsid w:val="00592119"/>
    <w:rsid w:val="0059264E"/>
    <w:rsid w:val="0059296A"/>
    <w:rsid w:val="00592B46"/>
    <w:rsid w:val="005942B2"/>
    <w:rsid w:val="00594433"/>
    <w:rsid w:val="00594A77"/>
    <w:rsid w:val="00595E68"/>
    <w:rsid w:val="00596A99"/>
    <w:rsid w:val="0059744C"/>
    <w:rsid w:val="00597543"/>
    <w:rsid w:val="00597602"/>
    <w:rsid w:val="005976A9"/>
    <w:rsid w:val="005A0DBE"/>
    <w:rsid w:val="005A12C9"/>
    <w:rsid w:val="005A1C26"/>
    <w:rsid w:val="005A1F76"/>
    <w:rsid w:val="005A281C"/>
    <w:rsid w:val="005A34B2"/>
    <w:rsid w:val="005A5518"/>
    <w:rsid w:val="005A58DE"/>
    <w:rsid w:val="005A6F97"/>
    <w:rsid w:val="005A774B"/>
    <w:rsid w:val="005B0AF2"/>
    <w:rsid w:val="005B0AFE"/>
    <w:rsid w:val="005B1592"/>
    <w:rsid w:val="005B17CB"/>
    <w:rsid w:val="005B20A8"/>
    <w:rsid w:val="005B26FA"/>
    <w:rsid w:val="005B283B"/>
    <w:rsid w:val="005B2E77"/>
    <w:rsid w:val="005B343C"/>
    <w:rsid w:val="005B61C0"/>
    <w:rsid w:val="005C09BA"/>
    <w:rsid w:val="005C0AE8"/>
    <w:rsid w:val="005C0CCE"/>
    <w:rsid w:val="005C1BB8"/>
    <w:rsid w:val="005C1D19"/>
    <w:rsid w:val="005C1D64"/>
    <w:rsid w:val="005C2345"/>
    <w:rsid w:val="005C2FC4"/>
    <w:rsid w:val="005C42CF"/>
    <w:rsid w:val="005C4620"/>
    <w:rsid w:val="005C4C06"/>
    <w:rsid w:val="005C57A1"/>
    <w:rsid w:val="005C69D4"/>
    <w:rsid w:val="005C6CC6"/>
    <w:rsid w:val="005C719E"/>
    <w:rsid w:val="005C7D52"/>
    <w:rsid w:val="005D028C"/>
    <w:rsid w:val="005D1D01"/>
    <w:rsid w:val="005D33A0"/>
    <w:rsid w:val="005D3B22"/>
    <w:rsid w:val="005D480A"/>
    <w:rsid w:val="005D52D5"/>
    <w:rsid w:val="005D5B5A"/>
    <w:rsid w:val="005D5DDA"/>
    <w:rsid w:val="005D622E"/>
    <w:rsid w:val="005D6A06"/>
    <w:rsid w:val="005D7498"/>
    <w:rsid w:val="005D7F7A"/>
    <w:rsid w:val="005E0E10"/>
    <w:rsid w:val="005E10A1"/>
    <w:rsid w:val="005E37AC"/>
    <w:rsid w:val="005E4458"/>
    <w:rsid w:val="005E516C"/>
    <w:rsid w:val="005E51B2"/>
    <w:rsid w:val="005E534E"/>
    <w:rsid w:val="005E5830"/>
    <w:rsid w:val="005E5BE1"/>
    <w:rsid w:val="005E5BE7"/>
    <w:rsid w:val="005E64F9"/>
    <w:rsid w:val="005F0D2E"/>
    <w:rsid w:val="005F0F3E"/>
    <w:rsid w:val="005F0FAE"/>
    <w:rsid w:val="005F19CD"/>
    <w:rsid w:val="005F203A"/>
    <w:rsid w:val="005F3323"/>
    <w:rsid w:val="005F401C"/>
    <w:rsid w:val="005F4126"/>
    <w:rsid w:val="005F4FF8"/>
    <w:rsid w:val="005F50B7"/>
    <w:rsid w:val="005F5BAF"/>
    <w:rsid w:val="005F6444"/>
    <w:rsid w:val="005F64D6"/>
    <w:rsid w:val="005F655B"/>
    <w:rsid w:val="005F6600"/>
    <w:rsid w:val="005F693A"/>
    <w:rsid w:val="005F6AB2"/>
    <w:rsid w:val="005F6ADE"/>
    <w:rsid w:val="005F7EE8"/>
    <w:rsid w:val="006000F2"/>
    <w:rsid w:val="006001AD"/>
    <w:rsid w:val="0060025B"/>
    <w:rsid w:val="00600985"/>
    <w:rsid w:val="00600FA4"/>
    <w:rsid w:val="00601619"/>
    <w:rsid w:val="00601937"/>
    <w:rsid w:val="00601BBD"/>
    <w:rsid w:val="00602571"/>
    <w:rsid w:val="00603043"/>
    <w:rsid w:val="00603AB1"/>
    <w:rsid w:val="0060559A"/>
    <w:rsid w:val="00605E8C"/>
    <w:rsid w:val="00606330"/>
    <w:rsid w:val="006068F0"/>
    <w:rsid w:val="006073AB"/>
    <w:rsid w:val="006077BF"/>
    <w:rsid w:val="00607808"/>
    <w:rsid w:val="006108CC"/>
    <w:rsid w:val="00610C4E"/>
    <w:rsid w:val="00610D9F"/>
    <w:rsid w:val="0061111C"/>
    <w:rsid w:val="00611289"/>
    <w:rsid w:val="0061134B"/>
    <w:rsid w:val="00612374"/>
    <w:rsid w:val="0061299A"/>
    <w:rsid w:val="00613831"/>
    <w:rsid w:val="00614A24"/>
    <w:rsid w:val="00615BA0"/>
    <w:rsid w:val="00615EE0"/>
    <w:rsid w:val="006168D6"/>
    <w:rsid w:val="00616CCD"/>
    <w:rsid w:val="00616FA0"/>
    <w:rsid w:val="00617101"/>
    <w:rsid w:val="0062023D"/>
    <w:rsid w:val="006209C5"/>
    <w:rsid w:val="00620A08"/>
    <w:rsid w:val="00620A93"/>
    <w:rsid w:val="00620E52"/>
    <w:rsid w:val="00622426"/>
    <w:rsid w:val="00622852"/>
    <w:rsid w:val="00622B7A"/>
    <w:rsid w:val="00622E0E"/>
    <w:rsid w:val="0062318D"/>
    <w:rsid w:val="00623641"/>
    <w:rsid w:val="006237D3"/>
    <w:rsid w:val="00623FA8"/>
    <w:rsid w:val="00624923"/>
    <w:rsid w:val="00624D0B"/>
    <w:rsid w:val="00627EE2"/>
    <w:rsid w:val="00627F1E"/>
    <w:rsid w:val="00630597"/>
    <w:rsid w:val="006307C9"/>
    <w:rsid w:val="00631572"/>
    <w:rsid w:val="0063200C"/>
    <w:rsid w:val="00632AF6"/>
    <w:rsid w:val="00633334"/>
    <w:rsid w:val="006341EB"/>
    <w:rsid w:val="00634459"/>
    <w:rsid w:val="00635689"/>
    <w:rsid w:val="00635D47"/>
    <w:rsid w:val="00636130"/>
    <w:rsid w:val="00637252"/>
    <w:rsid w:val="00637E3E"/>
    <w:rsid w:val="006400E4"/>
    <w:rsid w:val="006416F8"/>
    <w:rsid w:val="006425C0"/>
    <w:rsid w:val="00642FA9"/>
    <w:rsid w:val="00643FE3"/>
    <w:rsid w:val="00644262"/>
    <w:rsid w:val="00645210"/>
    <w:rsid w:val="00645440"/>
    <w:rsid w:val="00645748"/>
    <w:rsid w:val="00645B15"/>
    <w:rsid w:val="00646102"/>
    <w:rsid w:val="00646371"/>
    <w:rsid w:val="006464DD"/>
    <w:rsid w:val="00646572"/>
    <w:rsid w:val="0064672D"/>
    <w:rsid w:val="006477BB"/>
    <w:rsid w:val="006503A1"/>
    <w:rsid w:val="0065089D"/>
    <w:rsid w:val="00651AD0"/>
    <w:rsid w:val="0065239D"/>
    <w:rsid w:val="00653606"/>
    <w:rsid w:val="00653CD6"/>
    <w:rsid w:val="0065467B"/>
    <w:rsid w:val="0065498F"/>
    <w:rsid w:val="00654E41"/>
    <w:rsid w:val="00654F44"/>
    <w:rsid w:val="00656B6D"/>
    <w:rsid w:val="0065757C"/>
    <w:rsid w:val="00657D5E"/>
    <w:rsid w:val="00660EC0"/>
    <w:rsid w:val="00661F40"/>
    <w:rsid w:val="00662C16"/>
    <w:rsid w:val="006633B3"/>
    <w:rsid w:val="006634C5"/>
    <w:rsid w:val="00663542"/>
    <w:rsid w:val="00663715"/>
    <w:rsid w:val="00663DA7"/>
    <w:rsid w:val="00664458"/>
    <w:rsid w:val="00665E57"/>
    <w:rsid w:val="006664B2"/>
    <w:rsid w:val="00666DC1"/>
    <w:rsid w:val="00666E13"/>
    <w:rsid w:val="00667226"/>
    <w:rsid w:val="0067008F"/>
    <w:rsid w:val="006709F8"/>
    <w:rsid w:val="00670FA2"/>
    <w:rsid w:val="00671445"/>
    <w:rsid w:val="00674193"/>
    <w:rsid w:val="00674B96"/>
    <w:rsid w:val="00675105"/>
    <w:rsid w:val="0067593D"/>
    <w:rsid w:val="00676F0E"/>
    <w:rsid w:val="0067787A"/>
    <w:rsid w:val="006801EC"/>
    <w:rsid w:val="006810E6"/>
    <w:rsid w:val="00681652"/>
    <w:rsid w:val="0068222E"/>
    <w:rsid w:val="0068258A"/>
    <w:rsid w:val="0068333D"/>
    <w:rsid w:val="0068335D"/>
    <w:rsid w:val="00684930"/>
    <w:rsid w:val="006852BF"/>
    <w:rsid w:val="00685527"/>
    <w:rsid w:val="006860BF"/>
    <w:rsid w:val="006870FA"/>
    <w:rsid w:val="0068766D"/>
    <w:rsid w:val="00687F99"/>
    <w:rsid w:val="00690C9B"/>
    <w:rsid w:val="00690D1F"/>
    <w:rsid w:val="006916EA"/>
    <w:rsid w:val="00691AF7"/>
    <w:rsid w:val="00691C30"/>
    <w:rsid w:val="00691FC8"/>
    <w:rsid w:val="00692399"/>
    <w:rsid w:val="0069252B"/>
    <w:rsid w:val="00692A09"/>
    <w:rsid w:val="00694A0D"/>
    <w:rsid w:val="00694EDF"/>
    <w:rsid w:val="00695750"/>
    <w:rsid w:val="00695B2F"/>
    <w:rsid w:val="00695E90"/>
    <w:rsid w:val="00696176"/>
    <w:rsid w:val="00696C8A"/>
    <w:rsid w:val="006A0C6C"/>
    <w:rsid w:val="006A2555"/>
    <w:rsid w:val="006A27F1"/>
    <w:rsid w:val="006A2ADA"/>
    <w:rsid w:val="006A32C3"/>
    <w:rsid w:val="006A440D"/>
    <w:rsid w:val="006A47E4"/>
    <w:rsid w:val="006A4A1B"/>
    <w:rsid w:val="006A5BD9"/>
    <w:rsid w:val="006A6C89"/>
    <w:rsid w:val="006B0A13"/>
    <w:rsid w:val="006B0CCA"/>
    <w:rsid w:val="006B1B60"/>
    <w:rsid w:val="006B1C75"/>
    <w:rsid w:val="006B1EF6"/>
    <w:rsid w:val="006B23AD"/>
    <w:rsid w:val="006B2560"/>
    <w:rsid w:val="006B28F1"/>
    <w:rsid w:val="006B3E2F"/>
    <w:rsid w:val="006B4DE2"/>
    <w:rsid w:val="006B5207"/>
    <w:rsid w:val="006B534F"/>
    <w:rsid w:val="006B5D7B"/>
    <w:rsid w:val="006B69BE"/>
    <w:rsid w:val="006B7D19"/>
    <w:rsid w:val="006B7FB7"/>
    <w:rsid w:val="006C0866"/>
    <w:rsid w:val="006C1C92"/>
    <w:rsid w:val="006C1DD3"/>
    <w:rsid w:val="006C276B"/>
    <w:rsid w:val="006C2EBB"/>
    <w:rsid w:val="006C3029"/>
    <w:rsid w:val="006C3797"/>
    <w:rsid w:val="006C4B8A"/>
    <w:rsid w:val="006C5329"/>
    <w:rsid w:val="006C66E5"/>
    <w:rsid w:val="006C6A02"/>
    <w:rsid w:val="006C6FC5"/>
    <w:rsid w:val="006C71DC"/>
    <w:rsid w:val="006D03C5"/>
    <w:rsid w:val="006D08AB"/>
    <w:rsid w:val="006D0A9F"/>
    <w:rsid w:val="006D0F52"/>
    <w:rsid w:val="006D0F7B"/>
    <w:rsid w:val="006D18DD"/>
    <w:rsid w:val="006D1CD1"/>
    <w:rsid w:val="006D1FDF"/>
    <w:rsid w:val="006D24BC"/>
    <w:rsid w:val="006D25B5"/>
    <w:rsid w:val="006D32C7"/>
    <w:rsid w:val="006D555B"/>
    <w:rsid w:val="006D5E6C"/>
    <w:rsid w:val="006D696A"/>
    <w:rsid w:val="006D76B9"/>
    <w:rsid w:val="006E098A"/>
    <w:rsid w:val="006E144F"/>
    <w:rsid w:val="006E1749"/>
    <w:rsid w:val="006E1A84"/>
    <w:rsid w:val="006E2597"/>
    <w:rsid w:val="006E28B8"/>
    <w:rsid w:val="006E300D"/>
    <w:rsid w:val="006E30B6"/>
    <w:rsid w:val="006E3827"/>
    <w:rsid w:val="006E3884"/>
    <w:rsid w:val="006E429B"/>
    <w:rsid w:val="006E45C8"/>
    <w:rsid w:val="006E5326"/>
    <w:rsid w:val="006E5F97"/>
    <w:rsid w:val="006E6915"/>
    <w:rsid w:val="006E692C"/>
    <w:rsid w:val="006E7CC4"/>
    <w:rsid w:val="006F002F"/>
    <w:rsid w:val="006F01F3"/>
    <w:rsid w:val="006F026F"/>
    <w:rsid w:val="006F06CC"/>
    <w:rsid w:val="006F0790"/>
    <w:rsid w:val="006F1171"/>
    <w:rsid w:val="006F13D0"/>
    <w:rsid w:val="006F239F"/>
    <w:rsid w:val="006F25DF"/>
    <w:rsid w:val="006F4C52"/>
    <w:rsid w:val="006F4CBE"/>
    <w:rsid w:val="006F4CCB"/>
    <w:rsid w:val="006F6081"/>
    <w:rsid w:val="0070138D"/>
    <w:rsid w:val="00702B4A"/>
    <w:rsid w:val="007031BF"/>
    <w:rsid w:val="00704589"/>
    <w:rsid w:val="0070462D"/>
    <w:rsid w:val="007050DB"/>
    <w:rsid w:val="007054EF"/>
    <w:rsid w:val="0070715F"/>
    <w:rsid w:val="007074A6"/>
    <w:rsid w:val="00707AE4"/>
    <w:rsid w:val="00707EC8"/>
    <w:rsid w:val="007105DC"/>
    <w:rsid w:val="007110BA"/>
    <w:rsid w:val="00711387"/>
    <w:rsid w:val="007126DF"/>
    <w:rsid w:val="00712E9B"/>
    <w:rsid w:val="007135B1"/>
    <w:rsid w:val="007138AC"/>
    <w:rsid w:val="00713B63"/>
    <w:rsid w:val="00714262"/>
    <w:rsid w:val="0071442F"/>
    <w:rsid w:val="00715C64"/>
    <w:rsid w:val="00716115"/>
    <w:rsid w:val="00716594"/>
    <w:rsid w:val="00716E01"/>
    <w:rsid w:val="007170AD"/>
    <w:rsid w:val="007175B7"/>
    <w:rsid w:val="00717CDC"/>
    <w:rsid w:val="00717D05"/>
    <w:rsid w:val="00717D58"/>
    <w:rsid w:val="00717E59"/>
    <w:rsid w:val="00720264"/>
    <w:rsid w:val="007202A8"/>
    <w:rsid w:val="007202CB"/>
    <w:rsid w:val="0072077D"/>
    <w:rsid w:val="007209B0"/>
    <w:rsid w:val="00721656"/>
    <w:rsid w:val="00721B8A"/>
    <w:rsid w:val="00721ECF"/>
    <w:rsid w:val="0072209B"/>
    <w:rsid w:val="00722742"/>
    <w:rsid w:val="00722FD6"/>
    <w:rsid w:val="00723A3E"/>
    <w:rsid w:val="0072415A"/>
    <w:rsid w:val="00724167"/>
    <w:rsid w:val="007242A6"/>
    <w:rsid w:val="007243DF"/>
    <w:rsid w:val="0072503B"/>
    <w:rsid w:val="00725EAB"/>
    <w:rsid w:val="00726594"/>
    <w:rsid w:val="007308AB"/>
    <w:rsid w:val="00730FA7"/>
    <w:rsid w:val="00731C36"/>
    <w:rsid w:val="0073223D"/>
    <w:rsid w:val="00732AA7"/>
    <w:rsid w:val="00732D57"/>
    <w:rsid w:val="00733BDD"/>
    <w:rsid w:val="00734EEF"/>
    <w:rsid w:val="00735637"/>
    <w:rsid w:val="0073566D"/>
    <w:rsid w:val="00735AEE"/>
    <w:rsid w:val="00735C26"/>
    <w:rsid w:val="00736421"/>
    <w:rsid w:val="007365B7"/>
    <w:rsid w:val="007369B8"/>
    <w:rsid w:val="00740364"/>
    <w:rsid w:val="00740667"/>
    <w:rsid w:val="00740750"/>
    <w:rsid w:val="00740885"/>
    <w:rsid w:val="00740E8F"/>
    <w:rsid w:val="00741274"/>
    <w:rsid w:val="007414C2"/>
    <w:rsid w:val="007415FC"/>
    <w:rsid w:val="00742B24"/>
    <w:rsid w:val="007432B0"/>
    <w:rsid w:val="00744F17"/>
    <w:rsid w:val="00744FB9"/>
    <w:rsid w:val="00745B54"/>
    <w:rsid w:val="00745B64"/>
    <w:rsid w:val="00745EA3"/>
    <w:rsid w:val="00746329"/>
    <w:rsid w:val="00746463"/>
    <w:rsid w:val="007474C4"/>
    <w:rsid w:val="0075043E"/>
    <w:rsid w:val="00750C89"/>
    <w:rsid w:val="00751509"/>
    <w:rsid w:val="00751AEE"/>
    <w:rsid w:val="00753234"/>
    <w:rsid w:val="00754BA3"/>
    <w:rsid w:val="007558C0"/>
    <w:rsid w:val="00756353"/>
    <w:rsid w:val="007563F2"/>
    <w:rsid w:val="00756EBF"/>
    <w:rsid w:val="007572C0"/>
    <w:rsid w:val="007603B5"/>
    <w:rsid w:val="007607A8"/>
    <w:rsid w:val="00760C4C"/>
    <w:rsid w:val="0076114E"/>
    <w:rsid w:val="00762450"/>
    <w:rsid w:val="00762C23"/>
    <w:rsid w:val="0076391A"/>
    <w:rsid w:val="00763CA6"/>
    <w:rsid w:val="00763E88"/>
    <w:rsid w:val="00764668"/>
    <w:rsid w:val="007657EA"/>
    <w:rsid w:val="00765C46"/>
    <w:rsid w:val="00765C53"/>
    <w:rsid w:val="0076643F"/>
    <w:rsid w:val="007672BF"/>
    <w:rsid w:val="00767757"/>
    <w:rsid w:val="00767943"/>
    <w:rsid w:val="00767AEB"/>
    <w:rsid w:val="00767DE5"/>
    <w:rsid w:val="0077028B"/>
    <w:rsid w:val="00770A07"/>
    <w:rsid w:val="00771DFE"/>
    <w:rsid w:val="007724D3"/>
    <w:rsid w:val="00773312"/>
    <w:rsid w:val="0077391D"/>
    <w:rsid w:val="00773F3C"/>
    <w:rsid w:val="0077460C"/>
    <w:rsid w:val="007748B1"/>
    <w:rsid w:val="00774D9E"/>
    <w:rsid w:val="0077574D"/>
    <w:rsid w:val="00775D48"/>
    <w:rsid w:val="00776770"/>
    <w:rsid w:val="00777158"/>
    <w:rsid w:val="0078003A"/>
    <w:rsid w:val="00780085"/>
    <w:rsid w:val="0078045C"/>
    <w:rsid w:val="00780F86"/>
    <w:rsid w:val="007812BF"/>
    <w:rsid w:val="007818B7"/>
    <w:rsid w:val="00781C6C"/>
    <w:rsid w:val="00782ED9"/>
    <w:rsid w:val="0078309A"/>
    <w:rsid w:val="007835DE"/>
    <w:rsid w:val="0078486B"/>
    <w:rsid w:val="00784EB7"/>
    <w:rsid w:val="00784EBD"/>
    <w:rsid w:val="00785F6A"/>
    <w:rsid w:val="00786C07"/>
    <w:rsid w:val="00787814"/>
    <w:rsid w:val="00791083"/>
    <w:rsid w:val="007926DB"/>
    <w:rsid w:val="0079277E"/>
    <w:rsid w:val="0079343B"/>
    <w:rsid w:val="00793C42"/>
    <w:rsid w:val="0079511F"/>
    <w:rsid w:val="00795801"/>
    <w:rsid w:val="007969DA"/>
    <w:rsid w:val="007974E6"/>
    <w:rsid w:val="007975A1"/>
    <w:rsid w:val="00797C59"/>
    <w:rsid w:val="007A027D"/>
    <w:rsid w:val="007A0301"/>
    <w:rsid w:val="007A031F"/>
    <w:rsid w:val="007A0C8D"/>
    <w:rsid w:val="007A0DBE"/>
    <w:rsid w:val="007A0DF1"/>
    <w:rsid w:val="007A11DA"/>
    <w:rsid w:val="007A1D9A"/>
    <w:rsid w:val="007A232E"/>
    <w:rsid w:val="007A24DC"/>
    <w:rsid w:val="007A2B7F"/>
    <w:rsid w:val="007A2D6B"/>
    <w:rsid w:val="007A2D73"/>
    <w:rsid w:val="007A2FB2"/>
    <w:rsid w:val="007A32C5"/>
    <w:rsid w:val="007A33DE"/>
    <w:rsid w:val="007A3638"/>
    <w:rsid w:val="007A3694"/>
    <w:rsid w:val="007A4D62"/>
    <w:rsid w:val="007A50BF"/>
    <w:rsid w:val="007A6132"/>
    <w:rsid w:val="007A685D"/>
    <w:rsid w:val="007A6D19"/>
    <w:rsid w:val="007A70E2"/>
    <w:rsid w:val="007B1647"/>
    <w:rsid w:val="007B2E24"/>
    <w:rsid w:val="007B3176"/>
    <w:rsid w:val="007B37CE"/>
    <w:rsid w:val="007B4B52"/>
    <w:rsid w:val="007B4FF3"/>
    <w:rsid w:val="007B55B8"/>
    <w:rsid w:val="007B5796"/>
    <w:rsid w:val="007B5905"/>
    <w:rsid w:val="007B6A59"/>
    <w:rsid w:val="007B6DBE"/>
    <w:rsid w:val="007B7942"/>
    <w:rsid w:val="007B7958"/>
    <w:rsid w:val="007C0E38"/>
    <w:rsid w:val="007C12E7"/>
    <w:rsid w:val="007C260F"/>
    <w:rsid w:val="007C266A"/>
    <w:rsid w:val="007C3F88"/>
    <w:rsid w:val="007C49FF"/>
    <w:rsid w:val="007C4E31"/>
    <w:rsid w:val="007C5730"/>
    <w:rsid w:val="007C7060"/>
    <w:rsid w:val="007C7DB0"/>
    <w:rsid w:val="007D0077"/>
    <w:rsid w:val="007D0DCF"/>
    <w:rsid w:val="007D0E22"/>
    <w:rsid w:val="007D1398"/>
    <w:rsid w:val="007D29B2"/>
    <w:rsid w:val="007D2BD8"/>
    <w:rsid w:val="007D2C92"/>
    <w:rsid w:val="007D3FD5"/>
    <w:rsid w:val="007D46DA"/>
    <w:rsid w:val="007D4D68"/>
    <w:rsid w:val="007D5E3F"/>
    <w:rsid w:val="007D6858"/>
    <w:rsid w:val="007D6914"/>
    <w:rsid w:val="007D719C"/>
    <w:rsid w:val="007D748A"/>
    <w:rsid w:val="007D7C94"/>
    <w:rsid w:val="007E0491"/>
    <w:rsid w:val="007E0A29"/>
    <w:rsid w:val="007E0B15"/>
    <w:rsid w:val="007E0DA6"/>
    <w:rsid w:val="007E21BD"/>
    <w:rsid w:val="007E21C9"/>
    <w:rsid w:val="007E280F"/>
    <w:rsid w:val="007E3185"/>
    <w:rsid w:val="007E4333"/>
    <w:rsid w:val="007E4645"/>
    <w:rsid w:val="007E50D5"/>
    <w:rsid w:val="007E723C"/>
    <w:rsid w:val="007E73A3"/>
    <w:rsid w:val="007E767D"/>
    <w:rsid w:val="007E776E"/>
    <w:rsid w:val="007E7A20"/>
    <w:rsid w:val="007F0152"/>
    <w:rsid w:val="007F0169"/>
    <w:rsid w:val="007F0AB7"/>
    <w:rsid w:val="007F0ED7"/>
    <w:rsid w:val="007F2A4B"/>
    <w:rsid w:val="007F2BE2"/>
    <w:rsid w:val="007F463B"/>
    <w:rsid w:val="007F50A6"/>
    <w:rsid w:val="007F55CC"/>
    <w:rsid w:val="007F5A82"/>
    <w:rsid w:val="007F61BC"/>
    <w:rsid w:val="007F6669"/>
    <w:rsid w:val="007F675C"/>
    <w:rsid w:val="007F6F83"/>
    <w:rsid w:val="007F76E2"/>
    <w:rsid w:val="008004EC"/>
    <w:rsid w:val="00800922"/>
    <w:rsid w:val="00800B6D"/>
    <w:rsid w:val="008025C2"/>
    <w:rsid w:val="008027DD"/>
    <w:rsid w:val="008029F0"/>
    <w:rsid w:val="00803448"/>
    <w:rsid w:val="008035B5"/>
    <w:rsid w:val="00803885"/>
    <w:rsid w:val="00805263"/>
    <w:rsid w:val="0080588C"/>
    <w:rsid w:val="00806EA6"/>
    <w:rsid w:val="0080764C"/>
    <w:rsid w:val="00807717"/>
    <w:rsid w:val="00807B72"/>
    <w:rsid w:val="0081140B"/>
    <w:rsid w:val="00811DC9"/>
    <w:rsid w:val="00811FE7"/>
    <w:rsid w:val="0081253A"/>
    <w:rsid w:val="00812E7A"/>
    <w:rsid w:val="00812E9F"/>
    <w:rsid w:val="0081364B"/>
    <w:rsid w:val="0081487A"/>
    <w:rsid w:val="00815297"/>
    <w:rsid w:val="008154E5"/>
    <w:rsid w:val="00815E43"/>
    <w:rsid w:val="00815F23"/>
    <w:rsid w:val="0081653C"/>
    <w:rsid w:val="0082127C"/>
    <w:rsid w:val="008212B6"/>
    <w:rsid w:val="00822245"/>
    <w:rsid w:val="008226AF"/>
    <w:rsid w:val="00822C0C"/>
    <w:rsid w:val="00822DF8"/>
    <w:rsid w:val="00823430"/>
    <w:rsid w:val="00823597"/>
    <w:rsid w:val="00823BA3"/>
    <w:rsid w:val="008240BB"/>
    <w:rsid w:val="0082499D"/>
    <w:rsid w:val="00824F89"/>
    <w:rsid w:val="008256E5"/>
    <w:rsid w:val="00825AA4"/>
    <w:rsid w:val="00826322"/>
    <w:rsid w:val="008266D6"/>
    <w:rsid w:val="00826953"/>
    <w:rsid w:val="00826AB7"/>
    <w:rsid w:val="008270BB"/>
    <w:rsid w:val="0082737C"/>
    <w:rsid w:val="00827CA0"/>
    <w:rsid w:val="00831402"/>
    <w:rsid w:val="0083205C"/>
    <w:rsid w:val="0083222B"/>
    <w:rsid w:val="008330C3"/>
    <w:rsid w:val="008334B8"/>
    <w:rsid w:val="00834360"/>
    <w:rsid w:val="00834E12"/>
    <w:rsid w:val="00834F52"/>
    <w:rsid w:val="00834F8C"/>
    <w:rsid w:val="008350B1"/>
    <w:rsid w:val="00835C01"/>
    <w:rsid w:val="00837454"/>
    <w:rsid w:val="00837A4F"/>
    <w:rsid w:val="00840584"/>
    <w:rsid w:val="0084058A"/>
    <w:rsid w:val="00840FED"/>
    <w:rsid w:val="00841330"/>
    <w:rsid w:val="00841CE5"/>
    <w:rsid w:val="00841EE7"/>
    <w:rsid w:val="00842CCA"/>
    <w:rsid w:val="00842E0D"/>
    <w:rsid w:val="00843878"/>
    <w:rsid w:val="00843C28"/>
    <w:rsid w:val="00844458"/>
    <w:rsid w:val="008456EB"/>
    <w:rsid w:val="00845BB5"/>
    <w:rsid w:val="00846048"/>
    <w:rsid w:val="00846F1F"/>
    <w:rsid w:val="00847958"/>
    <w:rsid w:val="00850957"/>
    <w:rsid w:val="00850D76"/>
    <w:rsid w:val="008515C6"/>
    <w:rsid w:val="00851731"/>
    <w:rsid w:val="00851841"/>
    <w:rsid w:val="00851C6A"/>
    <w:rsid w:val="00851DEB"/>
    <w:rsid w:val="00852AA7"/>
    <w:rsid w:val="00853290"/>
    <w:rsid w:val="00853CCC"/>
    <w:rsid w:val="00854B24"/>
    <w:rsid w:val="008553BA"/>
    <w:rsid w:val="008562C0"/>
    <w:rsid w:val="008562DA"/>
    <w:rsid w:val="00857137"/>
    <w:rsid w:val="008577D2"/>
    <w:rsid w:val="00857C33"/>
    <w:rsid w:val="008605A1"/>
    <w:rsid w:val="008605AE"/>
    <w:rsid w:val="00860E7A"/>
    <w:rsid w:val="00861222"/>
    <w:rsid w:val="00861515"/>
    <w:rsid w:val="00861A22"/>
    <w:rsid w:val="008624B9"/>
    <w:rsid w:val="0086411B"/>
    <w:rsid w:val="00866089"/>
    <w:rsid w:val="00867D8D"/>
    <w:rsid w:val="00870B39"/>
    <w:rsid w:val="00873243"/>
    <w:rsid w:val="00873342"/>
    <w:rsid w:val="0087385A"/>
    <w:rsid w:val="008740D6"/>
    <w:rsid w:val="0087415A"/>
    <w:rsid w:val="008749FC"/>
    <w:rsid w:val="00874D0D"/>
    <w:rsid w:val="00874FDC"/>
    <w:rsid w:val="0087500A"/>
    <w:rsid w:val="0087633B"/>
    <w:rsid w:val="00876B2E"/>
    <w:rsid w:val="008772A9"/>
    <w:rsid w:val="00877422"/>
    <w:rsid w:val="00877482"/>
    <w:rsid w:val="00877CE7"/>
    <w:rsid w:val="0088161C"/>
    <w:rsid w:val="00881C7E"/>
    <w:rsid w:val="00884B4A"/>
    <w:rsid w:val="008851BD"/>
    <w:rsid w:val="00885701"/>
    <w:rsid w:val="00885D53"/>
    <w:rsid w:val="0088605E"/>
    <w:rsid w:val="00886178"/>
    <w:rsid w:val="00886525"/>
    <w:rsid w:val="00887243"/>
    <w:rsid w:val="00887C6E"/>
    <w:rsid w:val="00887E3D"/>
    <w:rsid w:val="0089040D"/>
    <w:rsid w:val="00890BC7"/>
    <w:rsid w:val="0089127D"/>
    <w:rsid w:val="008919BE"/>
    <w:rsid w:val="0089293F"/>
    <w:rsid w:val="008937C3"/>
    <w:rsid w:val="00893CF8"/>
    <w:rsid w:val="0089458B"/>
    <w:rsid w:val="00894D3D"/>
    <w:rsid w:val="008956D3"/>
    <w:rsid w:val="008958A3"/>
    <w:rsid w:val="00895B79"/>
    <w:rsid w:val="00896952"/>
    <w:rsid w:val="00896A27"/>
    <w:rsid w:val="00896C6B"/>
    <w:rsid w:val="008A04F4"/>
    <w:rsid w:val="008A09E2"/>
    <w:rsid w:val="008A1235"/>
    <w:rsid w:val="008A1742"/>
    <w:rsid w:val="008A2C26"/>
    <w:rsid w:val="008A3323"/>
    <w:rsid w:val="008A3660"/>
    <w:rsid w:val="008A37AE"/>
    <w:rsid w:val="008A5812"/>
    <w:rsid w:val="008A5E0F"/>
    <w:rsid w:val="008A635E"/>
    <w:rsid w:val="008A636D"/>
    <w:rsid w:val="008A6897"/>
    <w:rsid w:val="008A6EE6"/>
    <w:rsid w:val="008A705F"/>
    <w:rsid w:val="008A75AF"/>
    <w:rsid w:val="008A77EE"/>
    <w:rsid w:val="008B12C5"/>
    <w:rsid w:val="008B2FDA"/>
    <w:rsid w:val="008B2FFE"/>
    <w:rsid w:val="008B5807"/>
    <w:rsid w:val="008B5C4F"/>
    <w:rsid w:val="008B60AE"/>
    <w:rsid w:val="008B6634"/>
    <w:rsid w:val="008B717D"/>
    <w:rsid w:val="008B7EBF"/>
    <w:rsid w:val="008C0726"/>
    <w:rsid w:val="008C0CE3"/>
    <w:rsid w:val="008C0D25"/>
    <w:rsid w:val="008C0EF4"/>
    <w:rsid w:val="008C141D"/>
    <w:rsid w:val="008C254D"/>
    <w:rsid w:val="008C2A83"/>
    <w:rsid w:val="008C3381"/>
    <w:rsid w:val="008C35F8"/>
    <w:rsid w:val="008C3717"/>
    <w:rsid w:val="008C3CFA"/>
    <w:rsid w:val="008C4360"/>
    <w:rsid w:val="008C48AC"/>
    <w:rsid w:val="008C4CF6"/>
    <w:rsid w:val="008C5887"/>
    <w:rsid w:val="008C5AA3"/>
    <w:rsid w:val="008C5CA8"/>
    <w:rsid w:val="008C5D59"/>
    <w:rsid w:val="008C6379"/>
    <w:rsid w:val="008C6853"/>
    <w:rsid w:val="008C78AB"/>
    <w:rsid w:val="008C7A61"/>
    <w:rsid w:val="008C7F8F"/>
    <w:rsid w:val="008D0B38"/>
    <w:rsid w:val="008D1131"/>
    <w:rsid w:val="008D12BA"/>
    <w:rsid w:val="008D23CE"/>
    <w:rsid w:val="008D2912"/>
    <w:rsid w:val="008D3248"/>
    <w:rsid w:val="008D42EE"/>
    <w:rsid w:val="008D5C3D"/>
    <w:rsid w:val="008D5DAF"/>
    <w:rsid w:val="008D6963"/>
    <w:rsid w:val="008D6A4E"/>
    <w:rsid w:val="008D6B4C"/>
    <w:rsid w:val="008D6CB0"/>
    <w:rsid w:val="008D75E7"/>
    <w:rsid w:val="008E0356"/>
    <w:rsid w:val="008E07A8"/>
    <w:rsid w:val="008E07F7"/>
    <w:rsid w:val="008E0F82"/>
    <w:rsid w:val="008E1FB9"/>
    <w:rsid w:val="008E24F5"/>
    <w:rsid w:val="008E253C"/>
    <w:rsid w:val="008E2EA1"/>
    <w:rsid w:val="008E44C4"/>
    <w:rsid w:val="008E4F44"/>
    <w:rsid w:val="008E5B00"/>
    <w:rsid w:val="008E6522"/>
    <w:rsid w:val="008E76F1"/>
    <w:rsid w:val="008E7739"/>
    <w:rsid w:val="008E7ABA"/>
    <w:rsid w:val="008E7B11"/>
    <w:rsid w:val="008E7CA2"/>
    <w:rsid w:val="008F0540"/>
    <w:rsid w:val="008F06D9"/>
    <w:rsid w:val="008F083F"/>
    <w:rsid w:val="008F0888"/>
    <w:rsid w:val="008F1881"/>
    <w:rsid w:val="008F2372"/>
    <w:rsid w:val="008F2E0E"/>
    <w:rsid w:val="008F314D"/>
    <w:rsid w:val="008F324D"/>
    <w:rsid w:val="008F34EF"/>
    <w:rsid w:val="008F43B8"/>
    <w:rsid w:val="008F494F"/>
    <w:rsid w:val="008F5042"/>
    <w:rsid w:val="008F58E2"/>
    <w:rsid w:val="008F59F3"/>
    <w:rsid w:val="008F6689"/>
    <w:rsid w:val="008F6D37"/>
    <w:rsid w:val="008F74EB"/>
    <w:rsid w:val="008F770F"/>
    <w:rsid w:val="008F79EB"/>
    <w:rsid w:val="00900649"/>
    <w:rsid w:val="00901938"/>
    <w:rsid w:val="0090266A"/>
    <w:rsid w:val="0090277C"/>
    <w:rsid w:val="00903455"/>
    <w:rsid w:val="00903654"/>
    <w:rsid w:val="00903CD6"/>
    <w:rsid w:val="00903F47"/>
    <w:rsid w:val="009041FB"/>
    <w:rsid w:val="009042C3"/>
    <w:rsid w:val="009043C7"/>
    <w:rsid w:val="00904608"/>
    <w:rsid w:val="00904735"/>
    <w:rsid w:val="00904859"/>
    <w:rsid w:val="00905704"/>
    <w:rsid w:val="00907297"/>
    <w:rsid w:val="009114CE"/>
    <w:rsid w:val="00911834"/>
    <w:rsid w:val="009123D3"/>
    <w:rsid w:val="0091337D"/>
    <w:rsid w:val="009140EF"/>
    <w:rsid w:val="00914244"/>
    <w:rsid w:val="009142A8"/>
    <w:rsid w:val="009144C1"/>
    <w:rsid w:val="009145DC"/>
    <w:rsid w:val="00914B8F"/>
    <w:rsid w:val="00915301"/>
    <w:rsid w:val="00915F18"/>
    <w:rsid w:val="009167C3"/>
    <w:rsid w:val="00916F5B"/>
    <w:rsid w:val="009172C6"/>
    <w:rsid w:val="00917AE5"/>
    <w:rsid w:val="009211AD"/>
    <w:rsid w:val="00921D9A"/>
    <w:rsid w:val="00922EB3"/>
    <w:rsid w:val="00923FA2"/>
    <w:rsid w:val="00924359"/>
    <w:rsid w:val="009261FA"/>
    <w:rsid w:val="009276A5"/>
    <w:rsid w:val="009309CC"/>
    <w:rsid w:val="00930F42"/>
    <w:rsid w:val="00932E0A"/>
    <w:rsid w:val="00933380"/>
    <w:rsid w:val="00935259"/>
    <w:rsid w:val="00936DB9"/>
    <w:rsid w:val="00940B99"/>
    <w:rsid w:val="00940E08"/>
    <w:rsid w:val="00941C16"/>
    <w:rsid w:val="00942158"/>
    <w:rsid w:val="00942632"/>
    <w:rsid w:val="00943616"/>
    <w:rsid w:val="00943852"/>
    <w:rsid w:val="009451B8"/>
    <w:rsid w:val="00945446"/>
    <w:rsid w:val="00945DD2"/>
    <w:rsid w:val="00945FEC"/>
    <w:rsid w:val="0094610C"/>
    <w:rsid w:val="00946E12"/>
    <w:rsid w:val="00950367"/>
    <w:rsid w:val="00950B2D"/>
    <w:rsid w:val="00950C31"/>
    <w:rsid w:val="00950FCA"/>
    <w:rsid w:val="009524AC"/>
    <w:rsid w:val="00952711"/>
    <w:rsid w:val="009527F1"/>
    <w:rsid w:val="00952911"/>
    <w:rsid w:val="009529CB"/>
    <w:rsid w:val="00952D0A"/>
    <w:rsid w:val="00953F58"/>
    <w:rsid w:val="0095486B"/>
    <w:rsid w:val="00954BA1"/>
    <w:rsid w:val="0095519B"/>
    <w:rsid w:val="00955A37"/>
    <w:rsid w:val="00955A52"/>
    <w:rsid w:val="00955CB3"/>
    <w:rsid w:val="009561A7"/>
    <w:rsid w:val="00957142"/>
    <w:rsid w:val="0096043F"/>
    <w:rsid w:val="009604E6"/>
    <w:rsid w:val="009608AE"/>
    <w:rsid w:val="00960EAC"/>
    <w:rsid w:val="00961223"/>
    <w:rsid w:val="00961312"/>
    <w:rsid w:val="009614FF"/>
    <w:rsid w:val="0096165D"/>
    <w:rsid w:val="009617AF"/>
    <w:rsid w:val="00961865"/>
    <w:rsid w:val="009618AD"/>
    <w:rsid w:val="00961C05"/>
    <w:rsid w:val="00962027"/>
    <w:rsid w:val="00962256"/>
    <w:rsid w:val="009625A0"/>
    <w:rsid w:val="00963766"/>
    <w:rsid w:val="00964CB7"/>
    <w:rsid w:val="00965657"/>
    <w:rsid w:val="00965E00"/>
    <w:rsid w:val="00966029"/>
    <w:rsid w:val="009663CA"/>
    <w:rsid w:val="00966786"/>
    <w:rsid w:val="009671C5"/>
    <w:rsid w:val="00967472"/>
    <w:rsid w:val="00967B47"/>
    <w:rsid w:val="009707B8"/>
    <w:rsid w:val="00970F24"/>
    <w:rsid w:val="00971908"/>
    <w:rsid w:val="00972497"/>
    <w:rsid w:val="00973FBE"/>
    <w:rsid w:val="00974600"/>
    <w:rsid w:val="00974D31"/>
    <w:rsid w:val="009753C3"/>
    <w:rsid w:val="0097569F"/>
    <w:rsid w:val="009762C5"/>
    <w:rsid w:val="00977BAA"/>
    <w:rsid w:val="00977C31"/>
    <w:rsid w:val="00980415"/>
    <w:rsid w:val="009808A3"/>
    <w:rsid w:val="00980A05"/>
    <w:rsid w:val="00980EDA"/>
    <w:rsid w:val="00981B6C"/>
    <w:rsid w:val="00982866"/>
    <w:rsid w:val="009831CF"/>
    <w:rsid w:val="0098460E"/>
    <w:rsid w:val="00984692"/>
    <w:rsid w:val="00984A31"/>
    <w:rsid w:val="0098519E"/>
    <w:rsid w:val="009858D0"/>
    <w:rsid w:val="00985BBF"/>
    <w:rsid w:val="00985BE2"/>
    <w:rsid w:val="0098643C"/>
    <w:rsid w:val="009868A5"/>
    <w:rsid w:val="00987AD9"/>
    <w:rsid w:val="00990360"/>
    <w:rsid w:val="009905DF"/>
    <w:rsid w:val="00990A1F"/>
    <w:rsid w:val="00990FDD"/>
    <w:rsid w:val="00992261"/>
    <w:rsid w:val="0099273E"/>
    <w:rsid w:val="009930CF"/>
    <w:rsid w:val="009932AB"/>
    <w:rsid w:val="009932BE"/>
    <w:rsid w:val="009934BB"/>
    <w:rsid w:val="00993890"/>
    <w:rsid w:val="00993CB5"/>
    <w:rsid w:val="00994291"/>
    <w:rsid w:val="009947B6"/>
    <w:rsid w:val="0099500F"/>
    <w:rsid w:val="00995A6E"/>
    <w:rsid w:val="00996371"/>
    <w:rsid w:val="00997651"/>
    <w:rsid w:val="00997741"/>
    <w:rsid w:val="009A017F"/>
    <w:rsid w:val="009A2B5A"/>
    <w:rsid w:val="009A3333"/>
    <w:rsid w:val="009A351A"/>
    <w:rsid w:val="009A4386"/>
    <w:rsid w:val="009A4A64"/>
    <w:rsid w:val="009A4ED6"/>
    <w:rsid w:val="009A5AC0"/>
    <w:rsid w:val="009A5B64"/>
    <w:rsid w:val="009A60C4"/>
    <w:rsid w:val="009A6255"/>
    <w:rsid w:val="009A6495"/>
    <w:rsid w:val="009A775B"/>
    <w:rsid w:val="009B0924"/>
    <w:rsid w:val="009B1E9A"/>
    <w:rsid w:val="009B2A8B"/>
    <w:rsid w:val="009B2AB5"/>
    <w:rsid w:val="009B316D"/>
    <w:rsid w:val="009B465F"/>
    <w:rsid w:val="009B47AE"/>
    <w:rsid w:val="009B55B3"/>
    <w:rsid w:val="009B5E7F"/>
    <w:rsid w:val="009B674E"/>
    <w:rsid w:val="009B6EB2"/>
    <w:rsid w:val="009B7546"/>
    <w:rsid w:val="009C0398"/>
    <w:rsid w:val="009C0B96"/>
    <w:rsid w:val="009C1205"/>
    <w:rsid w:val="009C1240"/>
    <w:rsid w:val="009C2915"/>
    <w:rsid w:val="009C32D4"/>
    <w:rsid w:val="009C36A3"/>
    <w:rsid w:val="009C4B06"/>
    <w:rsid w:val="009C5070"/>
    <w:rsid w:val="009C5B65"/>
    <w:rsid w:val="009C67CE"/>
    <w:rsid w:val="009C6AF3"/>
    <w:rsid w:val="009C6FEE"/>
    <w:rsid w:val="009C73AD"/>
    <w:rsid w:val="009C770D"/>
    <w:rsid w:val="009C7BC0"/>
    <w:rsid w:val="009C7DD4"/>
    <w:rsid w:val="009D03E0"/>
    <w:rsid w:val="009D10BD"/>
    <w:rsid w:val="009D238E"/>
    <w:rsid w:val="009D2C9E"/>
    <w:rsid w:val="009D398B"/>
    <w:rsid w:val="009D4188"/>
    <w:rsid w:val="009D4EA3"/>
    <w:rsid w:val="009D5AC8"/>
    <w:rsid w:val="009D5E94"/>
    <w:rsid w:val="009D670B"/>
    <w:rsid w:val="009D6A62"/>
    <w:rsid w:val="009D6D21"/>
    <w:rsid w:val="009D7C4F"/>
    <w:rsid w:val="009E0DEA"/>
    <w:rsid w:val="009E1564"/>
    <w:rsid w:val="009E1935"/>
    <w:rsid w:val="009E1D1D"/>
    <w:rsid w:val="009E2A65"/>
    <w:rsid w:val="009E3EAC"/>
    <w:rsid w:val="009E4013"/>
    <w:rsid w:val="009E493F"/>
    <w:rsid w:val="009E5233"/>
    <w:rsid w:val="009E5C3A"/>
    <w:rsid w:val="009E6122"/>
    <w:rsid w:val="009E62CA"/>
    <w:rsid w:val="009E6ED7"/>
    <w:rsid w:val="009E78F1"/>
    <w:rsid w:val="009F07F0"/>
    <w:rsid w:val="009F16DE"/>
    <w:rsid w:val="009F1734"/>
    <w:rsid w:val="009F1885"/>
    <w:rsid w:val="009F1974"/>
    <w:rsid w:val="009F206A"/>
    <w:rsid w:val="009F25A2"/>
    <w:rsid w:val="009F2A80"/>
    <w:rsid w:val="009F2C21"/>
    <w:rsid w:val="009F3AB8"/>
    <w:rsid w:val="009F3E2C"/>
    <w:rsid w:val="009F499D"/>
    <w:rsid w:val="009F4ECB"/>
    <w:rsid w:val="009F58DC"/>
    <w:rsid w:val="009F5E48"/>
    <w:rsid w:val="009F64B6"/>
    <w:rsid w:val="009F6A17"/>
    <w:rsid w:val="009F742B"/>
    <w:rsid w:val="009F7459"/>
    <w:rsid w:val="009F78E5"/>
    <w:rsid w:val="009F7FA8"/>
    <w:rsid w:val="00A0080B"/>
    <w:rsid w:val="00A00A01"/>
    <w:rsid w:val="00A00BC2"/>
    <w:rsid w:val="00A013AF"/>
    <w:rsid w:val="00A0143F"/>
    <w:rsid w:val="00A019E6"/>
    <w:rsid w:val="00A01E01"/>
    <w:rsid w:val="00A02496"/>
    <w:rsid w:val="00A0282F"/>
    <w:rsid w:val="00A0344E"/>
    <w:rsid w:val="00A041FA"/>
    <w:rsid w:val="00A049E9"/>
    <w:rsid w:val="00A04BBB"/>
    <w:rsid w:val="00A06143"/>
    <w:rsid w:val="00A06EE5"/>
    <w:rsid w:val="00A07670"/>
    <w:rsid w:val="00A07717"/>
    <w:rsid w:val="00A07A61"/>
    <w:rsid w:val="00A07AE0"/>
    <w:rsid w:val="00A101BC"/>
    <w:rsid w:val="00A10482"/>
    <w:rsid w:val="00A10725"/>
    <w:rsid w:val="00A108ED"/>
    <w:rsid w:val="00A109AA"/>
    <w:rsid w:val="00A10ACD"/>
    <w:rsid w:val="00A11C9D"/>
    <w:rsid w:val="00A11DCE"/>
    <w:rsid w:val="00A1222E"/>
    <w:rsid w:val="00A12369"/>
    <w:rsid w:val="00A128AC"/>
    <w:rsid w:val="00A12EBF"/>
    <w:rsid w:val="00A13680"/>
    <w:rsid w:val="00A13A9B"/>
    <w:rsid w:val="00A1459E"/>
    <w:rsid w:val="00A146E0"/>
    <w:rsid w:val="00A14903"/>
    <w:rsid w:val="00A14B9A"/>
    <w:rsid w:val="00A150AC"/>
    <w:rsid w:val="00A158D4"/>
    <w:rsid w:val="00A15966"/>
    <w:rsid w:val="00A16346"/>
    <w:rsid w:val="00A178B6"/>
    <w:rsid w:val="00A204BD"/>
    <w:rsid w:val="00A21363"/>
    <w:rsid w:val="00A21983"/>
    <w:rsid w:val="00A221DD"/>
    <w:rsid w:val="00A223B1"/>
    <w:rsid w:val="00A23B89"/>
    <w:rsid w:val="00A23F0A"/>
    <w:rsid w:val="00A24211"/>
    <w:rsid w:val="00A24596"/>
    <w:rsid w:val="00A2482B"/>
    <w:rsid w:val="00A249A6"/>
    <w:rsid w:val="00A24D9E"/>
    <w:rsid w:val="00A256A1"/>
    <w:rsid w:val="00A2630D"/>
    <w:rsid w:val="00A26BC3"/>
    <w:rsid w:val="00A27828"/>
    <w:rsid w:val="00A27899"/>
    <w:rsid w:val="00A27946"/>
    <w:rsid w:val="00A27BA5"/>
    <w:rsid w:val="00A27EC7"/>
    <w:rsid w:val="00A308AA"/>
    <w:rsid w:val="00A309EE"/>
    <w:rsid w:val="00A31862"/>
    <w:rsid w:val="00A32EDB"/>
    <w:rsid w:val="00A33C79"/>
    <w:rsid w:val="00A34058"/>
    <w:rsid w:val="00A34198"/>
    <w:rsid w:val="00A348AE"/>
    <w:rsid w:val="00A353B1"/>
    <w:rsid w:val="00A3694C"/>
    <w:rsid w:val="00A36FD7"/>
    <w:rsid w:val="00A37580"/>
    <w:rsid w:val="00A37818"/>
    <w:rsid w:val="00A40773"/>
    <w:rsid w:val="00A41090"/>
    <w:rsid w:val="00A419E4"/>
    <w:rsid w:val="00A42C69"/>
    <w:rsid w:val="00A4336F"/>
    <w:rsid w:val="00A435DC"/>
    <w:rsid w:val="00A437EB"/>
    <w:rsid w:val="00A4493D"/>
    <w:rsid w:val="00A44D6B"/>
    <w:rsid w:val="00A45B2D"/>
    <w:rsid w:val="00A45FE7"/>
    <w:rsid w:val="00A46535"/>
    <w:rsid w:val="00A46967"/>
    <w:rsid w:val="00A469D4"/>
    <w:rsid w:val="00A470E5"/>
    <w:rsid w:val="00A472B4"/>
    <w:rsid w:val="00A47498"/>
    <w:rsid w:val="00A47902"/>
    <w:rsid w:val="00A50104"/>
    <w:rsid w:val="00A506EF"/>
    <w:rsid w:val="00A512A9"/>
    <w:rsid w:val="00A523A1"/>
    <w:rsid w:val="00A523BF"/>
    <w:rsid w:val="00A52F74"/>
    <w:rsid w:val="00A54D31"/>
    <w:rsid w:val="00A5564C"/>
    <w:rsid w:val="00A569EE"/>
    <w:rsid w:val="00A57109"/>
    <w:rsid w:val="00A5711D"/>
    <w:rsid w:val="00A5765C"/>
    <w:rsid w:val="00A57DB3"/>
    <w:rsid w:val="00A601F3"/>
    <w:rsid w:val="00A613E7"/>
    <w:rsid w:val="00A61A1C"/>
    <w:rsid w:val="00A621DD"/>
    <w:rsid w:val="00A630DF"/>
    <w:rsid w:val="00A63A92"/>
    <w:rsid w:val="00A63D69"/>
    <w:rsid w:val="00A642A7"/>
    <w:rsid w:val="00A64D08"/>
    <w:rsid w:val="00A65DE8"/>
    <w:rsid w:val="00A65E51"/>
    <w:rsid w:val="00A6619C"/>
    <w:rsid w:val="00A665B3"/>
    <w:rsid w:val="00A669D0"/>
    <w:rsid w:val="00A66F73"/>
    <w:rsid w:val="00A670D5"/>
    <w:rsid w:val="00A67571"/>
    <w:rsid w:val="00A67665"/>
    <w:rsid w:val="00A706BD"/>
    <w:rsid w:val="00A7113D"/>
    <w:rsid w:val="00A71F04"/>
    <w:rsid w:val="00A72151"/>
    <w:rsid w:val="00A72508"/>
    <w:rsid w:val="00A74A20"/>
    <w:rsid w:val="00A74D22"/>
    <w:rsid w:val="00A76081"/>
    <w:rsid w:val="00A80E99"/>
    <w:rsid w:val="00A810C0"/>
    <w:rsid w:val="00A82281"/>
    <w:rsid w:val="00A83BE2"/>
    <w:rsid w:val="00A843F6"/>
    <w:rsid w:val="00A846E9"/>
    <w:rsid w:val="00A84B17"/>
    <w:rsid w:val="00A85212"/>
    <w:rsid w:val="00A85603"/>
    <w:rsid w:val="00A8588C"/>
    <w:rsid w:val="00A86212"/>
    <w:rsid w:val="00A86486"/>
    <w:rsid w:val="00A9023D"/>
    <w:rsid w:val="00A906AF"/>
    <w:rsid w:val="00A921CB"/>
    <w:rsid w:val="00A926B5"/>
    <w:rsid w:val="00A927F5"/>
    <w:rsid w:val="00A93C42"/>
    <w:rsid w:val="00A94CDA"/>
    <w:rsid w:val="00A95BF8"/>
    <w:rsid w:val="00A970EB"/>
    <w:rsid w:val="00A977A0"/>
    <w:rsid w:val="00AA0A2A"/>
    <w:rsid w:val="00AA109B"/>
    <w:rsid w:val="00AA1362"/>
    <w:rsid w:val="00AA237F"/>
    <w:rsid w:val="00AA2732"/>
    <w:rsid w:val="00AA2D94"/>
    <w:rsid w:val="00AA3C6E"/>
    <w:rsid w:val="00AA47BE"/>
    <w:rsid w:val="00AA54C8"/>
    <w:rsid w:val="00AA59CD"/>
    <w:rsid w:val="00AA6975"/>
    <w:rsid w:val="00AA7091"/>
    <w:rsid w:val="00AB0732"/>
    <w:rsid w:val="00AB09E2"/>
    <w:rsid w:val="00AB171D"/>
    <w:rsid w:val="00AB1E4C"/>
    <w:rsid w:val="00AB224F"/>
    <w:rsid w:val="00AB36AB"/>
    <w:rsid w:val="00AB3CB2"/>
    <w:rsid w:val="00AB5B01"/>
    <w:rsid w:val="00AB5C55"/>
    <w:rsid w:val="00AB5EC2"/>
    <w:rsid w:val="00AB5F3E"/>
    <w:rsid w:val="00AB5F83"/>
    <w:rsid w:val="00AB7098"/>
    <w:rsid w:val="00AB71D0"/>
    <w:rsid w:val="00AB79AC"/>
    <w:rsid w:val="00AC00E4"/>
    <w:rsid w:val="00AC0A03"/>
    <w:rsid w:val="00AC0A50"/>
    <w:rsid w:val="00AC0D42"/>
    <w:rsid w:val="00AC17A3"/>
    <w:rsid w:val="00AC1D1A"/>
    <w:rsid w:val="00AC1E6C"/>
    <w:rsid w:val="00AC20BF"/>
    <w:rsid w:val="00AC23C2"/>
    <w:rsid w:val="00AC278A"/>
    <w:rsid w:val="00AC2B39"/>
    <w:rsid w:val="00AC3160"/>
    <w:rsid w:val="00AC4375"/>
    <w:rsid w:val="00AC4541"/>
    <w:rsid w:val="00AC4BA8"/>
    <w:rsid w:val="00AC5FAF"/>
    <w:rsid w:val="00AC6470"/>
    <w:rsid w:val="00AC6829"/>
    <w:rsid w:val="00AC6D79"/>
    <w:rsid w:val="00AC6FCA"/>
    <w:rsid w:val="00AC7DB1"/>
    <w:rsid w:val="00AD0B4E"/>
    <w:rsid w:val="00AD0E8E"/>
    <w:rsid w:val="00AD17F9"/>
    <w:rsid w:val="00AD1A15"/>
    <w:rsid w:val="00AD2731"/>
    <w:rsid w:val="00AD2D6A"/>
    <w:rsid w:val="00AD41FD"/>
    <w:rsid w:val="00AD5644"/>
    <w:rsid w:val="00AD572C"/>
    <w:rsid w:val="00AD5D5D"/>
    <w:rsid w:val="00AD6062"/>
    <w:rsid w:val="00AD6514"/>
    <w:rsid w:val="00AD6677"/>
    <w:rsid w:val="00AD68E1"/>
    <w:rsid w:val="00AD7476"/>
    <w:rsid w:val="00AD799D"/>
    <w:rsid w:val="00AD7A1B"/>
    <w:rsid w:val="00AE12F2"/>
    <w:rsid w:val="00AE206C"/>
    <w:rsid w:val="00AE2FF9"/>
    <w:rsid w:val="00AE3388"/>
    <w:rsid w:val="00AE3B99"/>
    <w:rsid w:val="00AE4A56"/>
    <w:rsid w:val="00AE5E22"/>
    <w:rsid w:val="00AE676A"/>
    <w:rsid w:val="00AF099F"/>
    <w:rsid w:val="00AF1998"/>
    <w:rsid w:val="00AF28B9"/>
    <w:rsid w:val="00AF2949"/>
    <w:rsid w:val="00AF2A86"/>
    <w:rsid w:val="00AF2BD8"/>
    <w:rsid w:val="00AF2E22"/>
    <w:rsid w:val="00AF3E62"/>
    <w:rsid w:val="00AF4BCF"/>
    <w:rsid w:val="00AF563A"/>
    <w:rsid w:val="00AF5DEB"/>
    <w:rsid w:val="00AF6548"/>
    <w:rsid w:val="00AF6A22"/>
    <w:rsid w:val="00AF6CD1"/>
    <w:rsid w:val="00AF7255"/>
    <w:rsid w:val="00AF77B1"/>
    <w:rsid w:val="00AF7E9B"/>
    <w:rsid w:val="00B00791"/>
    <w:rsid w:val="00B007C0"/>
    <w:rsid w:val="00B03464"/>
    <w:rsid w:val="00B035E9"/>
    <w:rsid w:val="00B037A9"/>
    <w:rsid w:val="00B03EB3"/>
    <w:rsid w:val="00B04545"/>
    <w:rsid w:val="00B04AB3"/>
    <w:rsid w:val="00B05E93"/>
    <w:rsid w:val="00B0769E"/>
    <w:rsid w:val="00B105F1"/>
    <w:rsid w:val="00B10837"/>
    <w:rsid w:val="00B10A7E"/>
    <w:rsid w:val="00B10BF4"/>
    <w:rsid w:val="00B119A0"/>
    <w:rsid w:val="00B11C76"/>
    <w:rsid w:val="00B12DE5"/>
    <w:rsid w:val="00B149CC"/>
    <w:rsid w:val="00B152E5"/>
    <w:rsid w:val="00B153AC"/>
    <w:rsid w:val="00B16E73"/>
    <w:rsid w:val="00B16FAB"/>
    <w:rsid w:val="00B20086"/>
    <w:rsid w:val="00B20409"/>
    <w:rsid w:val="00B20732"/>
    <w:rsid w:val="00B20979"/>
    <w:rsid w:val="00B21860"/>
    <w:rsid w:val="00B21EA0"/>
    <w:rsid w:val="00B21FA9"/>
    <w:rsid w:val="00B22392"/>
    <w:rsid w:val="00B22CFB"/>
    <w:rsid w:val="00B22E18"/>
    <w:rsid w:val="00B242DF"/>
    <w:rsid w:val="00B2463B"/>
    <w:rsid w:val="00B24D06"/>
    <w:rsid w:val="00B24FFA"/>
    <w:rsid w:val="00B26DED"/>
    <w:rsid w:val="00B26EE8"/>
    <w:rsid w:val="00B26FFE"/>
    <w:rsid w:val="00B27A97"/>
    <w:rsid w:val="00B27FC3"/>
    <w:rsid w:val="00B306F8"/>
    <w:rsid w:val="00B307CD"/>
    <w:rsid w:val="00B30B41"/>
    <w:rsid w:val="00B30E32"/>
    <w:rsid w:val="00B314A6"/>
    <w:rsid w:val="00B33273"/>
    <w:rsid w:val="00B33DD6"/>
    <w:rsid w:val="00B34321"/>
    <w:rsid w:val="00B34BE5"/>
    <w:rsid w:val="00B34D14"/>
    <w:rsid w:val="00B35B78"/>
    <w:rsid w:val="00B35CD7"/>
    <w:rsid w:val="00B36149"/>
    <w:rsid w:val="00B366E8"/>
    <w:rsid w:val="00B36FF8"/>
    <w:rsid w:val="00B37264"/>
    <w:rsid w:val="00B4062F"/>
    <w:rsid w:val="00B40E10"/>
    <w:rsid w:val="00B4133D"/>
    <w:rsid w:val="00B41777"/>
    <w:rsid w:val="00B41A64"/>
    <w:rsid w:val="00B42E0A"/>
    <w:rsid w:val="00B42E91"/>
    <w:rsid w:val="00B43D10"/>
    <w:rsid w:val="00B4419C"/>
    <w:rsid w:val="00B44378"/>
    <w:rsid w:val="00B445F3"/>
    <w:rsid w:val="00B4507C"/>
    <w:rsid w:val="00B4633E"/>
    <w:rsid w:val="00B46BC3"/>
    <w:rsid w:val="00B46EDA"/>
    <w:rsid w:val="00B474D0"/>
    <w:rsid w:val="00B478D0"/>
    <w:rsid w:val="00B47AE5"/>
    <w:rsid w:val="00B50968"/>
    <w:rsid w:val="00B50BBE"/>
    <w:rsid w:val="00B50EDF"/>
    <w:rsid w:val="00B51565"/>
    <w:rsid w:val="00B51A21"/>
    <w:rsid w:val="00B51DF4"/>
    <w:rsid w:val="00B51FE4"/>
    <w:rsid w:val="00B52241"/>
    <w:rsid w:val="00B52C1B"/>
    <w:rsid w:val="00B5344A"/>
    <w:rsid w:val="00B53450"/>
    <w:rsid w:val="00B53AF4"/>
    <w:rsid w:val="00B54393"/>
    <w:rsid w:val="00B54E47"/>
    <w:rsid w:val="00B54FAF"/>
    <w:rsid w:val="00B5527C"/>
    <w:rsid w:val="00B5675A"/>
    <w:rsid w:val="00B609E7"/>
    <w:rsid w:val="00B60F6E"/>
    <w:rsid w:val="00B61595"/>
    <w:rsid w:val="00B61DF4"/>
    <w:rsid w:val="00B62183"/>
    <w:rsid w:val="00B6233C"/>
    <w:rsid w:val="00B62640"/>
    <w:rsid w:val="00B62FE4"/>
    <w:rsid w:val="00B630DC"/>
    <w:rsid w:val="00B642C3"/>
    <w:rsid w:val="00B64605"/>
    <w:rsid w:val="00B65945"/>
    <w:rsid w:val="00B6594B"/>
    <w:rsid w:val="00B659E7"/>
    <w:rsid w:val="00B65E27"/>
    <w:rsid w:val="00B667D8"/>
    <w:rsid w:val="00B67119"/>
    <w:rsid w:val="00B67CA3"/>
    <w:rsid w:val="00B67E85"/>
    <w:rsid w:val="00B70733"/>
    <w:rsid w:val="00B70EA6"/>
    <w:rsid w:val="00B70EC3"/>
    <w:rsid w:val="00B70F38"/>
    <w:rsid w:val="00B71161"/>
    <w:rsid w:val="00B713AF"/>
    <w:rsid w:val="00B719FD"/>
    <w:rsid w:val="00B7299C"/>
    <w:rsid w:val="00B72EC0"/>
    <w:rsid w:val="00B739A5"/>
    <w:rsid w:val="00B74694"/>
    <w:rsid w:val="00B74A3B"/>
    <w:rsid w:val="00B7556C"/>
    <w:rsid w:val="00B7592F"/>
    <w:rsid w:val="00B7647D"/>
    <w:rsid w:val="00B766A2"/>
    <w:rsid w:val="00B76ADF"/>
    <w:rsid w:val="00B76B6D"/>
    <w:rsid w:val="00B76DAB"/>
    <w:rsid w:val="00B77DDD"/>
    <w:rsid w:val="00B804E7"/>
    <w:rsid w:val="00B8050B"/>
    <w:rsid w:val="00B8066E"/>
    <w:rsid w:val="00B80C23"/>
    <w:rsid w:val="00B80EC6"/>
    <w:rsid w:val="00B820A0"/>
    <w:rsid w:val="00B83155"/>
    <w:rsid w:val="00B83881"/>
    <w:rsid w:val="00B838ED"/>
    <w:rsid w:val="00B839A9"/>
    <w:rsid w:val="00B83B0C"/>
    <w:rsid w:val="00B84631"/>
    <w:rsid w:val="00B8508A"/>
    <w:rsid w:val="00B85D9B"/>
    <w:rsid w:val="00B872F8"/>
    <w:rsid w:val="00B873A0"/>
    <w:rsid w:val="00B87719"/>
    <w:rsid w:val="00B8793B"/>
    <w:rsid w:val="00B87C1C"/>
    <w:rsid w:val="00B90206"/>
    <w:rsid w:val="00B904AE"/>
    <w:rsid w:val="00B909C4"/>
    <w:rsid w:val="00B90EDC"/>
    <w:rsid w:val="00B91B87"/>
    <w:rsid w:val="00B92019"/>
    <w:rsid w:val="00B92EE9"/>
    <w:rsid w:val="00B9314E"/>
    <w:rsid w:val="00B9317E"/>
    <w:rsid w:val="00B9352B"/>
    <w:rsid w:val="00B93690"/>
    <w:rsid w:val="00B947CB"/>
    <w:rsid w:val="00B94ED2"/>
    <w:rsid w:val="00B9515E"/>
    <w:rsid w:val="00B95D17"/>
    <w:rsid w:val="00B96489"/>
    <w:rsid w:val="00B96BFC"/>
    <w:rsid w:val="00B97683"/>
    <w:rsid w:val="00B97A9A"/>
    <w:rsid w:val="00BA07A1"/>
    <w:rsid w:val="00BA0E6C"/>
    <w:rsid w:val="00BA262C"/>
    <w:rsid w:val="00BA2873"/>
    <w:rsid w:val="00BA2C58"/>
    <w:rsid w:val="00BA3149"/>
    <w:rsid w:val="00BA360D"/>
    <w:rsid w:val="00BA37E2"/>
    <w:rsid w:val="00BA398C"/>
    <w:rsid w:val="00BA411F"/>
    <w:rsid w:val="00BA4885"/>
    <w:rsid w:val="00BA488E"/>
    <w:rsid w:val="00BA5198"/>
    <w:rsid w:val="00BA5B65"/>
    <w:rsid w:val="00BA5D9C"/>
    <w:rsid w:val="00BA65FA"/>
    <w:rsid w:val="00BA6A2C"/>
    <w:rsid w:val="00BA6AD6"/>
    <w:rsid w:val="00BA74D7"/>
    <w:rsid w:val="00BA77BD"/>
    <w:rsid w:val="00BA799B"/>
    <w:rsid w:val="00BB05B0"/>
    <w:rsid w:val="00BB0835"/>
    <w:rsid w:val="00BB11DE"/>
    <w:rsid w:val="00BB124A"/>
    <w:rsid w:val="00BB1440"/>
    <w:rsid w:val="00BB318C"/>
    <w:rsid w:val="00BB3425"/>
    <w:rsid w:val="00BB3445"/>
    <w:rsid w:val="00BB3F6C"/>
    <w:rsid w:val="00BB4345"/>
    <w:rsid w:val="00BB441B"/>
    <w:rsid w:val="00BB4AF5"/>
    <w:rsid w:val="00BB50C9"/>
    <w:rsid w:val="00BB736F"/>
    <w:rsid w:val="00BC0760"/>
    <w:rsid w:val="00BC0B5F"/>
    <w:rsid w:val="00BC1016"/>
    <w:rsid w:val="00BC22B3"/>
    <w:rsid w:val="00BC22EF"/>
    <w:rsid w:val="00BC2B1C"/>
    <w:rsid w:val="00BC304C"/>
    <w:rsid w:val="00BC45E0"/>
    <w:rsid w:val="00BC5F76"/>
    <w:rsid w:val="00BC625E"/>
    <w:rsid w:val="00BC644E"/>
    <w:rsid w:val="00BC6631"/>
    <w:rsid w:val="00BC692B"/>
    <w:rsid w:val="00BC6A69"/>
    <w:rsid w:val="00BC7079"/>
    <w:rsid w:val="00BC781C"/>
    <w:rsid w:val="00BC7D94"/>
    <w:rsid w:val="00BC7F99"/>
    <w:rsid w:val="00BD046A"/>
    <w:rsid w:val="00BD068C"/>
    <w:rsid w:val="00BD0E23"/>
    <w:rsid w:val="00BD1370"/>
    <w:rsid w:val="00BD281C"/>
    <w:rsid w:val="00BD34F8"/>
    <w:rsid w:val="00BD39C8"/>
    <w:rsid w:val="00BD3AEE"/>
    <w:rsid w:val="00BD3C6F"/>
    <w:rsid w:val="00BD3F22"/>
    <w:rsid w:val="00BD465B"/>
    <w:rsid w:val="00BD47B5"/>
    <w:rsid w:val="00BD5061"/>
    <w:rsid w:val="00BD5879"/>
    <w:rsid w:val="00BD6681"/>
    <w:rsid w:val="00BD66AE"/>
    <w:rsid w:val="00BD7546"/>
    <w:rsid w:val="00BD7996"/>
    <w:rsid w:val="00BE00F5"/>
    <w:rsid w:val="00BE156D"/>
    <w:rsid w:val="00BE1927"/>
    <w:rsid w:val="00BE2353"/>
    <w:rsid w:val="00BE24AE"/>
    <w:rsid w:val="00BE2BE9"/>
    <w:rsid w:val="00BE4406"/>
    <w:rsid w:val="00BE515B"/>
    <w:rsid w:val="00BE587F"/>
    <w:rsid w:val="00BE651E"/>
    <w:rsid w:val="00BE668E"/>
    <w:rsid w:val="00BE6B80"/>
    <w:rsid w:val="00BE732C"/>
    <w:rsid w:val="00BE7663"/>
    <w:rsid w:val="00BF0692"/>
    <w:rsid w:val="00BF0F31"/>
    <w:rsid w:val="00BF2083"/>
    <w:rsid w:val="00BF20CE"/>
    <w:rsid w:val="00BF455C"/>
    <w:rsid w:val="00BF4876"/>
    <w:rsid w:val="00BF4A91"/>
    <w:rsid w:val="00BF4A96"/>
    <w:rsid w:val="00BF4CB0"/>
    <w:rsid w:val="00BF53DC"/>
    <w:rsid w:val="00BF6FDE"/>
    <w:rsid w:val="00BF715C"/>
    <w:rsid w:val="00BF7FC6"/>
    <w:rsid w:val="00C00B67"/>
    <w:rsid w:val="00C00CFA"/>
    <w:rsid w:val="00C01CB3"/>
    <w:rsid w:val="00C027E2"/>
    <w:rsid w:val="00C02B47"/>
    <w:rsid w:val="00C03D07"/>
    <w:rsid w:val="00C057EE"/>
    <w:rsid w:val="00C0634E"/>
    <w:rsid w:val="00C07698"/>
    <w:rsid w:val="00C07CEF"/>
    <w:rsid w:val="00C10324"/>
    <w:rsid w:val="00C10646"/>
    <w:rsid w:val="00C1070C"/>
    <w:rsid w:val="00C10C9D"/>
    <w:rsid w:val="00C114A5"/>
    <w:rsid w:val="00C11A36"/>
    <w:rsid w:val="00C135C7"/>
    <w:rsid w:val="00C13787"/>
    <w:rsid w:val="00C149D6"/>
    <w:rsid w:val="00C14CBF"/>
    <w:rsid w:val="00C158D9"/>
    <w:rsid w:val="00C15AE6"/>
    <w:rsid w:val="00C16409"/>
    <w:rsid w:val="00C16BE1"/>
    <w:rsid w:val="00C17933"/>
    <w:rsid w:val="00C17C13"/>
    <w:rsid w:val="00C17C53"/>
    <w:rsid w:val="00C17CE7"/>
    <w:rsid w:val="00C17FB9"/>
    <w:rsid w:val="00C20B06"/>
    <w:rsid w:val="00C21371"/>
    <w:rsid w:val="00C220E8"/>
    <w:rsid w:val="00C23F36"/>
    <w:rsid w:val="00C241D8"/>
    <w:rsid w:val="00C242DB"/>
    <w:rsid w:val="00C24A9B"/>
    <w:rsid w:val="00C25BAE"/>
    <w:rsid w:val="00C26DA2"/>
    <w:rsid w:val="00C2769E"/>
    <w:rsid w:val="00C27768"/>
    <w:rsid w:val="00C277CA"/>
    <w:rsid w:val="00C30DE4"/>
    <w:rsid w:val="00C30F17"/>
    <w:rsid w:val="00C32936"/>
    <w:rsid w:val="00C33AA4"/>
    <w:rsid w:val="00C34210"/>
    <w:rsid w:val="00C34546"/>
    <w:rsid w:val="00C3497C"/>
    <w:rsid w:val="00C34E28"/>
    <w:rsid w:val="00C357BB"/>
    <w:rsid w:val="00C36096"/>
    <w:rsid w:val="00C36573"/>
    <w:rsid w:val="00C368A0"/>
    <w:rsid w:val="00C370BA"/>
    <w:rsid w:val="00C37B59"/>
    <w:rsid w:val="00C37F2F"/>
    <w:rsid w:val="00C401C9"/>
    <w:rsid w:val="00C40324"/>
    <w:rsid w:val="00C40598"/>
    <w:rsid w:val="00C41105"/>
    <w:rsid w:val="00C412C9"/>
    <w:rsid w:val="00C432FB"/>
    <w:rsid w:val="00C435C8"/>
    <w:rsid w:val="00C43D58"/>
    <w:rsid w:val="00C443A0"/>
    <w:rsid w:val="00C44517"/>
    <w:rsid w:val="00C44771"/>
    <w:rsid w:val="00C448FB"/>
    <w:rsid w:val="00C45DF9"/>
    <w:rsid w:val="00C47B12"/>
    <w:rsid w:val="00C47C8D"/>
    <w:rsid w:val="00C50A89"/>
    <w:rsid w:val="00C5189D"/>
    <w:rsid w:val="00C521B8"/>
    <w:rsid w:val="00C525BA"/>
    <w:rsid w:val="00C54E27"/>
    <w:rsid w:val="00C5561F"/>
    <w:rsid w:val="00C5649A"/>
    <w:rsid w:val="00C56856"/>
    <w:rsid w:val="00C56F54"/>
    <w:rsid w:val="00C574ED"/>
    <w:rsid w:val="00C57EFA"/>
    <w:rsid w:val="00C6068B"/>
    <w:rsid w:val="00C616A8"/>
    <w:rsid w:val="00C616D7"/>
    <w:rsid w:val="00C61930"/>
    <w:rsid w:val="00C61AE6"/>
    <w:rsid w:val="00C61F09"/>
    <w:rsid w:val="00C61F56"/>
    <w:rsid w:val="00C62B44"/>
    <w:rsid w:val="00C633A0"/>
    <w:rsid w:val="00C634D3"/>
    <w:rsid w:val="00C644C9"/>
    <w:rsid w:val="00C645B8"/>
    <w:rsid w:val="00C6584A"/>
    <w:rsid w:val="00C66569"/>
    <w:rsid w:val="00C66757"/>
    <w:rsid w:val="00C66947"/>
    <w:rsid w:val="00C67145"/>
    <w:rsid w:val="00C676FC"/>
    <w:rsid w:val="00C67D69"/>
    <w:rsid w:val="00C71570"/>
    <w:rsid w:val="00C71614"/>
    <w:rsid w:val="00C728B2"/>
    <w:rsid w:val="00C72D7E"/>
    <w:rsid w:val="00C730AF"/>
    <w:rsid w:val="00C7433B"/>
    <w:rsid w:val="00C74841"/>
    <w:rsid w:val="00C74C6E"/>
    <w:rsid w:val="00C75425"/>
    <w:rsid w:val="00C75698"/>
    <w:rsid w:val="00C75FAC"/>
    <w:rsid w:val="00C81507"/>
    <w:rsid w:val="00C81884"/>
    <w:rsid w:val="00C8194B"/>
    <w:rsid w:val="00C81982"/>
    <w:rsid w:val="00C82104"/>
    <w:rsid w:val="00C8260C"/>
    <w:rsid w:val="00C82669"/>
    <w:rsid w:val="00C832EA"/>
    <w:rsid w:val="00C83958"/>
    <w:rsid w:val="00C84C9E"/>
    <w:rsid w:val="00C84FDD"/>
    <w:rsid w:val="00C8583E"/>
    <w:rsid w:val="00C85B79"/>
    <w:rsid w:val="00C8606C"/>
    <w:rsid w:val="00C86245"/>
    <w:rsid w:val="00C87007"/>
    <w:rsid w:val="00C873EB"/>
    <w:rsid w:val="00C879DE"/>
    <w:rsid w:val="00C87DAC"/>
    <w:rsid w:val="00C90172"/>
    <w:rsid w:val="00C93830"/>
    <w:rsid w:val="00C93E11"/>
    <w:rsid w:val="00C95924"/>
    <w:rsid w:val="00C96579"/>
    <w:rsid w:val="00C96B2E"/>
    <w:rsid w:val="00C97559"/>
    <w:rsid w:val="00CA0553"/>
    <w:rsid w:val="00CA0734"/>
    <w:rsid w:val="00CA10C5"/>
    <w:rsid w:val="00CA1C00"/>
    <w:rsid w:val="00CA2560"/>
    <w:rsid w:val="00CA25B0"/>
    <w:rsid w:val="00CA2A6B"/>
    <w:rsid w:val="00CA3907"/>
    <w:rsid w:val="00CA39B0"/>
    <w:rsid w:val="00CA3FC2"/>
    <w:rsid w:val="00CA47AF"/>
    <w:rsid w:val="00CA4DBD"/>
    <w:rsid w:val="00CA5AE0"/>
    <w:rsid w:val="00CA707B"/>
    <w:rsid w:val="00CA7707"/>
    <w:rsid w:val="00CB097F"/>
    <w:rsid w:val="00CB13E4"/>
    <w:rsid w:val="00CB1E2B"/>
    <w:rsid w:val="00CB218A"/>
    <w:rsid w:val="00CB2799"/>
    <w:rsid w:val="00CB2852"/>
    <w:rsid w:val="00CB2A64"/>
    <w:rsid w:val="00CB2D6E"/>
    <w:rsid w:val="00CB3453"/>
    <w:rsid w:val="00CB366D"/>
    <w:rsid w:val="00CB37CD"/>
    <w:rsid w:val="00CB387A"/>
    <w:rsid w:val="00CB3C09"/>
    <w:rsid w:val="00CB3D17"/>
    <w:rsid w:val="00CB4089"/>
    <w:rsid w:val="00CB47D0"/>
    <w:rsid w:val="00CB5BE2"/>
    <w:rsid w:val="00CB5D70"/>
    <w:rsid w:val="00CB76C5"/>
    <w:rsid w:val="00CC0897"/>
    <w:rsid w:val="00CC0A05"/>
    <w:rsid w:val="00CC0E40"/>
    <w:rsid w:val="00CC12BF"/>
    <w:rsid w:val="00CC12CE"/>
    <w:rsid w:val="00CC40CC"/>
    <w:rsid w:val="00CC47D9"/>
    <w:rsid w:val="00CC4815"/>
    <w:rsid w:val="00CC48DB"/>
    <w:rsid w:val="00CC4BB1"/>
    <w:rsid w:val="00CC6536"/>
    <w:rsid w:val="00CC69C2"/>
    <w:rsid w:val="00CC6AC0"/>
    <w:rsid w:val="00CC7AEE"/>
    <w:rsid w:val="00CD0042"/>
    <w:rsid w:val="00CD026F"/>
    <w:rsid w:val="00CD036E"/>
    <w:rsid w:val="00CD0D9B"/>
    <w:rsid w:val="00CD108F"/>
    <w:rsid w:val="00CD21E7"/>
    <w:rsid w:val="00CD2200"/>
    <w:rsid w:val="00CD3233"/>
    <w:rsid w:val="00CD3286"/>
    <w:rsid w:val="00CD3465"/>
    <w:rsid w:val="00CD38F1"/>
    <w:rsid w:val="00CD3AA0"/>
    <w:rsid w:val="00CD438E"/>
    <w:rsid w:val="00CD5240"/>
    <w:rsid w:val="00CD547A"/>
    <w:rsid w:val="00CD54C2"/>
    <w:rsid w:val="00CD5554"/>
    <w:rsid w:val="00CD5EEB"/>
    <w:rsid w:val="00CD6D7D"/>
    <w:rsid w:val="00CD771A"/>
    <w:rsid w:val="00CE13C2"/>
    <w:rsid w:val="00CE2CC5"/>
    <w:rsid w:val="00CE3464"/>
    <w:rsid w:val="00CE36E1"/>
    <w:rsid w:val="00CE3797"/>
    <w:rsid w:val="00CE37C5"/>
    <w:rsid w:val="00CE4BB8"/>
    <w:rsid w:val="00CE4D22"/>
    <w:rsid w:val="00CE5CD8"/>
    <w:rsid w:val="00CE5E1C"/>
    <w:rsid w:val="00CE61B8"/>
    <w:rsid w:val="00CE7202"/>
    <w:rsid w:val="00CF04F5"/>
    <w:rsid w:val="00CF075F"/>
    <w:rsid w:val="00CF0E2C"/>
    <w:rsid w:val="00CF1A92"/>
    <w:rsid w:val="00CF2B4F"/>
    <w:rsid w:val="00CF30C5"/>
    <w:rsid w:val="00CF41ED"/>
    <w:rsid w:val="00CF4B6D"/>
    <w:rsid w:val="00CF5310"/>
    <w:rsid w:val="00CF5725"/>
    <w:rsid w:val="00CF573C"/>
    <w:rsid w:val="00CF5791"/>
    <w:rsid w:val="00D008FC"/>
    <w:rsid w:val="00D01580"/>
    <w:rsid w:val="00D02AB0"/>
    <w:rsid w:val="00D04287"/>
    <w:rsid w:val="00D04642"/>
    <w:rsid w:val="00D05C62"/>
    <w:rsid w:val="00D06354"/>
    <w:rsid w:val="00D074D5"/>
    <w:rsid w:val="00D07B79"/>
    <w:rsid w:val="00D1047C"/>
    <w:rsid w:val="00D10CE8"/>
    <w:rsid w:val="00D116CB"/>
    <w:rsid w:val="00D11A9C"/>
    <w:rsid w:val="00D126CD"/>
    <w:rsid w:val="00D12714"/>
    <w:rsid w:val="00D12CC0"/>
    <w:rsid w:val="00D133FA"/>
    <w:rsid w:val="00D13D91"/>
    <w:rsid w:val="00D16706"/>
    <w:rsid w:val="00D167D8"/>
    <w:rsid w:val="00D16EF5"/>
    <w:rsid w:val="00D20218"/>
    <w:rsid w:val="00D20D62"/>
    <w:rsid w:val="00D216F5"/>
    <w:rsid w:val="00D21DDA"/>
    <w:rsid w:val="00D227BD"/>
    <w:rsid w:val="00D24192"/>
    <w:rsid w:val="00D24442"/>
    <w:rsid w:val="00D24953"/>
    <w:rsid w:val="00D24E37"/>
    <w:rsid w:val="00D251C4"/>
    <w:rsid w:val="00D25570"/>
    <w:rsid w:val="00D257E0"/>
    <w:rsid w:val="00D26068"/>
    <w:rsid w:val="00D26341"/>
    <w:rsid w:val="00D26B77"/>
    <w:rsid w:val="00D270A9"/>
    <w:rsid w:val="00D2750E"/>
    <w:rsid w:val="00D27A5C"/>
    <w:rsid w:val="00D31310"/>
    <w:rsid w:val="00D3270E"/>
    <w:rsid w:val="00D3464D"/>
    <w:rsid w:val="00D351A6"/>
    <w:rsid w:val="00D363A8"/>
    <w:rsid w:val="00D36E9B"/>
    <w:rsid w:val="00D374F4"/>
    <w:rsid w:val="00D379C3"/>
    <w:rsid w:val="00D415E1"/>
    <w:rsid w:val="00D41736"/>
    <w:rsid w:val="00D43437"/>
    <w:rsid w:val="00D43659"/>
    <w:rsid w:val="00D43C71"/>
    <w:rsid w:val="00D446A7"/>
    <w:rsid w:val="00D448BD"/>
    <w:rsid w:val="00D45021"/>
    <w:rsid w:val="00D4518D"/>
    <w:rsid w:val="00D457FC"/>
    <w:rsid w:val="00D45C6D"/>
    <w:rsid w:val="00D4633B"/>
    <w:rsid w:val="00D4673D"/>
    <w:rsid w:val="00D46DE7"/>
    <w:rsid w:val="00D50461"/>
    <w:rsid w:val="00D50531"/>
    <w:rsid w:val="00D50C1F"/>
    <w:rsid w:val="00D50D2D"/>
    <w:rsid w:val="00D51E66"/>
    <w:rsid w:val="00D535D4"/>
    <w:rsid w:val="00D53965"/>
    <w:rsid w:val="00D53AD6"/>
    <w:rsid w:val="00D53C55"/>
    <w:rsid w:val="00D53E3A"/>
    <w:rsid w:val="00D53E96"/>
    <w:rsid w:val="00D53FE9"/>
    <w:rsid w:val="00D540BA"/>
    <w:rsid w:val="00D544A5"/>
    <w:rsid w:val="00D552BC"/>
    <w:rsid w:val="00D55552"/>
    <w:rsid w:val="00D56AC7"/>
    <w:rsid w:val="00D56F0F"/>
    <w:rsid w:val="00D5759C"/>
    <w:rsid w:val="00D57A82"/>
    <w:rsid w:val="00D57E06"/>
    <w:rsid w:val="00D603C0"/>
    <w:rsid w:val="00D60D22"/>
    <w:rsid w:val="00D60E63"/>
    <w:rsid w:val="00D616BF"/>
    <w:rsid w:val="00D61B87"/>
    <w:rsid w:val="00D61DD5"/>
    <w:rsid w:val="00D620B3"/>
    <w:rsid w:val="00D6336D"/>
    <w:rsid w:val="00D6367A"/>
    <w:rsid w:val="00D63A41"/>
    <w:rsid w:val="00D63ECF"/>
    <w:rsid w:val="00D64C3B"/>
    <w:rsid w:val="00D64CFA"/>
    <w:rsid w:val="00D64FA8"/>
    <w:rsid w:val="00D659AF"/>
    <w:rsid w:val="00D65CAD"/>
    <w:rsid w:val="00D65D12"/>
    <w:rsid w:val="00D66320"/>
    <w:rsid w:val="00D66777"/>
    <w:rsid w:val="00D66821"/>
    <w:rsid w:val="00D66CA8"/>
    <w:rsid w:val="00D67701"/>
    <w:rsid w:val="00D67C47"/>
    <w:rsid w:val="00D70BEA"/>
    <w:rsid w:val="00D7195D"/>
    <w:rsid w:val="00D71A8C"/>
    <w:rsid w:val="00D71D50"/>
    <w:rsid w:val="00D72FA8"/>
    <w:rsid w:val="00D736CC"/>
    <w:rsid w:val="00D76C5A"/>
    <w:rsid w:val="00D771BB"/>
    <w:rsid w:val="00D77767"/>
    <w:rsid w:val="00D77800"/>
    <w:rsid w:val="00D7791A"/>
    <w:rsid w:val="00D80180"/>
    <w:rsid w:val="00D8031C"/>
    <w:rsid w:val="00D80D09"/>
    <w:rsid w:val="00D80E97"/>
    <w:rsid w:val="00D81BA8"/>
    <w:rsid w:val="00D825CC"/>
    <w:rsid w:val="00D830EE"/>
    <w:rsid w:val="00D836E2"/>
    <w:rsid w:val="00D86811"/>
    <w:rsid w:val="00D86B07"/>
    <w:rsid w:val="00D87078"/>
    <w:rsid w:val="00D87C64"/>
    <w:rsid w:val="00D87F74"/>
    <w:rsid w:val="00D87FE1"/>
    <w:rsid w:val="00D914A7"/>
    <w:rsid w:val="00D918AD"/>
    <w:rsid w:val="00D91B19"/>
    <w:rsid w:val="00D92F16"/>
    <w:rsid w:val="00D9423E"/>
    <w:rsid w:val="00D94D56"/>
    <w:rsid w:val="00D9512F"/>
    <w:rsid w:val="00D952CA"/>
    <w:rsid w:val="00D955F0"/>
    <w:rsid w:val="00D95964"/>
    <w:rsid w:val="00D95CA6"/>
    <w:rsid w:val="00D9672D"/>
    <w:rsid w:val="00D97CA9"/>
    <w:rsid w:val="00DA00FF"/>
    <w:rsid w:val="00DA01F8"/>
    <w:rsid w:val="00DA0811"/>
    <w:rsid w:val="00DA093D"/>
    <w:rsid w:val="00DA1AEA"/>
    <w:rsid w:val="00DA2748"/>
    <w:rsid w:val="00DA3331"/>
    <w:rsid w:val="00DA48B1"/>
    <w:rsid w:val="00DA48F3"/>
    <w:rsid w:val="00DA4BE7"/>
    <w:rsid w:val="00DA4ED9"/>
    <w:rsid w:val="00DA4F3F"/>
    <w:rsid w:val="00DA5192"/>
    <w:rsid w:val="00DA57B3"/>
    <w:rsid w:val="00DA58BE"/>
    <w:rsid w:val="00DA5BAA"/>
    <w:rsid w:val="00DA621E"/>
    <w:rsid w:val="00DA65D7"/>
    <w:rsid w:val="00DA75BD"/>
    <w:rsid w:val="00DB0B8D"/>
    <w:rsid w:val="00DB1120"/>
    <w:rsid w:val="00DB2824"/>
    <w:rsid w:val="00DB3111"/>
    <w:rsid w:val="00DB4C6A"/>
    <w:rsid w:val="00DB4D15"/>
    <w:rsid w:val="00DB4D5B"/>
    <w:rsid w:val="00DB5C43"/>
    <w:rsid w:val="00DB656E"/>
    <w:rsid w:val="00DB66BE"/>
    <w:rsid w:val="00DB6862"/>
    <w:rsid w:val="00DB730A"/>
    <w:rsid w:val="00DB75C6"/>
    <w:rsid w:val="00DB7C99"/>
    <w:rsid w:val="00DB7F46"/>
    <w:rsid w:val="00DC12C0"/>
    <w:rsid w:val="00DC2804"/>
    <w:rsid w:val="00DC3CB0"/>
    <w:rsid w:val="00DC45D0"/>
    <w:rsid w:val="00DC5C16"/>
    <w:rsid w:val="00DC6FD9"/>
    <w:rsid w:val="00DC7740"/>
    <w:rsid w:val="00DD040E"/>
    <w:rsid w:val="00DD1423"/>
    <w:rsid w:val="00DD1474"/>
    <w:rsid w:val="00DD178B"/>
    <w:rsid w:val="00DD21AB"/>
    <w:rsid w:val="00DD25D3"/>
    <w:rsid w:val="00DD2E0C"/>
    <w:rsid w:val="00DD32CC"/>
    <w:rsid w:val="00DD353A"/>
    <w:rsid w:val="00DD3A9D"/>
    <w:rsid w:val="00DD4EA9"/>
    <w:rsid w:val="00DD55D3"/>
    <w:rsid w:val="00DD56D1"/>
    <w:rsid w:val="00DD5ED3"/>
    <w:rsid w:val="00DD5F68"/>
    <w:rsid w:val="00DD716B"/>
    <w:rsid w:val="00DD7C15"/>
    <w:rsid w:val="00DD7D75"/>
    <w:rsid w:val="00DE0E7D"/>
    <w:rsid w:val="00DE1A24"/>
    <w:rsid w:val="00DE28A7"/>
    <w:rsid w:val="00DE2E36"/>
    <w:rsid w:val="00DE306C"/>
    <w:rsid w:val="00DE42E0"/>
    <w:rsid w:val="00DE4685"/>
    <w:rsid w:val="00DE50E1"/>
    <w:rsid w:val="00DF0C56"/>
    <w:rsid w:val="00DF0E69"/>
    <w:rsid w:val="00DF0F2B"/>
    <w:rsid w:val="00DF13D5"/>
    <w:rsid w:val="00DF1466"/>
    <w:rsid w:val="00DF15BB"/>
    <w:rsid w:val="00DF15FB"/>
    <w:rsid w:val="00DF1A40"/>
    <w:rsid w:val="00DF1ED8"/>
    <w:rsid w:val="00DF2BDD"/>
    <w:rsid w:val="00DF3144"/>
    <w:rsid w:val="00DF5BBB"/>
    <w:rsid w:val="00DF6192"/>
    <w:rsid w:val="00DF76D9"/>
    <w:rsid w:val="00DF7AD2"/>
    <w:rsid w:val="00DF7C86"/>
    <w:rsid w:val="00DF7EEE"/>
    <w:rsid w:val="00E00E53"/>
    <w:rsid w:val="00E01B56"/>
    <w:rsid w:val="00E02232"/>
    <w:rsid w:val="00E03165"/>
    <w:rsid w:val="00E04E8F"/>
    <w:rsid w:val="00E05D7C"/>
    <w:rsid w:val="00E05F34"/>
    <w:rsid w:val="00E05FB0"/>
    <w:rsid w:val="00E05FD3"/>
    <w:rsid w:val="00E06126"/>
    <w:rsid w:val="00E068AE"/>
    <w:rsid w:val="00E06900"/>
    <w:rsid w:val="00E07445"/>
    <w:rsid w:val="00E0784F"/>
    <w:rsid w:val="00E07C7C"/>
    <w:rsid w:val="00E10408"/>
    <w:rsid w:val="00E110C8"/>
    <w:rsid w:val="00E126B1"/>
    <w:rsid w:val="00E1334D"/>
    <w:rsid w:val="00E1350D"/>
    <w:rsid w:val="00E14015"/>
    <w:rsid w:val="00E14B07"/>
    <w:rsid w:val="00E1526B"/>
    <w:rsid w:val="00E159D6"/>
    <w:rsid w:val="00E15CDC"/>
    <w:rsid w:val="00E15E08"/>
    <w:rsid w:val="00E15FBD"/>
    <w:rsid w:val="00E1663D"/>
    <w:rsid w:val="00E16788"/>
    <w:rsid w:val="00E17639"/>
    <w:rsid w:val="00E20B99"/>
    <w:rsid w:val="00E21846"/>
    <w:rsid w:val="00E21EFA"/>
    <w:rsid w:val="00E22911"/>
    <w:rsid w:val="00E23B11"/>
    <w:rsid w:val="00E240AE"/>
    <w:rsid w:val="00E24BAE"/>
    <w:rsid w:val="00E25054"/>
    <w:rsid w:val="00E25785"/>
    <w:rsid w:val="00E26087"/>
    <w:rsid w:val="00E268C6"/>
    <w:rsid w:val="00E26B6B"/>
    <w:rsid w:val="00E2730C"/>
    <w:rsid w:val="00E276F9"/>
    <w:rsid w:val="00E27B27"/>
    <w:rsid w:val="00E301B5"/>
    <w:rsid w:val="00E3037B"/>
    <w:rsid w:val="00E3089B"/>
    <w:rsid w:val="00E30C33"/>
    <w:rsid w:val="00E31571"/>
    <w:rsid w:val="00E31674"/>
    <w:rsid w:val="00E318BD"/>
    <w:rsid w:val="00E319B2"/>
    <w:rsid w:val="00E31DA3"/>
    <w:rsid w:val="00E3203D"/>
    <w:rsid w:val="00E32210"/>
    <w:rsid w:val="00E328CB"/>
    <w:rsid w:val="00E32F0C"/>
    <w:rsid w:val="00E34012"/>
    <w:rsid w:val="00E340D9"/>
    <w:rsid w:val="00E350B4"/>
    <w:rsid w:val="00E365B7"/>
    <w:rsid w:val="00E3692A"/>
    <w:rsid w:val="00E400D1"/>
    <w:rsid w:val="00E431EE"/>
    <w:rsid w:val="00E43F25"/>
    <w:rsid w:val="00E44002"/>
    <w:rsid w:val="00E445B1"/>
    <w:rsid w:val="00E446C8"/>
    <w:rsid w:val="00E45293"/>
    <w:rsid w:val="00E45A7E"/>
    <w:rsid w:val="00E4660E"/>
    <w:rsid w:val="00E46B3F"/>
    <w:rsid w:val="00E46EAA"/>
    <w:rsid w:val="00E47329"/>
    <w:rsid w:val="00E479F1"/>
    <w:rsid w:val="00E5032F"/>
    <w:rsid w:val="00E50597"/>
    <w:rsid w:val="00E50F89"/>
    <w:rsid w:val="00E52DAE"/>
    <w:rsid w:val="00E537B6"/>
    <w:rsid w:val="00E541A5"/>
    <w:rsid w:val="00E5460D"/>
    <w:rsid w:val="00E54DE9"/>
    <w:rsid w:val="00E54FD5"/>
    <w:rsid w:val="00E55118"/>
    <w:rsid w:val="00E560F3"/>
    <w:rsid w:val="00E56D5F"/>
    <w:rsid w:val="00E5754D"/>
    <w:rsid w:val="00E60515"/>
    <w:rsid w:val="00E60B4C"/>
    <w:rsid w:val="00E6192D"/>
    <w:rsid w:val="00E622A4"/>
    <w:rsid w:val="00E62A1A"/>
    <w:rsid w:val="00E63207"/>
    <w:rsid w:val="00E636CB"/>
    <w:rsid w:val="00E63764"/>
    <w:rsid w:val="00E638CA"/>
    <w:rsid w:val="00E64343"/>
    <w:rsid w:val="00E647B0"/>
    <w:rsid w:val="00E64B46"/>
    <w:rsid w:val="00E655CF"/>
    <w:rsid w:val="00E657E5"/>
    <w:rsid w:val="00E65A52"/>
    <w:rsid w:val="00E65D2B"/>
    <w:rsid w:val="00E6622C"/>
    <w:rsid w:val="00E6761B"/>
    <w:rsid w:val="00E676A0"/>
    <w:rsid w:val="00E67792"/>
    <w:rsid w:val="00E7013B"/>
    <w:rsid w:val="00E70172"/>
    <w:rsid w:val="00E707FA"/>
    <w:rsid w:val="00E70EA7"/>
    <w:rsid w:val="00E716DA"/>
    <w:rsid w:val="00E71F2A"/>
    <w:rsid w:val="00E71F84"/>
    <w:rsid w:val="00E721CC"/>
    <w:rsid w:val="00E72B83"/>
    <w:rsid w:val="00E73998"/>
    <w:rsid w:val="00E7400C"/>
    <w:rsid w:val="00E743B8"/>
    <w:rsid w:val="00E749F1"/>
    <w:rsid w:val="00E76CB2"/>
    <w:rsid w:val="00E803FD"/>
    <w:rsid w:val="00E81279"/>
    <w:rsid w:val="00E819E2"/>
    <w:rsid w:val="00E81AE8"/>
    <w:rsid w:val="00E823EF"/>
    <w:rsid w:val="00E82A4D"/>
    <w:rsid w:val="00E8391A"/>
    <w:rsid w:val="00E83A9F"/>
    <w:rsid w:val="00E84251"/>
    <w:rsid w:val="00E843AA"/>
    <w:rsid w:val="00E84C3D"/>
    <w:rsid w:val="00E84DDC"/>
    <w:rsid w:val="00E85420"/>
    <w:rsid w:val="00E85B25"/>
    <w:rsid w:val="00E868F4"/>
    <w:rsid w:val="00E87A78"/>
    <w:rsid w:val="00E903F5"/>
    <w:rsid w:val="00E90504"/>
    <w:rsid w:val="00E90EFE"/>
    <w:rsid w:val="00E917C8"/>
    <w:rsid w:val="00E922EF"/>
    <w:rsid w:val="00E92EFC"/>
    <w:rsid w:val="00E94006"/>
    <w:rsid w:val="00E9412D"/>
    <w:rsid w:val="00E9458F"/>
    <w:rsid w:val="00E9568B"/>
    <w:rsid w:val="00E959C4"/>
    <w:rsid w:val="00E95B05"/>
    <w:rsid w:val="00E9736B"/>
    <w:rsid w:val="00E97429"/>
    <w:rsid w:val="00EA0321"/>
    <w:rsid w:val="00EA03B5"/>
    <w:rsid w:val="00EA0CA2"/>
    <w:rsid w:val="00EA1A61"/>
    <w:rsid w:val="00EA2CD2"/>
    <w:rsid w:val="00EA372E"/>
    <w:rsid w:val="00EA3E57"/>
    <w:rsid w:val="00EA446E"/>
    <w:rsid w:val="00EA59E9"/>
    <w:rsid w:val="00EA59FC"/>
    <w:rsid w:val="00EA5F63"/>
    <w:rsid w:val="00EA5F9C"/>
    <w:rsid w:val="00EA650F"/>
    <w:rsid w:val="00EA6686"/>
    <w:rsid w:val="00EA7607"/>
    <w:rsid w:val="00EB0CE4"/>
    <w:rsid w:val="00EB14C7"/>
    <w:rsid w:val="00EB3B9B"/>
    <w:rsid w:val="00EB3DAD"/>
    <w:rsid w:val="00EB4980"/>
    <w:rsid w:val="00EB5305"/>
    <w:rsid w:val="00EB57BA"/>
    <w:rsid w:val="00EB5F7B"/>
    <w:rsid w:val="00EB6E77"/>
    <w:rsid w:val="00EB794D"/>
    <w:rsid w:val="00EB7F86"/>
    <w:rsid w:val="00EC0800"/>
    <w:rsid w:val="00EC10A3"/>
    <w:rsid w:val="00EC1D43"/>
    <w:rsid w:val="00EC24CB"/>
    <w:rsid w:val="00EC25C6"/>
    <w:rsid w:val="00EC27E4"/>
    <w:rsid w:val="00EC3A83"/>
    <w:rsid w:val="00EC48FA"/>
    <w:rsid w:val="00EC4A7B"/>
    <w:rsid w:val="00EC565F"/>
    <w:rsid w:val="00EC6123"/>
    <w:rsid w:val="00EC6207"/>
    <w:rsid w:val="00EC6A88"/>
    <w:rsid w:val="00EC6CCA"/>
    <w:rsid w:val="00EC761E"/>
    <w:rsid w:val="00EC7744"/>
    <w:rsid w:val="00EC794F"/>
    <w:rsid w:val="00EC7A49"/>
    <w:rsid w:val="00ED02CF"/>
    <w:rsid w:val="00ED16B2"/>
    <w:rsid w:val="00ED1C32"/>
    <w:rsid w:val="00ED1FA6"/>
    <w:rsid w:val="00ED2CD2"/>
    <w:rsid w:val="00ED2EA6"/>
    <w:rsid w:val="00ED3007"/>
    <w:rsid w:val="00ED3D3F"/>
    <w:rsid w:val="00ED40B8"/>
    <w:rsid w:val="00ED4706"/>
    <w:rsid w:val="00ED549E"/>
    <w:rsid w:val="00ED5910"/>
    <w:rsid w:val="00ED5BC3"/>
    <w:rsid w:val="00ED5C11"/>
    <w:rsid w:val="00ED7A4F"/>
    <w:rsid w:val="00ED7D6F"/>
    <w:rsid w:val="00EE0459"/>
    <w:rsid w:val="00EE1AFC"/>
    <w:rsid w:val="00EE1B90"/>
    <w:rsid w:val="00EE2302"/>
    <w:rsid w:val="00EE27A9"/>
    <w:rsid w:val="00EE2D35"/>
    <w:rsid w:val="00EE337F"/>
    <w:rsid w:val="00EE4745"/>
    <w:rsid w:val="00EE5063"/>
    <w:rsid w:val="00EE526B"/>
    <w:rsid w:val="00EE58DD"/>
    <w:rsid w:val="00EE5A31"/>
    <w:rsid w:val="00EE5BC4"/>
    <w:rsid w:val="00EE5C2B"/>
    <w:rsid w:val="00EE5DDB"/>
    <w:rsid w:val="00EE69AD"/>
    <w:rsid w:val="00EE6C90"/>
    <w:rsid w:val="00EE6E54"/>
    <w:rsid w:val="00EE742B"/>
    <w:rsid w:val="00EE7A09"/>
    <w:rsid w:val="00EE7CF3"/>
    <w:rsid w:val="00EF19D9"/>
    <w:rsid w:val="00EF3805"/>
    <w:rsid w:val="00EF3807"/>
    <w:rsid w:val="00EF4A25"/>
    <w:rsid w:val="00EF577C"/>
    <w:rsid w:val="00EF5CC1"/>
    <w:rsid w:val="00EF6145"/>
    <w:rsid w:val="00EF6217"/>
    <w:rsid w:val="00EF720C"/>
    <w:rsid w:val="00EF795E"/>
    <w:rsid w:val="00F0098A"/>
    <w:rsid w:val="00F00ECD"/>
    <w:rsid w:val="00F02CEF"/>
    <w:rsid w:val="00F0310A"/>
    <w:rsid w:val="00F04145"/>
    <w:rsid w:val="00F0418D"/>
    <w:rsid w:val="00F04675"/>
    <w:rsid w:val="00F04881"/>
    <w:rsid w:val="00F04E64"/>
    <w:rsid w:val="00F06053"/>
    <w:rsid w:val="00F079CD"/>
    <w:rsid w:val="00F07D7E"/>
    <w:rsid w:val="00F07FD3"/>
    <w:rsid w:val="00F100CD"/>
    <w:rsid w:val="00F102B9"/>
    <w:rsid w:val="00F1032A"/>
    <w:rsid w:val="00F10FA0"/>
    <w:rsid w:val="00F1183C"/>
    <w:rsid w:val="00F11BFD"/>
    <w:rsid w:val="00F11F42"/>
    <w:rsid w:val="00F120C8"/>
    <w:rsid w:val="00F129F8"/>
    <w:rsid w:val="00F12ADC"/>
    <w:rsid w:val="00F12B2B"/>
    <w:rsid w:val="00F13079"/>
    <w:rsid w:val="00F1347E"/>
    <w:rsid w:val="00F13619"/>
    <w:rsid w:val="00F13E03"/>
    <w:rsid w:val="00F13F50"/>
    <w:rsid w:val="00F143A1"/>
    <w:rsid w:val="00F14C17"/>
    <w:rsid w:val="00F152F4"/>
    <w:rsid w:val="00F157D3"/>
    <w:rsid w:val="00F158A2"/>
    <w:rsid w:val="00F161CB"/>
    <w:rsid w:val="00F16BDB"/>
    <w:rsid w:val="00F16C23"/>
    <w:rsid w:val="00F1732B"/>
    <w:rsid w:val="00F17F09"/>
    <w:rsid w:val="00F201DB"/>
    <w:rsid w:val="00F20331"/>
    <w:rsid w:val="00F20738"/>
    <w:rsid w:val="00F21930"/>
    <w:rsid w:val="00F21934"/>
    <w:rsid w:val="00F21AC6"/>
    <w:rsid w:val="00F220E9"/>
    <w:rsid w:val="00F2228F"/>
    <w:rsid w:val="00F2326D"/>
    <w:rsid w:val="00F23290"/>
    <w:rsid w:val="00F23ECD"/>
    <w:rsid w:val="00F23FA1"/>
    <w:rsid w:val="00F24535"/>
    <w:rsid w:val="00F250B5"/>
    <w:rsid w:val="00F256B2"/>
    <w:rsid w:val="00F256C9"/>
    <w:rsid w:val="00F2629F"/>
    <w:rsid w:val="00F2678B"/>
    <w:rsid w:val="00F278CF"/>
    <w:rsid w:val="00F27D79"/>
    <w:rsid w:val="00F27E61"/>
    <w:rsid w:val="00F31FA5"/>
    <w:rsid w:val="00F3242A"/>
    <w:rsid w:val="00F325EC"/>
    <w:rsid w:val="00F32DEC"/>
    <w:rsid w:val="00F32F2F"/>
    <w:rsid w:val="00F33ACF"/>
    <w:rsid w:val="00F33D03"/>
    <w:rsid w:val="00F34141"/>
    <w:rsid w:val="00F341D8"/>
    <w:rsid w:val="00F342BF"/>
    <w:rsid w:val="00F3485E"/>
    <w:rsid w:val="00F34E97"/>
    <w:rsid w:val="00F35219"/>
    <w:rsid w:val="00F35F4D"/>
    <w:rsid w:val="00F36247"/>
    <w:rsid w:val="00F36FD9"/>
    <w:rsid w:val="00F375D2"/>
    <w:rsid w:val="00F40023"/>
    <w:rsid w:val="00F40BC2"/>
    <w:rsid w:val="00F4108B"/>
    <w:rsid w:val="00F41092"/>
    <w:rsid w:val="00F4138C"/>
    <w:rsid w:val="00F41B86"/>
    <w:rsid w:val="00F43007"/>
    <w:rsid w:val="00F43578"/>
    <w:rsid w:val="00F43A0E"/>
    <w:rsid w:val="00F43A67"/>
    <w:rsid w:val="00F44C31"/>
    <w:rsid w:val="00F47740"/>
    <w:rsid w:val="00F47936"/>
    <w:rsid w:val="00F4796B"/>
    <w:rsid w:val="00F502BE"/>
    <w:rsid w:val="00F5043A"/>
    <w:rsid w:val="00F51543"/>
    <w:rsid w:val="00F523F2"/>
    <w:rsid w:val="00F5338E"/>
    <w:rsid w:val="00F54568"/>
    <w:rsid w:val="00F54DC7"/>
    <w:rsid w:val="00F558B8"/>
    <w:rsid w:val="00F559EF"/>
    <w:rsid w:val="00F56065"/>
    <w:rsid w:val="00F56B3B"/>
    <w:rsid w:val="00F57710"/>
    <w:rsid w:val="00F609F6"/>
    <w:rsid w:val="00F60FD2"/>
    <w:rsid w:val="00F610CE"/>
    <w:rsid w:val="00F61654"/>
    <w:rsid w:val="00F6228C"/>
    <w:rsid w:val="00F624CD"/>
    <w:rsid w:val="00F6275E"/>
    <w:rsid w:val="00F64036"/>
    <w:rsid w:val="00F64D3E"/>
    <w:rsid w:val="00F65658"/>
    <w:rsid w:val="00F664FF"/>
    <w:rsid w:val="00F669ED"/>
    <w:rsid w:val="00F67234"/>
    <w:rsid w:val="00F6744D"/>
    <w:rsid w:val="00F678B6"/>
    <w:rsid w:val="00F7091B"/>
    <w:rsid w:val="00F71070"/>
    <w:rsid w:val="00F714F2"/>
    <w:rsid w:val="00F71E9E"/>
    <w:rsid w:val="00F7256B"/>
    <w:rsid w:val="00F7338C"/>
    <w:rsid w:val="00F73D68"/>
    <w:rsid w:val="00F743C5"/>
    <w:rsid w:val="00F74A63"/>
    <w:rsid w:val="00F74F1C"/>
    <w:rsid w:val="00F7541D"/>
    <w:rsid w:val="00F75837"/>
    <w:rsid w:val="00F75A33"/>
    <w:rsid w:val="00F75D4E"/>
    <w:rsid w:val="00F76B6A"/>
    <w:rsid w:val="00F76C8B"/>
    <w:rsid w:val="00F77683"/>
    <w:rsid w:val="00F800C0"/>
    <w:rsid w:val="00F80FEC"/>
    <w:rsid w:val="00F811CF"/>
    <w:rsid w:val="00F814FF"/>
    <w:rsid w:val="00F81988"/>
    <w:rsid w:val="00F81C6D"/>
    <w:rsid w:val="00F82758"/>
    <w:rsid w:val="00F82900"/>
    <w:rsid w:val="00F829E1"/>
    <w:rsid w:val="00F82B99"/>
    <w:rsid w:val="00F82F14"/>
    <w:rsid w:val="00F8317B"/>
    <w:rsid w:val="00F841A7"/>
    <w:rsid w:val="00F84CAA"/>
    <w:rsid w:val="00F855E1"/>
    <w:rsid w:val="00F856B0"/>
    <w:rsid w:val="00F8579E"/>
    <w:rsid w:val="00F85FBA"/>
    <w:rsid w:val="00F86C21"/>
    <w:rsid w:val="00F86F13"/>
    <w:rsid w:val="00F8703C"/>
    <w:rsid w:val="00F87091"/>
    <w:rsid w:val="00F872C7"/>
    <w:rsid w:val="00F87580"/>
    <w:rsid w:val="00F8759B"/>
    <w:rsid w:val="00F9037B"/>
    <w:rsid w:val="00F9062A"/>
    <w:rsid w:val="00F90799"/>
    <w:rsid w:val="00F90C6F"/>
    <w:rsid w:val="00F92012"/>
    <w:rsid w:val="00F92365"/>
    <w:rsid w:val="00F92B26"/>
    <w:rsid w:val="00F93447"/>
    <w:rsid w:val="00F934AD"/>
    <w:rsid w:val="00F9541A"/>
    <w:rsid w:val="00F954B6"/>
    <w:rsid w:val="00F957D0"/>
    <w:rsid w:val="00F96169"/>
    <w:rsid w:val="00F963DA"/>
    <w:rsid w:val="00F96403"/>
    <w:rsid w:val="00F97392"/>
    <w:rsid w:val="00FA05F2"/>
    <w:rsid w:val="00FA0629"/>
    <w:rsid w:val="00FA0C16"/>
    <w:rsid w:val="00FA0DE3"/>
    <w:rsid w:val="00FA1B6E"/>
    <w:rsid w:val="00FA1C44"/>
    <w:rsid w:val="00FA1C69"/>
    <w:rsid w:val="00FA2ADC"/>
    <w:rsid w:val="00FA3707"/>
    <w:rsid w:val="00FA3F69"/>
    <w:rsid w:val="00FA4843"/>
    <w:rsid w:val="00FA5A87"/>
    <w:rsid w:val="00FA5CAD"/>
    <w:rsid w:val="00FA75EC"/>
    <w:rsid w:val="00FB10B9"/>
    <w:rsid w:val="00FB1127"/>
    <w:rsid w:val="00FB1175"/>
    <w:rsid w:val="00FB1EA8"/>
    <w:rsid w:val="00FB28A7"/>
    <w:rsid w:val="00FB3786"/>
    <w:rsid w:val="00FB4569"/>
    <w:rsid w:val="00FB4CD7"/>
    <w:rsid w:val="00FB530A"/>
    <w:rsid w:val="00FB5649"/>
    <w:rsid w:val="00FB5E15"/>
    <w:rsid w:val="00FB5F8B"/>
    <w:rsid w:val="00FC0292"/>
    <w:rsid w:val="00FC0A07"/>
    <w:rsid w:val="00FC0E33"/>
    <w:rsid w:val="00FC1B95"/>
    <w:rsid w:val="00FC21A1"/>
    <w:rsid w:val="00FC2CF5"/>
    <w:rsid w:val="00FC2DB6"/>
    <w:rsid w:val="00FC3438"/>
    <w:rsid w:val="00FC38D2"/>
    <w:rsid w:val="00FC5CD7"/>
    <w:rsid w:val="00FC6C5A"/>
    <w:rsid w:val="00FC72E8"/>
    <w:rsid w:val="00FC7A6A"/>
    <w:rsid w:val="00FC7C7B"/>
    <w:rsid w:val="00FD0659"/>
    <w:rsid w:val="00FD07C8"/>
    <w:rsid w:val="00FD0858"/>
    <w:rsid w:val="00FD088C"/>
    <w:rsid w:val="00FD1125"/>
    <w:rsid w:val="00FD14D2"/>
    <w:rsid w:val="00FD1A22"/>
    <w:rsid w:val="00FD1EF2"/>
    <w:rsid w:val="00FD2545"/>
    <w:rsid w:val="00FD330D"/>
    <w:rsid w:val="00FD35CF"/>
    <w:rsid w:val="00FD37D6"/>
    <w:rsid w:val="00FD42F6"/>
    <w:rsid w:val="00FD4466"/>
    <w:rsid w:val="00FD4860"/>
    <w:rsid w:val="00FD4FF2"/>
    <w:rsid w:val="00FD52B5"/>
    <w:rsid w:val="00FD67B7"/>
    <w:rsid w:val="00FD6F00"/>
    <w:rsid w:val="00FD718F"/>
    <w:rsid w:val="00FD777D"/>
    <w:rsid w:val="00FE04E9"/>
    <w:rsid w:val="00FE0E6A"/>
    <w:rsid w:val="00FE0EBE"/>
    <w:rsid w:val="00FE1D43"/>
    <w:rsid w:val="00FE1D5F"/>
    <w:rsid w:val="00FE2502"/>
    <w:rsid w:val="00FE2B4A"/>
    <w:rsid w:val="00FE3637"/>
    <w:rsid w:val="00FE4F94"/>
    <w:rsid w:val="00FE5176"/>
    <w:rsid w:val="00FE5638"/>
    <w:rsid w:val="00FE59AA"/>
    <w:rsid w:val="00FE612C"/>
    <w:rsid w:val="00FE63B8"/>
    <w:rsid w:val="00FE641F"/>
    <w:rsid w:val="00FE6B8F"/>
    <w:rsid w:val="00FE6E7A"/>
    <w:rsid w:val="00FE7211"/>
    <w:rsid w:val="00FE7747"/>
    <w:rsid w:val="00FE7D30"/>
    <w:rsid w:val="00FE7DED"/>
    <w:rsid w:val="00FE7F59"/>
    <w:rsid w:val="00FF0E2D"/>
    <w:rsid w:val="00FF1153"/>
    <w:rsid w:val="00FF2B9C"/>
    <w:rsid w:val="00FF2BB9"/>
    <w:rsid w:val="00FF2DFE"/>
    <w:rsid w:val="00FF3029"/>
    <w:rsid w:val="00FF3921"/>
    <w:rsid w:val="00FF3CFC"/>
    <w:rsid w:val="00FF4EAB"/>
    <w:rsid w:val="00FF587F"/>
    <w:rsid w:val="00FF5C32"/>
    <w:rsid w:val="00FF5ECF"/>
    <w:rsid w:val="00FF6345"/>
    <w:rsid w:val="00FF7053"/>
    <w:rsid w:val="00FF76C3"/>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8D39"/>
  <w15:chartTrackingRefBased/>
  <w15:docId w15:val="{3930601A-2C40-41F9-83CE-E5BDF52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AB3"/>
    <w:rPr>
      <w:rFonts w:ascii="Ping LCG" w:hAnsi="Ping LCG" w:cs="Times New Roman (Body CS)"/>
    </w:rPr>
  </w:style>
  <w:style w:type="paragraph" w:styleId="1">
    <w:name w:val="heading 1"/>
    <w:basedOn w:val="a"/>
    <w:next w:val="a"/>
    <w:link w:val="1Char"/>
    <w:autoRedefine/>
    <w:uiPriority w:val="9"/>
    <w:qFormat/>
    <w:rsid w:val="000E10BE"/>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Char"/>
    <w:uiPriority w:val="9"/>
    <w:unhideWhenUsed/>
    <w:qFormat/>
    <w:rsid w:val="000E10BE"/>
    <w:pPr>
      <w:keepNext/>
      <w:keepLines/>
      <w:spacing w:before="40"/>
      <w:outlineLvl w:val="1"/>
    </w:pPr>
    <w:rPr>
      <w:rFonts w:eastAsiaTheme="majorEastAsia"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0E10BE"/>
    <w:pPr>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0E10BE"/>
    <w:rPr>
      <w:rFonts w:ascii="Ping LCG" w:eastAsiaTheme="majorEastAsia" w:hAnsi="Ping LCG" w:cstheme="majorBidi"/>
      <w:spacing w:val="-10"/>
      <w:kern w:val="28"/>
      <w:sz w:val="56"/>
      <w:szCs w:val="56"/>
    </w:rPr>
  </w:style>
  <w:style w:type="character" w:customStyle="1" w:styleId="1Char">
    <w:name w:val="Επικεφαλίδα 1 Char"/>
    <w:basedOn w:val="a0"/>
    <w:link w:val="1"/>
    <w:uiPriority w:val="9"/>
    <w:rsid w:val="000E10BE"/>
    <w:rPr>
      <w:rFonts w:ascii="Ping LCG" w:eastAsiaTheme="majorEastAsia" w:hAnsi="Ping LCG" w:cstheme="majorBidi"/>
      <w:color w:val="2F5496" w:themeColor="accent1" w:themeShade="BF"/>
      <w:sz w:val="32"/>
      <w:szCs w:val="32"/>
    </w:rPr>
  </w:style>
  <w:style w:type="character" w:customStyle="1" w:styleId="2Char">
    <w:name w:val="Επικεφαλίδα 2 Char"/>
    <w:basedOn w:val="a0"/>
    <w:link w:val="2"/>
    <w:uiPriority w:val="9"/>
    <w:rsid w:val="000E10BE"/>
    <w:rPr>
      <w:rFonts w:ascii="Ping LCG" w:eastAsiaTheme="majorEastAsia" w:hAnsi="Ping LCG" w:cstheme="majorBidi"/>
      <w:color w:val="2F5496" w:themeColor="accent1" w:themeShade="BF"/>
      <w:sz w:val="26"/>
      <w:szCs w:val="26"/>
    </w:rPr>
  </w:style>
  <w:style w:type="paragraph" w:styleId="a4">
    <w:name w:val="Subtitle"/>
    <w:basedOn w:val="a"/>
    <w:next w:val="a"/>
    <w:link w:val="Char0"/>
    <w:autoRedefine/>
    <w:uiPriority w:val="11"/>
    <w:qFormat/>
    <w:rsid w:val="000E10BE"/>
    <w:pPr>
      <w:numPr>
        <w:ilvl w:val="1"/>
      </w:numPr>
      <w:spacing w:after="160"/>
    </w:pPr>
    <w:rPr>
      <w:rFonts w:eastAsiaTheme="minorEastAsia" w:cstheme="minorBidi"/>
      <w:color w:val="5A5A5A" w:themeColor="text1" w:themeTint="A5"/>
      <w:spacing w:val="15"/>
      <w:sz w:val="22"/>
      <w:szCs w:val="22"/>
    </w:rPr>
  </w:style>
  <w:style w:type="character" w:customStyle="1" w:styleId="Char0">
    <w:name w:val="Υπότιτλος Char"/>
    <w:basedOn w:val="a0"/>
    <w:link w:val="a4"/>
    <w:uiPriority w:val="11"/>
    <w:rsid w:val="000E10BE"/>
    <w:rPr>
      <w:rFonts w:ascii="Ping LCG" w:eastAsiaTheme="minorEastAsia" w:hAnsi="Ping LCG"/>
      <w:color w:val="5A5A5A" w:themeColor="text1" w:themeTint="A5"/>
      <w:spacing w:val="15"/>
      <w:sz w:val="22"/>
      <w:szCs w:val="22"/>
    </w:rPr>
  </w:style>
  <w:style w:type="character" w:styleId="a5">
    <w:name w:val="Subtle Emphasis"/>
    <w:basedOn w:val="a0"/>
    <w:uiPriority w:val="19"/>
    <w:qFormat/>
    <w:rsid w:val="000E10BE"/>
    <w:rPr>
      <w:rFonts w:ascii="Ping LCG" w:hAnsi="Ping LCG"/>
      <w:i/>
      <w:iCs/>
      <w:color w:val="404040" w:themeColor="text1" w:themeTint="BF"/>
    </w:rPr>
  </w:style>
  <w:style w:type="character" w:styleId="a6">
    <w:name w:val="Book Title"/>
    <w:basedOn w:val="a0"/>
    <w:uiPriority w:val="33"/>
    <w:qFormat/>
    <w:rsid w:val="000E10BE"/>
    <w:rPr>
      <w:rFonts w:ascii="Ping LCG" w:hAnsi="Ping LCG"/>
      <w:b/>
      <w:bCs/>
      <w:i/>
      <w:iCs/>
      <w:spacing w:val="5"/>
    </w:rPr>
  </w:style>
  <w:style w:type="character" w:styleId="a7">
    <w:name w:val="Intense Reference"/>
    <w:basedOn w:val="a0"/>
    <w:uiPriority w:val="32"/>
    <w:qFormat/>
    <w:rsid w:val="000E10BE"/>
    <w:rPr>
      <w:rFonts w:ascii="Ping LCG" w:hAnsi="Ping LCG"/>
      <w:b/>
      <w:bCs/>
      <w:smallCaps/>
      <w:color w:val="4472C4" w:themeColor="accent1"/>
      <w:spacing w:val="5"/>
    </w:rPr>
  </w:style>
  <w:style w:type="character" w:styleId="a8">
    <w:name w:val="Subtle Reference"/>
    <w:basedOn w:val="a0"/>
    <w:uiPriority w:val="31"/>
    <w:qFormat/>
    <w:rsid w:val="000E10BE"/>
    <w:rPr>
      <w:rFonts w:ascii="Ping LCG" w:hAnsi="Ping LCG"/>
      <w:smallCaps/>
      <w:color w:val="5A5A5A" w:themeColor="text1" w:themeTint="A5"/>
    </w:rPr>
  </w:style>
  <w:style w:type="character" w:styleId="a9">
    <w:name w:val="Strong"/>
    <w:basedOn w:val="a0"/>
    <w:uiPriority w:val="22"/>
    <w:qFormat/>
    <w:rsid w:val="000E10BE"/>
    <w:rPr>
      <w:rFonts w:ascii="Ping LCG" w:hAnsi="Ping LCG"/>
      <w:b/>
      <w:bCs/>
    </w:rPr>
  </w:style>
  <w:style w:type="paragraph" w:styleId="aa">
    <w:name w:val="Quote"/>
    <w:basedOn w:val="a"/>
    <w:next w:val="a"/>
    <w:link w:val="Char1"/>
    <w:uiPriority w:val="29"/>
    <w:qFormat/>
    <w:rsid w:val="000E10BE"/>
    <w:pPr>
      <w:spacing w:before="200" w:after="160"/>
      <w:ind w:left="864" w:right="864"/>
      <w:jc w:val="center"/>
    </w:pPr>
    <w:rPr>
      <w:i/>
      <w:iCs/>
      <w:color w:val="404040" w:themeColor="text1" w:themeTint="BF"/>
    </w:rPr>
  </w:style>
  <w:style w:type="character" w:customStyle="1" w:styleId="Char1">
    <w:name w:val="Απόσπασμα Char"/>
    <w:basedOn w:val="a0"/>
    <w:link w:val="aa"/>
    <w:uiPriority w:val="29"/>
    <w:rsid w:val="000E10BE"/>
    <w:rPr>
      <w:rFonts w:ascii="Ping LCG" w:hAnsi="Ping LCG" w:cs="Times New Roman (Body CS)"/>
      <w:i/>
      <w:iCs/>
      <w:color w:val="404040" w:themeColor="text1" w:themeTint="BF"/>
    </w:rPr>
  </w:style>
  <w:style w:type="paragraph" w:styleId="ab">
    <w:name w:val="Intense Quote"/>
    <w:basedOn w:val="a"/>
    <w:next w:val="a"/>
    <w:link w:val="Char2"/>
    <w:uiPriority w:val="30"/>
    <w:qFormat/>
    <w:rsid w:val="000E10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Έντονο απόσπ. Char"/>
    <w:basedOn w:val="a0"/>
    <w:link w:val="ab"/>
    <w:uiPriority w:val="30"/>
    <w:rsid w:val="000E10BE"/>
    <w:rPr>
      <w:rFonts w:ascii="Ping LCG" w:hAnsi="Ping LCG" w:cs="Times New Roman (Body CS)"/>
      <w:i/>
      <w:iCs/>
      <w:color w:val="4472C4" w:themeColor="accent1"/>
    </w:rPr>
  </w:style>
  <w:style w:type="character" w:styleId="ac">
    <w:name w:val="Emphasis"/>
    <w:basedOn w:val="a0"/>
    <w:uiPriority w:val="20"/>
    <w:qFormat/>
    <w:rsid w:val="000E10BE"/>
    <w:rPr>
      <w:rFonts w:ascii="Ping LCG" w:hAnsi="Ping LCG"/>
      <w:i/>
      <w:iCs/>
    </w:rPr>
  </w:style>
  <w:style w:type="character" w:styleId="ad">
    <w:name w:val="Intense Emphasis"/>
    <w:basedOn w:val="a0"/>
    <w:uiPriority w:val="21"/>
    <w:qFormat/>
    <w:rsid w:val="000E10BE"/>
    <w:rPr>
      <w:rFonts w:ascii="Ping LCG" w:hAnsi="Ping LCG"/>
      <w:i/>
      <w:iCs/>
      <w:color w:val="4472C4" w:themeColor="accent1"/>
    </w:rPr>
  </w:style>
  <w:style w:type="paragraph" w:styleId="ae">
    <w:name w:val="header"/>
    <w:basedOn w:val="a"/>
    <w:link w:val="Char3"/>
    <w:uiPriority w:val="99"/>
    <w:unhideWhenUsed/>
    <w:rsid w:val="000E10BE"/>
    <w:pPr>
      <w:tabs>
        <w:tab w:val="center" w:pos="4680"/>
        <w:tab w:val="right" w:pos="9360"/>
      </w:tabs>
    </w:pPr>
  </w:style>
  <w:style w:type="character" w:customStyle="1" w:styleId="Char3">
    <w:name w:val="Κεφαλίδα Char"/>
    <w:basedOn w:val="a0"/>
    <w:link w:val="ae"/>
    <w:uiPriority w:val="99"/>
    <w:rsid w:val="000E10BE"/>
    <w:rPr>
      <w:rFonts w:ascii="Ping LCG" w:hAnsi="Ping LCG" w:cs="Times New Roman (Body CS)"/>
    </w:rPr>
  </w:style>
  <w:style w:type="paragraph" w:styleId="af">
    <w:name w:val="footer"/>
    <w:basedOn w:val="a"/>
    <w:link w:val="Char4"/>
    <w:uiPriority w:val="99"/>
    <w:unhideWhenUsed/>
    <w:rsid w:val="000E10BE"/>
    <w:pPr>
      <w:tabs>
        <w:tab w:val="center" w:pos="4680"/>
        <w:tab w:val="right" w:pos="9360"/>
      </w:tabs>
    </w:pPr>
  </w:style>
  <w:style w:type="character" w:customStyle="1" w:styleId="Char4">
    <w:name w:val="Υποσέλιδο Char"/>
    <w:basedOn w:val="a0"/>
    <w:link w:val="af"/>
    <w:uiPriority w:val="99"/>
    <w:rsid w:val="000E10BE"/>
    <w:rPr>
      <w:rFonts w:ascii="Ping LCG" w:hAnsi="Ping LCG" w:cs="Times New Roman (Body CS)"/>
    </w:rPr>
  </w:style>
  <w:style w:type="table" w:styleId="af0">
    <w:name w:val="Table Grid"/>
    <w:basedOn w:val="a1"/>
    <w:uiPriority w:val="59"/>
    <w:rsid w:val="00BB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49A6"/>
    <w:pPr>
      <w:ind w:left="720"/>
      <w:contextualSpacing/>
    </w:pPr>
    <w:rPr>
      <w:rFonts w:ascii="Times New Roman" w:eastAsia="Times New Roman" w:hAnsi="Times New Roman" w:cs="Times New Roman"/>
      <w:lang w:val="el-GR" w:eastAsia="el-GR"/>
    </w:rPr>
  </w:style>
  <w:style w:type="paragraph" w:customStyle="1" w:styleId="Default">
    <w:name w:val="Default"/>
    <w:rsid w:val="00A249A6"/>
    <w:pPr>
      <w:autoSpaceDE w:val="0"/>
      <w:autoSpaceDN w:val="0"/>
      <w:adjustRightInd w:val="0"/>
    </w:pPr>
    <w:rPr>
      <w:rFonts w:ascii="Calibri" w:hAnsi="Calibri" w:cs="Calibri"/>
      <w:color w:val="000000"/>
      <w:lang w:val="el-GR"/>
    </w:rPr>
  </w:style>
  <w:style w:type="character" w:styleId="-">
    <w:name w:val="Hyperlink"/>
    <w:basedOn w:val="a0"/>
    <w:uiPriority w:val="99"/>
    <w:unhideWhenUsed/>
    <w:rsid w:val="00A249A6"/>
    <w:rPr>
      <w:color w:val="0563C1" w:themeColor="hyperlink"/>
      <w:u w:val="single"/>
    </w:rPr>
  </w:style>
  <w:style w:type="character" w:styleId="af2">
    <w:name w:val="Unresolved Mention"/>
    <w:basedOn w:val="a0"/>
    <w:uiPriority w:val="99"/>
    <w:semiHidden/>
    <w:unhideWhenUsed/>
    <w:rsid w:val="00A249A6"/>
    <w:rPr>
      <w:color w:val="605E5C"/>
      <w:shd w:val="clear" w:color="auto" w:fill="E1DFDD"/>
    </w:rPr>
  </w:style>
  <w:style w:type="paragraph" w:styleId="af3">
    <w:name w:val="Balloon Text"/>
    <w:basedOn w:val="a"/>
    <w:link w:val="Char5"/>
    <w:uiPriority w:val="99"/>
    <w:semiHidden/>
    <w:unhideWhenUsed/>
    <w:rsid w:val="00173777"/>
    <w:rPr>
      <w:rFonts w:ascii="Segoe UI" w:hAnsi="Segoe UI" w:cs="Segoe UI"/>
      <w:sz w:val="18"/>
      <w:szCs w:val="18"/>
    </w:rPr>
  </w:style>
  <w:style w:type="character" w:customStyle="1" w:styleId="Char5">
    <w:name w:val="Κείμενο πλαισίου Char"/>
    <w:basedOn w:val="a0"/>
    <w:link w:val="af3"/>
    <w:uiPriority w:val="99"/>
    <w:semiHidden/>
    <w:rsid w:val="00173777"/>
    <w:rPr>
      <w:rFonts w:ascii="Segoe UI" w:hAnsi="Segoe UI" w:cs="Segoe UI"/>
      <w:sz w:val="18"/>
      <w:szCs w:val="18"/>
    </w:rPr>
  </w:style>
  <w:style w:type="character" w:styleId="af4">
    <w:name w:val="annotation reference"/>
    <w:basedOn w:val="a0"/>
    <w:uiPriority w:val="99"/>
    <w:semiHidden/>
    <w:unhideWhenUsed/>
    <w:rsid w:val="002F17FD"/>
    <w:rPr>
      <w:sz w:val="16"/>
      <w:szCs w:val="16"/>
    </w:rPr>
  </w:style>
  <w:style w:type="paragraph" w:styleId="af5">
    <w:name w:val="annotation text"/>
    <w:basedOn w:val="a"/>
    <w:link w:val="Char6"/>
    <w:uiPriority w:val="99"/>
    <w:semiHidden/>
    <w:unhideWhenUsed/>
    <w:rsid w:val="002F17FD"/>
    <w:rPr>
      <w:sz w:val="20"/>
      <w:szCs w:val="20"/>
    </w:rPr>
  </w:style>
  <w:style w:type="character" w:customStyle="1" w:styleId="Char6">
    <w:name w:val="Κείμενο σχολίου Char"/>
    <w:basedOn w:val="a0"/>
    <w:link w:val="af5"/>
    <w:uiPriority w:val="99"/>
    <w:semiHidden/>
    <w:rsid w:val="002F17FD"/>
    <w:rPr>
      <w:rFonts w:ascii="Ping LCG" w:hAnsi="Ping LCG" w:cs="Times New Roman (Body CS)"/>
      <w:sz w:val="20"/>
      <w:szCs w:val="20"/>
    </w:rPr>
  </w:style>
  <w:style w:type="paragraph" w:styleId="af6">
    <w:name w:val="annotation subject"/>
    <w:basedOn w:val="af5"/>
    <w:next w:val="af5"/>
    <w:link w:val="Char7"/>
    <w:uiPriority w:val="99"/>
    <w:semiHidden/>
    <w:unhideWhenUsed/>
    <w:rsid w:val="002F17FD"/>
    <w:rPr>
      <w:b/>
      <w:bCs/>
    </w:rPr>
  </w:style>
  <w:style w:type="character" w:customStyle="1" w:styleId="Char7">
    <w:name w:val="Θέμα σχολίου Char"/>
    <w:basedOn w:val="Char6"/>
    <w:link w:val="af6"/>
    <w:uiPriority w:val="99"/>
    <w:semiHidden/>
    <w:rsid w:val="002F17FD"/>
    <w:rPr>
      <w:rFonts w:ascii="Ping LCG" w:hAnsi="Ping LCG" w:cs="Times New Roman (Body CS)"/>
      <w:b/>
      <w:bCs/>
      <w:sz w:val="20"/>
      <w:szCs w:val="20"/>
    </w:rPr>
  </w:style>
  <w:style w:type="paragraph" w:styleId="af7">
    <w:name w:val="Revision"/>
    <w:hidden/>
    <w:uiPriority w:val="99"/>
    <w:semiHidden/>
    <w:rsid w:val="002F17FD"/>
    <w:rPr>
      <w:rFonts w:ascii="Ping LCG" w:hAnsi="Ping LCG" w:cs="Times New Roman (Body CS)"/>
    </w:rPr>
  </w:style>
  <w:style w:type="paragraph" w:styleId="af8">
    <w:name w:val="footnote text"/>
    <w:basedOn w:val="a"/>
    <w:link w:val="Char8"/>
    <w:uiPriority w:val="99"/>
    <w:semiHidden/>
    <w:unhideWhenUsed/>
    <w:rsid w:val="00FE7DED"/>
    <w:rPr>
      <w:sz w:val="20"/>
      <w:szCs w:val="20"/>
    </w:rPr>
  </w:style>
  <w:style w:type="character" w:customStyle="1" w:styleId="Char8">
    <w:name w:val="Κείμενο υποσημείωσης Char"/>
    <w:basedOn w:val="a0"/>
    <w:link w:val="af8"/>
    <w:uiPriority w:val="99"/>
    <w:semiHidden/>
    <w:rsid w:val="00FE7DED"/>
    <w:rPr>
      <w:rFonts w:ascii="Ping LCG" w:hAnsi="Ping LCG" w:cs="Times New Roman (Body CS)"/>
      <w:sz w:val="20"/>
      <w:szCs w:val="20"/>
    </w:rPr>
  </w:style>
  <w:style w:type="character" w:styleId="af9">
    <w:name w:val="footnote reference"/>
    <w:basedOn w:val="a0"/>
    <w:uiPriority w:val="99"/>
    <w:semiHidden/>
    <w:unhideWhenUsed/>
    <w:rsid w:val="00FE7DED"/>
    <w:rPr>
      <w:vertAlign w:val="superscript"/>
    </w:rPr>
  </w:style>
  <w:style w:type="paragraph" w:styleId="Web">
    <w:name w:val="Normal (Web)"/>
    <w:basedOn w:val="a"/>
    <w:uiPriority w:val="99"/>
    <w:unhideWhenUsed/>
    <w:rsid w:val="00486A4F"/>
    <w:pPr>
      <w:spacing w:before="100" w:beforeAutospacing="1" w:after="100" w:afterAutospacing="1"/>
    </w:pPr>
    <w:rPr>
      <w:rFonts w:ascii="Times New Roman" w:eastAsia="Times New Roman" w:hAnsi="Times New Roman" w:cs="Times New Roman"/>
      <w:lang w:val="el-GR" w:eastAsia="el-GR"/>
    </w:rPr>
  </w:style>
  <w:style w:type="paragraph" w:styleId="afa">
    <w:name w:val="No Spacing"/>
    <w:link w:val="Char9"/>
    <w:uiPriority w:val="1"/>
    <w:qFormat/>
    <w:rsid w:val="00903455"/>
    <w:rPr>
      <w:rFonts w:ascii="Times New Roman" w:eastAsia="Batang" w:hAnsi="Times New Roman" w:cs="Times New Roman"/>
      <w:lang w:val="el-GR" w:eastAsia="ko-KR"/>
    </w:rPr>
  </w:style>
  <w:style w:type="character" w:customStyle="1" w:styleId="Char9">
    <w:name w:val="Χωρίς διάστιχο Char"/>
    <w:link w:val="afa"/>
    <w:uiPriority w:val="1"/>
    <w:rsid w:val="00903455"/>
    <w:rPr>
      <w:rFonts w:ascii="Times New Roman" w:eastAsia="Batang" w:hAnsi="Times New Roman" w:cs="Times New Roman"/>
      <w:lang w:val="el-GR" w:eastAsia="ko-KR"/>
    </w:rPr>
  </w:style>
  <w:style w:type="paragraph" w:customStyle="1" w:styleId="pf0">
    <w:name w:val="pf0"/>
    <w:basedOn w:val="a"/>
    <w:rsid w:val="00762450"/>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a0"/>
    <w:rsid w:val="00762450"/>
    <w:rPr>
      <w:rFonts w:ascii="Segoe UI" w:hAnsi="Segoe UI" w:cs="Segoe UI" w:hint="default"/>
      <w:sz w:val="18"/>
      <w:szCs w:val="18"/>
    </w:rPr>
  </w:style>
  <w:style w:type="character" w:customStyle="1" w:styleId="cf11">
    <w:name w:val="cf11"/>
    <w:basedOn w:val="a0"/>
    <w:rsid w:val="00762450"/>
    <w:rPr>
      <w:rFonts w:ascii="Segoe UI" w:hAnsi="Segoe UI" w:cs="Segoe UI" w:hint="default"/>
      <w:sz w:val="18"/>
      <w:szCs w:val="18"/>
    </w:rPr>
  </w:style>
  <w:style w:type="paragraph" w:styleId="afb">
    <w:name w:val="Body Text"/>
    <w:basedOn w:val="a"/>
    <w:link w:val="Chara"/>
    <w:rsid w:val="006237D3"/>
    <w:pPr>
      <w:jc w:val="both"/>
    </w:pPr>
    <w:rPr>
      <w:rFonts w:ascii="Times New Roman" w:eastAsia="Times New Roman" w:hAnsi="Times New Roman" w:cs="Times New Roman"/>
      <w:bCs/>
      <w:lang w:val="el-GR"/>
    </w:rPr>
  </w:style>
  <w:style w:type="character" w:customStyle="1" w:styleId="Chara">
    <w:name w:val="Σώμα κειμένου Char"/>
    <w:basedOn w:val="a0"/>
    <w:link w:val="afb"/>
    <w:rsid w:val="006237D3"/>
    <w:rPr>
      <w:rFonts w:ascii="Times New Roman" w:eastAsia="Times New Roman" w:hAnsi="Times New Roman" w:cs="Times New Roman"/>
      <w:bCs/>
      <w:lang w:val="el-GR"/>
    </w:rPr>
  </w:style>
  <w:style w:type="character" w:customStyle="1" w:styleId="apple-converted-space">
    <w:name w:val="apple-converted-space"/>
    <w:basedOn w:val="a0"/>
    <w:rsid w:val="00532E1A"/>
  </w:style>
  <w:style w:type="table" w:customStyle="1" w:styleId="55">
    <w:name w:val="Πλέγμα πίνακα55"/>
    <w:basedOn w:val="a1"/>
    <w:next w:val="af0"/>
    <w:rsid w:val="005737F1"/>
    <w:rPr>
      <w:rFonts w:ascii="Times New Roman" w:eastAsia="Batang"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101">
      <w:bodyDiv w:val="1"/>
      <w:marLeft w:val="0"/>
      <w:marRight w:val="0"/>
      <w:marTop w:val="0"/>
      <w:marBottom w:val="0"/>
      <w:divBdr>
        <w:top w:val="none" w:sz="0" w:space="0" w:color="auto"/>
        <w:left w:val="none" w:sz="0" w:space="0" w:color="auto"/>
        <w:bottom w:val="none" w:sz="0" w:space="0" w:color="auto"/>
        <w:right w:val="none" w:sz="0" w:space="0" w:color="auto"/>
      </w:divBdr>
    </w:div>
    <w:div w:id="366420146">
      <w:bodyDiv w:val="1"/>
      <w:marLeft w:val="0"/>
      <w:marRight w:val="0"/>
      <w:marTop w:val="0"/>
      <w:marBottom w:val="0"/>
      <w:divBdr>
        <w:top w:val="none" w:sz="0" w:space="0" w:color="auto"/>
        <w:left w:val="none" w:sz="0" w:space="0" w:color="auto"/>
        <w:bottom w:val="none" w:sz="0" w:space="0" w:color="auto"/>
        <w:right w:val="none" w:sz="0" w:space="0" w:color="auto"/>
      </w:divBdr>
      <w:divsChild>
        <w:div w:id="604767963">
          <w:marLeft w:val="0"/>
          <w:marRight w:val="0"/>
          <w:marTop w:val="0"/>
          <w:marBottom w:val="0"/>
          <w:divBdr>
            <w:top w:val="none" w:sz="0" w:space="0" w:color="auto"/>
            <w:left w:val="none" w:sz="0" w:space="0" w:color="auto"/>
            <w:bottom w:val="none" w:sz="0" w:space="0" w:color="auto"/>
            <w:right w:val="none" w:sz="0" w:space="0" w:color="auto"/>
          </w:divBdr>
          <w:divsChild>
            <w:div w:id="453864703">
              <w:marLeft w:val="0"/>
              <w:marRight w:val="0"/>
              <w:marTop w:val="0"/>
              <w:marBottom w:val="0"/>
              <w:divBdr>
                <w:top w:val="none" w:sz="0" w:space="0" w:color="auto"/>
                <w:left w:val="none" w:sz="0" w:space="0" w:color="auto"/>
                <w:bottom w:val="none" w:sz="0" w:space="0" w:color="auto"/>
                <w:right w:val="none" w:sz="0" w:space="0" w:color="auto"/>
              </w:divBdr>
              <w:divsChild>
                <w:div w:id="15865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49241">
      <w:bodyDiv w:val="1"/>
      <w:marLeft w:val="0"/>
      <w:marRight w:val="0"/>
      <w:marTop w:val="0"/>
      <w:marBottom w:val="0"/>
      <w:divBdr>
        <w:top w:val="none" w:sz="0" w:space="0" w:color="auto"/>
        <w:left w:val="none" w:sz="0" w:space="0" w:color="auto"/>
        <w:bottom w:val="none" w:sz="0" w:space="0" w:color="auto"/>
        <w:right w:val="none" w:sz="0" w:space="0" w:color="auto"/>
      </w:divBdr>
    </w:div>
    <w:div w:id="473371395">
      <w:bodyDiv w:val="1"/>
      <w:marLeft w:val="0"/>
      <w:marRight w:val="0"/>
      <w:marTop w:val="0"/>
      <w:marBottom w:val="0"/>
      <w:divBdr>
        <w:top w:val="none" w:sz="0" w:space="0" w:color="auto"/>
        <w:left w:val="none" w:sz="0" w:space="0" w:color="auto"/>
        <w:bottom w:val="none" w:sz="0" w:space="0" w:color="auto"/>
        <w:right w:val="none" w:sz="0" w:space="0" w:color="auto"/>
      </w:divBdr>
    </w:div>
    <w:div w:id="575211679">
      <w:bodyDiv w:val="1"/>
      <w:marLeft w:val="0"/>
      <w:marRight w:val="0"/>
      <w:marTop w:val="0"/>
      <w:marBottom w:val="0"/>
      <w:divBdr>
        <w:top w:val="none" w:sz="0" w:space="0" w:color="auto"/>
        <w:left w:val="none" w:sz="0" w:space="0" w:color="auto"/>
        <w:bottom w:val="none" w:sz="0" w:space="0" w:color="auto"/>
        <w:right w:val="none" w:sz="0" w:space="0" w:color="auto"/>
      </w:divBdr>
    </w:div>
    <w:div w:id="660236966">
      <w:bodyDiv w:val="1"/>
      <w:marLeft w:val="0"/>
      <w:marRight w:val="0"/>
      <w:marTop w:val="0"/>
      <w:marBottom w:val="0"/>
      <w:divBdr>
        <w:top w:val="none" w:sz="0" w:space="0" w:color="auto"/>
        <w:left w:val="none" w:sz="0" w:space="0" w:color="auto"/>
        <w:bottom w:val="none" w:sz="0" w:space="0" w:color="auto"/>
        <w:right w:val="none" w:sz="0" w:space="0" w:color="auto"/>
      </w:divBdr>
    </w:div>
    <w:div w:id="699428838">
      <w:bodyDiv w:val="1"/>
      <w:marLeft w:val="0"/>
      <w:marRight w:val="0"/>
      <w:marTop w:val="0"/>
      <w:marBottom w:val="0"/>
      <w:divBdr>
        <w:top w:val="none" w:sz="0" w:space="0" w:color="auto"/>
        <w:left w:val="none" w:sz="0" w:space="0" w:color="auto"/>
        <w:bottom w:val="none" w:sz="0" w:space="0" w:color="auto"/>
        <w:right w:val="none" w:sz="0" w:space="0" w:color="auto"/>
      </w:divBdr>
    </w:div>
    <w:div w:id="748775521">
      <w:bodyDiv w:val="1"/>
      <w:marLeft w:val="0"/>
      <w:marRight w:val="0"/>
      <w:marTop w:val="0"/>
      <w:marBottom w:val="0"/>
      <w:divBdr>
        <w:top w:val="none" w:sz="0" w:space="0" w:color="auto"/>
        <w:left w:val="none" w:sz="0" w:space="0" w:color="auto"/>
        <w:bottom w:val="none" w:sz="0" w:space="0" w:color="auto"/>
        <w:right w:val="none" w:sz="0" w:space="0" w:color="auto"/>
      </w:divBdr>
    </w:div>
    <w:div w:id="769356194">
      <w:bodyDiv w:val="1"/>
      <w:marLeft w:val="0"/>
      <w:marRight w:val="0"/>
      <w:marTop w:val="0"/>
      <w:marBottom w:val="0"/>
      <w:divBdr>
        <w:top w:val="none" w:sz="0" w:space="0" w:color="auto"/>
        <w:left w:val="none" w:sz="0" w:space="0" w:color="auto"/>
        <w:bottom w:val="none" w:sz="0" w:space="0" w:color="auto"/>
        <w:right w:val="none" w:sz="0" w:space="0" w:color="auto"/>
      </w:divBdr>
    </w:div>
    <w:div w:id="770514423">
      <w:bodyDiv w:val="1"/>
      <w:marLeft w:val="0"/>
      <w:marRight w:val="0"/>
      <w:marTop w:val="0"/>
      <w:marBottom w:val="0"/>
      <w:divBdr>
        <w:top w:val="none" w:sz="0" w:space="0" w:color="auto"/>
        <w:left w:val="none" w:sz="0" w:space="0" w:color="auto"/>
        <w:bottom w:val="none" w:sz="0" w:space="0" w:color="auto"/>
        <w:right w:val="none" w:sz="0" w:space="0" w:color="auto"/>
      </w:divBdr>
      <w:divsChild>
        <w:div w:id="1937471734">
          <w:marLeft w:val="0"/>
          <w:marRight w:val="0"/>
          <w:marTop w:val="0"/>
          <w:marBottom w:val="0"/>
          <w:divBdr>
            <w:top w:val="none" w:sz="0" w:space="0" w:color="auto"/>
            <w:left w:val="none" w:sz="0" w:space="0" w:color="auto"/>
            <w:bottom w:val="none" w:sz="0" w:space="0" w:color="auto"/>
            <w:right w:val="none" w:sz="0" w:space="0" w:color="auto"/>
          </w:divBdr>
          <w:divsChild>
            <w:div w:id="1550411586">
              <w:marLeft w:val="0"/>
              <w:marRight w:val="0"/>
              <w:marTop w:val="0"/>
              <w:marBottom w:val="0"/>
              <w:divBdr>
                <w:top w:val="none" w:sz="0" w:space="0" w:color="auto"/>
                <w:left w:val="none" w:sz="0" w:space="0" w:color="auto"/>
                <w:bottom w:val="none" w:sz="0" w:space="0" w:color="auto"/>
                <w:right w:val="none" w:sz="0" w:space="0" w:color="auto"/>
              </w:divBdr>
              <w:divsChild>
                <w:div w:id="7710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1746">
          <w:marLeft w:val="0"/>
          <w:marRight w:val="0"/>
          <w:marTop w:val="0"/>
          <w:marBottom w:val="0"/>
          <w:divBdr>
            <w:top w:val="none" w:sz="0" w:space="0" w:color="auto"/>
            <w:left w:val="none" w:sz="0" w:space="0" w:color="auto"/>
            <w:bottom w:val="none" w:sz="0" w:space="0" w:color="auto"/>
            <w:right w:val="none" w:sz="0" w:space="0" w:color="auto"/>
          </w:divBdr>
          <w:divsChild>
            <w:div w:id="1397896262">
              <w:marLeft w:val="0"/>
              <w:marRight w:val="0"/>
              <w:marTop w:val="0"/>
              <w:marBottom w:val="0"/>
              <w:divBdr>
                <w:top w:val="none" w:sz="0" w:space="0" w:color="auto"/>
                <w:left w:val="none" w:sz="0" w:space="0" w:color="auto"/>
                <w:bottom w:val="none" w:sz="0" w:space="0" w:color="auto"/>
                <w:right w:val="none" w:sz="0" w:space="0" w:color="auto"/>
              </w:divBdr>
              <w:divsChild>
                <w:div w:id="1397362034">
                  <w:marLeft w:val="0"/>
                  <w:marRight w:val="0"/>
                  <w:marTop w:val="0"/>
                  <w:marBottom w:val="0"/>
                  <w:divBdr>
                    <w:top w:val="none" w:sz="0" w:space="0" w:color="auto"/>
                    <w:left w:val="none" w:sz="0" w:space="0" w:color="auto"/>
                    <w:bottom w:val="none" w:sz="0" w:space="0" w:color="auto"/>
                    <w:right w:val="none" w:sz="0" w:space="0" w:color="auto"/>
                  </w:divBdr>
                  <w:divsChild>
                    <w:div w:id="62945571">
                      <w:marLeft w:val="0"/>
                      <w:marRight w:val="0"/>
                      <w:marTop w:val="0"/>
                      <w:marBottom w:val="0"/>
                      <w:divBdr>
                        <w:top w:val="none" w:sz="0" w:space="0" w:color="auto"/>
                        <w:left w:val="none" w:sz="0" w:space="0" w:color="auto"/>
                        <w:bottom w:val="none" w:sz="0" w:space="0" w:color="auto"/>
                        <w:right w:val="none" w:sz="0" w:space="0" w:color="auto"/>
                      </w:divBdr>
                      <w:divsChild>
                        <w:div w:id="11601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784660">
      <w:bodyDiv w:val="1"/>
      <w:marLeft w:val="0"/>
      <w:marRight w:val="0"/>
      <w:marTop w:val="0"/>
      <w:marBottom w:val="0"/>
      <w:divBdr>
        <w:top w:val="none" w:sz="0" w:space="0" w:color="auto"/>
        <w:left w:val="none" w:sz="0" w:space="0" w:color="auto"/>
        <w:bottom w:val="none" w:sz="0" w:space="0" w:color="auto"/>
        <w:right w:val="none" w:sz="0" w:space="0" w:color="auto"/>
      </w:divBdr>
    </w:div>
    <w:div w:id="785543866">
      <w:bodyDiv w:val="1"/>
      <w:marLeft w:val="0"/>
      <w:marRight w:val="0"/>
      <w:marTop w:val="0"/>
      <w:marBottom w:val="0"/>
      <w:divBdr>
        <w:top w:val="none" w:sz="0" w:space="0" w:color="auto"/>
        <w:left w:val="none" w:sz="0" w:space="0" w:color="auto"/>
        <w:bottom w:val="none" w:sz="0" w:space="0" w:color="auto"/>
        <w:right w:val="none" w:sz="0" w:space="0" w:color="auto"/>
      </w:divBdr>
    </w:div>
    <w:div w:id="789130325">
      <w:bodyDiv w:val="1"/>
      <w:marLeft w:val="0"/>
      <w:marRight w:val="0"/>
      <w:marTop w:val="0"/>
      <w:marBottom w:val="0"/>
      <w:divBdr>
        <w:top w:val="none" w:sz="0" w:space="0" w:color="auto"/>
        <w:left w:val="none" w:sz="0" w:space="0" w:color="auto"/>
        <w:bottom w:val="none" w:sz="0" w:space="0" w:color="auto"/>
        <w:right w:val="none" w:sz="0" w:space="0" w:color="auto"/>
      </w:divBdr>
    </w:div>
    <w:div w:id="851071001">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895507921">
      <w:bodyDiv w:val="1"/>
      <w:marLeft w:val="0"/>
      <w:marRight w:val="0"/>
      <w:marTop w:val="0"/>
      <w:marBottom w:val="0"/>
      <w:divBdr>
        <w:top w:val="none" w:sz="0" w:space="0" w:color="auto"/>
        <w:left w:val="none" w:sz="0" w:space="0" w:color="auto"/>
        <w:bottom w:val="none" w:sz="0" w:space="0" w:color="auto"/>
        <w:right w:val="none" w:sz="0" w:space="0" w:color="auto"/>
      </w:divBdr>
      <w:divsChild>
        <w:div w:id="357001404">
          <w:marLeft w:val="0"/>
          <w:marRight w:val="0"/>
          <w:marTop w:val="0"/>
          <w:marBottom w:val="0"/>
          <w:divBdr>
            <w:top w:val="none" w:sz="0" w:space="0" w:color="auto"/>
            <w:left w:val="none" w:sz="0" w:space="0" w:color="auto"/>
            <w:bottom w:val="none" w:sz="0" w:space="0" w:color="auto"/>
            <w:right w:val="none" w:sz="0" w:space="0" w:color="auto"/>
          </w:divBdr>
          <w:divsChild>
            <w:div w:id="1655528131">
              <w:marLeft w:val="0"/>
              <w:marRight w:val="0"/>
              <w:marTop w:val="0"/>
              <w:marBottom w:val="0"/>
              <w:divBdr>
                <w:top w:val="none" w:sz="0" w:space="0" w:color="auto"/>
                <w:left w:val="none" w:sz="0" w:space="0" w:color="auto"/>
                <w:bottom w:val="none" w:sz="0" w:space="0" w:color="auto"/>
                <w:right w:val="none" w:sz="0" w:space="0" w:color="auto"/>
              </w:divBdr>
              <w:divsChild>
                <w:div w:id="1346979978">
                  <w:marLeft w:val="0"/>
                  <w:marRight w:val="0"/>
                  <w:marTop w:val="0"/>
                  <w:marBottom w:val="0"/>
                  <w:divBdr>
                    <w:top w:val="none" w:sz="0" w:space="0" w:color="auto"/>
                    <w:left w:val="none" w:sz="0" w:space="0" w:color="auto"/>
                    <w:bottom w:val="none" w:sz="0" w:space="0" w:color="auto"/>
                    <w:right w:val="none" w:sz="0" w:space="0" w:color="auto"/>
                  </w:divBdr>
                  <w:divsChild>
                    <w:div w:id="743450715">
                      <w:marLeft w:val="0"/>
                      <w:marRight w:val="0"/>
                      <w:marTop w:val="0"/>
                      <w:marBottom w:val="0"/>
                      <w:divBdr>
                        <w:top w:val="none" w:sz="0" w:space="0" w:color="auto"/>
                        <w:left w:val="none" w:sz="0" w:space="0" w:color="auto"/>
                        <w:bottom w:val="none" w:sz="0" w:space="0" w:color="auto"/>
                        <w:right w:val="none" w:sz="0" w:space="0" w:color="auto"/>
                      </w:divBdr>
                      <w:divsChild>
                        <w:div w:id="506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7445">
          <w:marLeft w:val="0"/>
          <w:marRight w:val="0"/>
          <w:marTop w:val="0"/>
          <w:marBottom w:val="0"/>
          <w:divBdr>
            <w:top w:val="none" w:sz="0" w:space="0" w:color="auto"/>
            <w:left w:val="none" w:sz="0" w:space="0" w:color="auto"/>
            <w:bottom w:val="none" w:sz="0" w:space="0" w:color="auto"/>
            <w:right w:val="none" w:sz="0" w:space="0" w:color="auto"/>
          </w:divBdr>
          <w:divsChild>
            <w:div w:id="1702512386">
              <w:marLeft w:val="0"/>
              <w:marRight w:val="0"/>
              <w:marTop w:val="0"/>
              <w:marBottom w:val="0"/>
              <w:divBdr>
                <w:top w:val="none" w:sz="0" w:space="0" w:color="auto"/>
                <w:left w:val="none" w:sz="0" w:space="0" w:color="auto"/>
                <w:bottom w:val="none" w:sz="0" w:space="0" w:color="auto"/>
                <w:right w:val="none" w:sz="0" w:space="0" w:color="auto"/>
              </w:divBdr>
              <w:divsChild>
                <w:div w:id="429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8652">
      <w:bodyDiv w:val="1"/>
      <w:marLeft w:val="0"/>
      <w:marRight w:val="0"/>
      <w:marTop w:val="0"/>
      <w:marBottom w:val="0"/>
      <w:divBdr>
        <w:top w:val="none" w:sz="0" w:space="0" w:color="auto"/>
        <w:left w:val="none" w:sz="0" w:space="0" w:color="auto"/>
        <w:bottom w:val="none" w:sz="0" w:space="0" w:color="auto"/>
        <w:right w:val="none" w:sz="0" w:space="0" w:color="auto"/>
      </w:divBdr>
    </w:div>
    <w:div w:id="993295644">
      <w:bodyDiv w:val="1"/>
      <w:marLeft w:val="0"/>
      <w:marRight w:val="0"/>
      <w:marTop w:val="0"/>
      <w:marBottom w:val="0"/>
      <w:divBdr>
        <w:top w:val="none" w:sz="0" w:space="0" w:color="auto"/>
        <w:left w:val="none" w:sz="0" w:space="0" w:color="auto"/>
        <w:bottom w:val="none" w:sz="0" w:space="0" w:color="auto"/>
        <w:right w:val="none" w:sz="0" w:space="0" w:color="auto"/>
      </w:divBdr>
    </w:div>
    <w:div w:id="1019619093">
      <w:bodyDiv w:val="1"/>
      <w:marLeft w:val="0"/>
      <w:marRight w:val="0"/>
      <w:marTop w:val="0"/>
      <w:marBottom w:val="0"/>
      <w:divBdr>
        <w:top w:val="none" w:sz="0" w:space="0" w:color="auto"/>
        <w:left w:val="none" w:sz="0" w:space="0" w:color="auto"/>
        <w:bottom w:val="none" w:sz="0" w:space="0" w:color="auto"/>
        <w:right w:val="none" w:sz="0" w:space="0" w:color="auto"/>
      </w:divBdr>
    </w:div>
    <w:div w:id="1034816461">
      <w:bodyDiv w:val="1"/>
      <w:marLeft w:val="0"/>
      <w:marRight w:val="0"/>
      <w:marTop w:val="0"/>
      <w:marBottom w:val="0"/>
      <w:divBdr>
        <w:top w:val="none" w:sz="0" w:space="0" w:color="auto"/>
        <w:left w:val="none" w:sz="0" w:space="0" w:color="auto"/>
        <w:bottom w:val="none" w:sz="0" w:space="0" w:color="auto"/>
        <w:right w:val="none" w:sz="0" w:space="0" w:color="auto"/>
      </w:divBdr>
    </w:div>
    <w:div w:id="1063985980">
      <w:bodyDiv w:val="1"/>
      <w:marLeft w:val="0"/>
      <w:marRight w:val="0"/>
      <w:marTop w:val="0"/>
      <w:marBottom w:val="0"/>
      <w:divBdr>
        <w:top w:val="none" w:sz="0" w:space="0" w:color="auto"/>
        <w:left w:val="none" w:sz="0" w:space="0" w:color="auto"/>
        <w:bottom w:val="none" w:sz="0" w:space="0" w:color="auto"/>
        <w:right w:val="none" w:sz="0" w:space="0" w:color="auto"/>
      </w:divBdr>
      <w:divsChild>
        <w:div w:id="107311080">
          <w:marLeft w:val="547"/>
          <w:marRight w:val="0"/>
          <w:marTop w:val="0"/>
          <w:marBottom w:val="200"/>
          <w:divBdr>
            <w:top w:val="none" w:sz="0" w:space="0" w:color="auto"/>
            <w:left w:val="none" w:sz="0" w:space="0" w:color="auto"/>
            <w:bottom w:val="none" w:sz="0" w:space="0" w:color="auto"/>
            <w:right w:val="none" w:sz="0" w:space="0" w:color="auto"/>
          </w:divBdr>
        </w:div>
      </w:divsChild>
    </w:div>
    <w:div w:id="1165707547">
      <w:bodyDiv w:val="1"/>
      <w:marLeft w:val="0"/>
      <w:marRight w:val="0"/>
      <w:marTop w:val="0"/>
      <w:marBottom w:val="0"/>
      <w:divBdr>
        <w:top w:val="none" w:sz="0" w:space="0" w:color="auto"/>
        <w:left w:val="none" w:sz="0" w:space="0" w:color="auto"/>
        <w:bottom w:val="none" w:sz="0" w:space="0" w:color="auto"/>
        <w:right w:val="none" w:sz="0" w:space="0" w:color="auto"/>
      </w:divBdr>
    </w:div>
    <w:div w:id="1187906504">
      <w:bodyDiv w:val="1"/>
      <w:marLeft w:val="0"/>
      <w:marRight w:val="0"/>
      <w:marTop w:val="0"/>
      <w:marBottom w:val="0"/>
      <w:divBdr>
        <w:top w:val="none" w:sz="0" w:space="0" w:color="auto"/>
        <w:left w:val="none" w:sz="0" w:space="0" w:color="auto"/>
        <w:bottom w:val="none" w:sz="0" w:space="0" w:color="auto"/>
        <w:right w:val="none" w:sz="0" w:space="0" w:color="auto"/>
      </w:divBdr>
    </w:div>
    <w:div w:id="1280062805">
      <w:bodyDiv w:val="1"/>
      <w:marLeft w:val="0"/>
      <w:marRight w:val="0"/>
      <w:marTop w:val="0"/>
      <w:marBottom w:val="0"/>
      <w:divBdr>
        <w:top w:val="none" w:sz="0" w:space="0" w:color="auto"/>
        <w:left w:val="none" w:sz="0" w:space="0" w:color="auto"/>
        <w:bottom w:val="none" w:sz="0" w:space="0" w:color="auto"/>
        <w:right w:val="none" w:sz="0" w:space="0" w:color="auto"/>
      </w:divBdr>
    </w:div>
    <w:div w:id="1349989360">
      <w:bodyDiv w:val="1"/>
      <w:marLeft w:val="0"/>
      <w:marRight w:val="0"/>
      <w:marTop w:val="0"/>
      <w:marBottom w:val="0"/>
      <w:divBdr>
        <w:top w:val="none" w:sz="0" w:space="0" w:color="auto"/>
        <w:left w:val="none" w:sz="0" w:space="0" w:color="auto"/>
        <w:bottom w:val="none" w:sz="0" w:space="0" w:color="auto"/>
        <w:right w:val="none" w:sz="0" w:space="0" w:color="auto"/>
      </w:divBdr>
      <w:divsChild>
        <w:div w:id="1889759098">
          <w:marLeft w:val="0"/>
          <w:marRight w:val="0"/>
          <w:marTop w:val="0"/>
          <w:marBottom w:val="0"/>
          <w:divBdr>
            <w:top w:val="none" w:sz="0" w:space="0" w:color="auto"/>
            <w:left w:val="none" w:sz="0" w:space="0" w:color="auto"/>
            <w:bottom w:val="none" w:sz="0" w:space="0" w:color="auto"/>
            <w:right w:val="none" w:sz="0" w:space="0" w:color="auto"/>
          </w:divBdr>
        </w:div>
      </w:divsChild>
    </w:div>
    <w:div w:id="1432117443">
      <w:bodyDiv w:val="1"/>
      <w:marLeft w:val="0"/>
      <w:marRight w:val="0"/>
      <w:marTop w:val="0"/>
      <w:marBottom w:val="0"/>
      <w:divBdr>
        <w:top w:val="none" w:sz="0" w:space="0" w:color="auto"/>
        <w:left w:val="none" w:sz="0" w:space="0" w:color="auto"/>
        <w:bottom w:val="none" w:sz="0" w:space="0" w:color="auto"/>
        <w:right w:val="none" w:sz="0" w:space="0" w:color="auto"/>
      </w:divBdr>
    </w:div>
    <w:div w:id="1475103317">
      <w:bodyDiv w:val="1"/>
      <w:marLeft w:val="0"/>
      <w:marRight w:val="0"/>
      <w:marTop w:val="0"/>
      <w:marBottom w:val="0"/>
      <w:divBdr>
        <w:top w:val="none" w:sz="0" w:space="0" w:color="auto"/>
        <w:left w:val="none" w:sz="0" w:space="0" w:color="auto"/>
        <w:bottom w:val="none" w:sz="0" w:space="0" w:color="auto"/>
        <w:right w:val="none" w:sz="0" w:space="0" w:color="auto"/>
      </w:divBdr>
    </w:div>
    <w:div w:id="1553350824">
      <w:bodyDiv w:val="1"/>
      <w:marLeft w:val="0"/>
      <w:marRight w:val="0"/>
      <w:marTop w:val="0"/>
      <w:marBottom w:val="0"/>
      <w:divBdr>
        <w:top w:val="none" w:sz="0" w:space="0" w:color="auto"/>
        <w:left w:val="none" w:sz="0" w:space="0" w:color="auto"/>
        <w:bottom w:val="none" w:sz="0" w:space="0" w:color="auto"/>
        <w:right w:val="none" w:sz="0" w:space="0" w:color="auto"/>
      </w:divBdr>
    </w:div>
    <w:div w:id="1588491341">
      <w:bodyDiv w:val="1"/>
      <w:marLeft w:val="0"/>
      <w:marRight w:val="0"/>
      <w:marTop w:val="0"/>
      <w:marBottom w:val="0"/>
      <w:divBdr>
        <w:top w:val="none" w:sz="0" w:space="0" w:color="auto"/>
        <w:left w:val="none" w:sz="0" w:space="0" w:color="auto"/>
        <w:bottom w:val="none" w:sz="0" w:space="0" w:color="auto"/>
        <w:right w:val="none" w:sz="0" w:space="0" w:color="auto"/>
      </w:divBdr>
    </w:div>
    <w:div w:id="1807236013">
      <w:bodyDiv w:val="1"/>
      <w:marLeft w:val="0"/>
      <w:marRight w:val="0"/>
      <w:marTop w:val="0"/>
      <w:marBottom w:val="0"/>
      <w:divBdr>
        <w:top w:val="none" w:sz="0" w:space="0" w:color="auto"/>
        <w:left w:val="none" w:sz="0" w:space="0" w:color="auto"/>
        <w:bottom w:val="none" w:sz="0" w:space="0" w:color="auto"/>
        <w:right w:val="none" w:sz="0" w:space="0" w:color="auto"/>
      </w:divBdr>
    </w:div>
    <w:div w:id="1877549142">
      <w:bodyDiv w:val="1"/>
      <w:marLeft w:val="0"/>
      <w:marRight w:val="0"/>
      <w:marTop w:val="0"/>
      <w:marBottom w:val="0"/>
      <w:divBdr>
        <w:top w:val="none" w:sz="0" w:space="0" w:color="auto"/>
        <w:left w:val="none" w:sz="0" w:space="0" w:color="auto"/>
        <w:bottom w:val="none" w:sz="0" w:space="0" w:color="auto"/>
        <w:right w:val="none" w:sz="0" w:space="0" w:color="auto"/>
      </w:divBdr>
    </w:div>
    <w:div w:id="1938950529">
      <w:bodyDiv w:val="1"/>
      <w:marLeft w:val="0"/>
      <w:marRight w:val="0"/>
      <w:marTop w:val="0"/>
      <w:marBottom w:val="0"/>
      <w:divBdr>
        <w:top w:val="none" w:sz="0" w:space="0" w:color="auto"/>
        <w:left w:val="none" w:sz="0" w:space="0" w:color="auto"/>
        <w:bottom w:val="none" w:sz="0" w:space="0" w:color="auto"/>
        <w:right w:val="none" w:sz="0" w:space="0" w:color="auto"/>
      </w:divBdr>
    </w:div>
    <w:div w:id="2005469848">
      <w:bodyDiv w:val="1"/>
      <w:marLeft w:val="0"/>
      <w:marRight w:val="0"/>
      <w:marTop w:val="0"/>
      <w:marBottom w:val="0"/>
      <w:divBdr>
        <w:top w:val="none" w:sz="0" w:space="0" w:color="auto"/>
        <w:left w:val="none" w:sz="0" w:space="0" w:color="auto"/>
        <w:bottom w:val="none" w:sz="0" w:space="0" w:color="auto"/>
        <w:right w:val="none" w:sz="0" w:space="0" w:color="auto"/>
      </w:divBdr>
    </w:div>
    <w:div w:id="2031683708">
      <w:bodyDiv w:val="1"/>
      <w:marLeft w:val="0"/>
      <w:marRight w:val="0"/>
      <w:marTop w:val="0"/>
      <w:marBottom w:val="0"/>
      <w:divBdr>
        <w:top w:val="none" w:sz="0" w:space="0" w:color="auto"/>
        <w:left w:val="none" w:sz="0" w:space="0" w:color="auto"/>
        <w:bottom w:val="none" w:sz="0" w:space="0" w:color="auto"/>
        <w:right w:val="none" w:sz="0" w:space="0" w:color="auto"/>
      </w:divBdr>
      <w:divsChild>
        <w:div w:id="370541178">
          <w:marLeft w:val="0"/>
          <w:marRight w:val="0"/>
          <w:marTop w:val="0"/>
          <w:marBottom w:val="0"/>
          <w:divBdr>
            <w:top w:val="none" w:sz="0" w:space="0" w:color="auto"/>
            <w:left w:val="none" w:sz="0" w:space="0" w:color="auto"/>
            <w:bottom w:val="none" w:sz="0" w:space="0" w:color="auto"/>
            <w:right w:val="none" w:sz="0" w:space="0" w:color="auto"/>
          </w:divBdr>
          <w:divsChild>
            <w:div w:id="1241327389">
              <w:marLeft w:val="0"/>
              <w:marRight w:val="0"/>
              <w:marTop w:val="0"/>
              <w:marBottom w:val="0"/>
              <w:divBdr>
                <w:top w:val="none" w:sz="0" w:space="0" w:color="auto"/>
                <w:left w:val="none" w:sz="0" w:space="0" w:color="auto"/>
                <w:bottom w:val="none" w:sz="0" w:space="0" w:color="auto"/>
                <w:right w:val="none" w:sz="0" w:space="0" w:color="auto"/>
              </w:divBdr>
              <w:divsChild>
                <w:div w:id="7046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719">
          <w:marLeft w:val="0"/>
          <w:marRight w:val="0"/>
          <w:marTop w:val="0"/>
          <w:marBottom w:val="0"/>
          <w:divBdr>
            <w:top w:val="none" w:sz="0" w:space="0" w:color="auto"/>
            <w:left w:val="none" w:sz="0" w:space="0" w:color="auto"/>
            <w:bottom w:val="none" w:sz="0" w:space="0" w:color="auto"/>
            <w:right w:val="none" w:sz="0" w:space="0" w:color="auto"/>
          </w:divBdr>
          <w:divsChild>
            <w:div w:id="351493729">
              <w:marLeft w:val="0"/>
              <w:marRight w:val="0"/>
              <w:marTop w:val="0"/>
              <w:marBottom w:val="0"/>
              <w:divBdr>
                <w:top w:val="none" w:sz="0" w:space="0" w:color="auto"/>
                <w:left w:val="none" w:sz="0" w:space="0" w:color="auto"/>
                <w:bottom w:val="none" w:sz="0" w:space="0" w:color="auto"/>
                <w:right w:val="none" w:sz="0" w:space="0" w:color="auto"/>
              </w:divBdr>
              <w:divsChild>
                <w:div w:id="753549487">
                  <w:marLeft w:val="0"/>
                  <w:marRight w:val="0"/>
                  <w:marTop w:val="0"/>
                  <w:marBottom w:val="0"/>
                  <w:divBdr>
                    <w:top w:val="none" w:sz="0" w:space="0" w:color="auto"/>
                    <w:left w:val="none" w:sz="0" w:space="0" w:color="auto"/>
                    <w:bottom w:val="none" w:sz="0" w:space="0" w:color="auto"/>
                    <w:right w:val="none" w:sz="0" w:space="0" w:color="auto"/>
                  </w:divBdr>
                  <w:divsChild>
                    <w:div w:id="1923878153">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91590">
      <w:bodyDiv w:val="1"/>
      <w:marLeft w:val="0"/>
      <w:marRight w:val="0"/>
      <w:marTop w:val="0"/>
      <w:marBottom w:val="0"/>
      <w:divBdr>
        <w:top w:val="none" w:sz="0" w:space="0" w:color="auto"/>
        <w:left w:val="none" w:sz="0" w:space="0" w:color="auto"/>
        <w:bottom w:val="none" w:sz="0" w:space="0" w:color="auto"/>
        <w:right w:val="none" w:sz="0" w:space="0" w:color="auto"/>
      </w:divBdr>
    </w:div>
    <w:div w:id="2060781887">
      <w:bodyDiv w:val="1"/>
      <w:marLeft w:val="0"/>
      <w:marRight w:val="0"/>
      <w:marTop w:val="0"/>
      <w:marBottom w:val="0"/>
      <w:divBdr>
        <w:top w:val="none" w:sz="0" w:space="0" w:color="auto"/>
        <w:left w:val="none" w:sz="0" w:space="0" w:color="auto"/>
        <w:bottom w:val="none" w:sz="0" w:space="0" w:color="auto"/>
        <w:right w:val="none" w:sz="0" w:space="0" w:color="auto"/>
      </w:divBdr>
    </w:div>
    <w:div w:id="2085953214">
      <w:bodyDiv w:val="1"/>
      <w:marLeft w:val="0"/>
      <w:marRight w:val="0"/>
      <w:marTop w:val="0"/>
      <w:marBottom w:val="0"/>
      <w:divBdr>
        <w:top w:val="none" w:sz="0" w:space="0" w:color="auto"/>
        <w:left w:val="none" w:sz="0" w:space="0" w:color="auto"/>
        <w:bottom w:val="none" w:sz="0" w:space="0" w:color="auto"/>
        <w:right w:val="none" w:sz="0" w:space="0" w:color="auto"/>
      </w:divBdr>
    </w:div>
    <w:div w:id="2119058556">
      <w:bodyDiv w:val="1"/>
      <w:marLeft w:val="0"/>
      <w:marRight w:val="0"/>
      <w:marTop w:val="0"/>
      <w:marBottom w:val="0"/>
      <w:divBdr>
        <w:top w:val="none" w:sz="0" w:space="0" w:color="auto"/>
        <w:left w:val="none" w:sz="0" w:space="0" w:color="auto"/>
        <w:bottom w:val="none" w:sz="0" w:space="0" w:color="auto"/>
        <w:right w:val="none" w:sz="0" w:space="0" w:color="auto"/>
      </w:divBdr>
      <w:divsChild>
        <w:div w:id="1051346832">
          <w:marLeft w:val="0"/>
          <w:marRight w:val="0"/>
          <w:marTop w:val="0"/>
          <w:marBottom w:val="0"/>
          <w:divBdr>
            <w:top w:val="none" w:sz="0" w:space="0" w:color="auto"/>
            <w:left w:val="none" w:sz="0" w:space="0" w:color="auto"/>
            <w:bottom w:val="none" w:sz="0" w:space="0" w:color="auto"/>
            <w:right w:val="none" w:sz="0" w:space="0" w:color="auto"/>
          </w:divBdr>
          <w:divsChild>
            <w:div w:id="2147236119">
              <w:marLeft w:val="0"/>
              <w:marRight w:val="0"/>
              <w:marTop w:val="0"/>
              <w:marBottom w:val="0"/>
              <w:divBdr>
                <w:top w:val="none" w:sz="0" w:space="0" w:color="auto"/>
                <w:left w:val="none" w:sz="0" w:space="0" w:color="auto"/>
                <w:bottom w:val="none" w:sz="0" w:space="0" w:color="auto"/>
                <w:right w:val="none" w:sz="0" w:space="0" w:color="auto"/>
              </w:divBdr>
              <w:divsChild>
                <w:div w:id="1380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1353">
          <w:marLeft w:val="0"/>
          <w:marRight w:val="0"/>
          <w:marTop w:val="0"/>
          <w:marBottom w:val="0"/>
          <w:divBdr>
            <w:top w:val="none" w:sz="0" w:space="0" w:color="auto"/>
            <w:left w:val="none" w:sz="0" w:space="0" w:color="auto"/>
            <w:bottom w:val="none" w:sz="0" w:space="0" w:color="auto"/>
            <w:right w:val="none" w:sz="0" w:space="0" w:color="auto"/>
          </w:divBdr>
          <w:divsChild>
            <w:div w:id="865169696">
              <w:marLeft w:val="0"/>
              <w:marRight w:val="0"/>
              <w:marTop w:val="0"/>
              <w:marBottom w:val="0"/>
              <w:divBdr>
                <w:top w:val="none" w:sz="0" w:space="0" w:color="auto"/>
                <w:left w:val="none" w:sz="0" w:space="0" w:color="auto"/>
                <w:bottom w:val="none" w:sz="0" w:space="0" w:color="auto"/>
                <w:right w:val="none" w:sz="0" w:space="0" w:color="auto"/>
              </w:divBdr>
              <w:divsChild>
                <w:div w:id="729771621">
                  <w:marLeft w:val="0"/>
                  <w:marRight w:val="0"/>
                  <w:marTop w:val="0"/>
                  <w:marBottom w:val="0"/>
                  <w:divBdr>
                    <w:top w:val="none" w:sz="0" w:space="0" w:color="auto"/>
                    <w:left w:val="none" w:sz="0" w:space="0" w:color="auto"/>
                    <w:bottom w:val="none" w:sz="0" w:space="0" w:color="auto"/>
                    <w:right w:val="none" w:sz="0" w:space="0" w:color="auto"/>
                  </w:divBdr>
                  <w:divsChild>
                    <w:div w:id="1553686462">
                      <w:marLeft w:val="0"/>
                      <w:marRight w:val="0"/>
                      <w:marTop w:val="0"/>
                      <w:marBottom w:val="0"/>
                      <w:divBdr>
                        <w:top w:val="none" w:sz="0" w:space="0" w:color="auto"/>
                        <w:left w:val="none" w:sz="0" w:space="0" w:color="auto"/>
                        <w:bottom w:val="none" w:sz="0" w:space="0" w:color="auto"/>
                        <w:right w:val="none" w:sz="0" w:space="0" w:color="auto"/>
                      </w:divBdr>
                      <w:divsChild>
                        <w:div w:id="15005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50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ei.gr" TargetMode="External"/><Relationship Id="rId2" Type="http://schemas.openxmlformats.org/officeDocument/2006/relationships/customXml" Target="../customXml/item2.xml"/><Relationship Id="rId16" Type="http://schemas.openxmlformats.org/officeDocument/2006/relationships/hyperlink" Target="mailto:e.chatzakis@dei.gr" TargetMode="Externa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18" ma:contentTypeDescription="Δημιουργία νέου εγγράφου" ma:contentTypeScope="" ma:versionID="cd25fc5f604134c190bd745933007d63">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ee5c58de320599c31b4725ac09a7aab8"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82D8F-CC12-409C-94E2-9853CF411215}">
  <ds:schemaRefs>
    <ds:schemaRef ds:uri="http://schemas.openxmlformats.org/officeDocument/2006/bibliography"/>
  </ds:schemaRefs>
</ds:datastoreItem>
</file>

<file path=customXml/itemProps2.xml><?xml version="1.0" encoding="utf-8"?>
<ds:datastoreItem xmlns:ds="http://schemas.openxmlformats.org/officeDocument/2006/customXml" ds:itemID="{98FE1BC7-5640-4020-8325-B140F59D03C4}">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3.xml><?xml version="1.0" encoding="utf-8"?>
<ds:datastoreItem xmlns:ds="http://schemas.openxmlformats.org/officeDocument/2006/customXml" ds:itemID="{B456CC19-E7A7-4CB7-A26B-9D829729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7B659-5033-4759-8217-A7252D371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2885</Words>
  <Characters>15585</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18434</CharactersWithSpaces>
  <SharedDoc>false</SharedDoc>
  <HLinks>
    <vt:vector size="12" baseType="variant">
      <vt:variant>
        <vt:i4>7209065</vt:i4>
      </vt:variant>
      <vt:variant>
        <vt:i4>3</vt:i4>
      </vt:variant>
      <vt:variant>
        <vt:i4>0</vt:i4>
      </vt:variant>
      <vt:variant>
        <vt:i4>5</vt:i4>
      </vt:variant>
      <vt:variant>
        <vt:lpwstr>http://www.dei.gr/</vt:lpwstr>
      </vt:variant>
      <vt:variant>
        <vt:lpwstr/>
      </vt:variant>
      <vt:variant>
        <vt:i4>2818051</vt:i4>
      </vt:variant>
      <vt:variant>
        <vt:i4>0</vt:i4>
      </vt:variant>
      <vt:variant>
        <vt:i4>0</vt:i4>
      </vt:variant>
      <vt:variant>
        <vt:i4>5</vt:i4>
      </vt:variant>
      <vt:variant>
        <vt:lpwstr>mailto:e.hatzakis@dei.com.gr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Zagoriti Paraskevi</cp:lastModifiedBy>
  <cp:revision>20</cp:revision>
  <cp:lastPrinted>2022-11-19T03:30:00Z</cp:lastPrinted>
  <dcterms:created xsi:type="dcterms:W3CDTF">2023-05-25T05:24:00Z</dcterms:created>
  <dcterms:modified xsi:type="dcterms:W3CDTF">2023-05-25T13:47:00Z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Order">
    <vt:r8>5826600</vt:r8>
  </property>
  <property fmtid="{D5CDD505-2E9C-101B-9397-08002B2CF9AE}" pid="4" name="MediaServiceImageTags">
    <vt:lpwstr/>
  </property>
</Properties>
</file>