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F0B5A" w14:textId="49A46E23" w:rsidR="00A249A6" w:rsidRPr="00872A1E" w:rsidRDefault="00D26068" w:rsidP="00C61CCB">
      <w:pPr>
        <w:rPr>
          <w:rFonts w:ascii="Ping LCG Regular" w:hAnsi="Ping LCG Regular" w:cs="Arial"/>
          <w:b/>
          <w:spacing w:val="-14"/>
          <w:lang w:val="el-GR"/>
        </w:rPr>
      </w:pPr>
      <w:r w:rsidRPr="00872A1E">
        <w:rPr>
          <w:rFonts w:ascii="Ping LCG Regular" w:hAnsi="Ping LCG Regular" w:cs="Arial"/>
          <w:b/>
          <w:spacing w:val="-14"/>
          <w:lang w:val="el-GR"/>
        </w:rPr>
        <w:t xml:space="preserve">Αθήνα, </w:t>
      </w:r>
      <w:r w:rsidR="00C61CCB" w:rsidRPr="00872A1E">
        <w:rPr>
          <w:rFonts w:ascii="Ping LCG Regular" w:hAnsi="Ping LCG Regular" w:cs="Arial"/>
          <w:b/>
          <w:spacing w:val="-14"/>
          <w:lang w:val="el-GR"/>
        </w:rPr>
        <w:t>2</w:t>
      </w:r>
      <w:r w:rsidR="002A27D6" w:rsidRPr="00872A1E">
        <w:rPr>
          <w:rFonts w:ascii="Ping LCG Regular" w:hAnsi="Ping LCG Regular" w:cs="Arial"/>
          <w:b/>
          <w:spacing w:val="-14"/>
          <w:lang w:val="el-GR"/>
        </w:rPr>
        <w:t>3</w:t>
      </w:r>
      <w:r w:rsidR="00A249A6" w:rsidRPr="00872A1E">
        <w:rPr>
          <w:rFonts w:ascii="Ping LCG Regular" w:hAnsi="Ping LCG Regular" w:cs="Arial"/>
          <w:b/>
          <w:spacing w:val="-14"/>
          <w:lang w:val="el-GR"/>
        </w:rPr>
        <w:t xml:space="preserve"> </w:t>
      </w:r>
      <w:r w:rsidR="00C61CCB" w:rsidRPr="00872A1E">
        <w:rPr>
          <w:rFonts w:ascii="Ping LCG Regular" w:hAnsi="Ping LCG Regular" w:cs="Arial"/>
          <w:b/>
          <w:spacing w:val="-14"/>
          <w:lang w:val="el-GR"/>
        </w:rPr>
        <w:t>Μαρτίου</w:t>
      </w:r>
      <w:r w:rsidR="00E03165" w:rsidRPr="00872A1E">
        <w:rPr>
          <w:rFonts w:ascii="Ping LCG Regular" w:hAnsi="Ping LCG Regular" w:cs="Arial"/>
          <w:b/>
          <w:spacing w:val="-14"/>
          <w:lang w:val="el-GR"/>
        </w:rPr>
        <w:t xml:space="preserve"> 2</w:t>
      </w:r>
      <w:r w:rsidR="00A249A6" w:rsidRPr="00872A1E">
        <w:rPr>
          <w:rFonts w:ascii="Ping LCG Regular" w:hAnsi="Ping LCG Regular" w:cs="Arial"/>
          <w:b/>
          <w:spacing w:val="-14"/>
          <w:lang w:val="el-GR"/>
        </w:rPr>
        <w:t>02</w:t>
      </w:r>
      <w:r w:rsidR="00C61CCB" w:rsidRPr="00872A1E">
        <w:rPr>
          <w:rFonts w:ascii="Ping LCG Regular" w:hAnsi="Ping LCG Regular" w:cs="Arial"/>
          <w:b/>
          <w:spacing w:val="-14"/>
          <w:lang w:val="el-GR"/>
        </w:rPr>
        <w:t>3</w:t>
      </w:r>
      <w:r w:rsidR="009F58DC" w:rsidRPr="00872A1E">
        <w:rPr>
          <w:rFonts w:ascii="Ping LCG Regular" w:hAnsi="Ping LCG Regular" w:cs="Arial"/>
          <w:b/>
          <w:spacing w:val="-14"/>
          <w:lang w:val="el-GR"/>
        </w:rPr>
        <w:t xml:space="preserve"> </w:t>
      </w:r>
    </w:p>
    <w:p w14:paraId="58F9B10E" w14:textId="1CDE5120" w:rsidR="00760C4C" w:rsidRPr="00872A1E" w:rsidRDefault="00760C4C" w:rsidP="00A249A6">
      <w:pPr>
        <w:rPr>
          <w:rFonts w:ascii="Ping LCG Regular" w:hAnsi="Ping LCG Regular" w:cs="Arial"/>
          <w:b/>
          <w:spacing w:val="-14"/>
          <w:sz w:val="20"/>
          <w:szCs w:val="20"/>
          <w:lang w:val="el-GR"/>
        </w:rPr>
      </w:pPr>
    </w:p>
    <w:p w14:paraId="78AA2DAA" w14:textId="1264D710" w:rsidR="00A249A6" w:rsidRPr="00872A1E" w:rsidRDefault="00A249A6" w:rsidP="00A249A6">
      <w:pPr>
        <w:rPr>
          <w:rFonts w:ascii="Ping LCG Regular" w:hAnsi="Ping LCG Regular" w:cs="Arial"/>
          <w:b/>
          <w:spacing w:val="-14"/>
          <w:lang w:val="el-GR"/>
        </w:rPr>
      </w:pPr>
    </w:p>
    <w:p w14:paraId="2A909520" w14:textId="396C88A2" w:rsidR="002E7A7B" w:rsidRPr="00872A1E" w:rsidRDefault="00D24192" w:rsidP="002E7A7B">
      <w:pPr>
        <w:jc w:val="center"/>
        <w:rPr>
          <w:rFonts w:ascii="Ping LCG Regular" w:hAnsi="Ping LCG Regular" w:cs="Arial"/>
          <w:b/>
          <w:spacing w:val="-14"/>
          <w:sz w:val="26"/>
          <w:szCs w:val="26"/>
          <w:lang w:val="el-GR"/>
        </w:rPr>
      </w:pPr>
      <w:r w:rsidRPr="00872A1E">
        <w:rPr>
          <w:rFonts w:ascii="Ping LCG Regular" w:hAnsi="Ping LCG Regular" w:cs="Arial"/>
          <w:b/>
          <w:spacing w:val="-14"/>
          <w:sz w:val="26"/>
          <w:szCs w:val="26"/>
          <w:lang w:val="el-GR"/>
        </w:rPr>
        <w:t xml:space="preserve">ΑΠΟΤΕΛΕΣΜΑΤΑ </w:t>
      </w:r>
      <w:r w:rsidR="00BB23F8" w:rsidRPr="00872A1E">
        <w:rPr>
          <w:rFonts w:ascii="Ping LCG Regular" w:hAnsi="Ping LCG Regular" w:cs="Arial"/>
          <w:b/>
          <w:spacing w:val="-14"/>
          <w:sz w:val="26"/>
          <w:szCs w:val="26"/>
          <w:lang w:val="el-GR"/>
        </w:rPr>
        <w:t>ΕΤΟΥΣ</w:t>
      </w:r>
      <w:r w:rsidR="00D77767" w:rsidRPr="00872A1E">
        <w:rPr>
          <w:rFonts w:ascii="Ping LCG Regular" w:hAnsi="Ping LCG Regular" w:cs="Arial"/>
          <w:b/>
          <w:spacing w:val="-14"/>
          <w:sz w:val="26"/>
          <w:szCs w:val="26"/>
          <w:lang w:val="el-GR"/>
        </w:rPr>
        <w:t xml:space="preserve"> </w:t>
      </w:r>
      <w:r w:rsidR="002E7A7B" w:rsidRPr="00872A1E">
        <w:rPr>
          <w:rFonts w:ascii="Ping LCG Regular" w:hAnsi="Ping LCG Regular" w:cs="Arial"/>
          <w:b/>
          <w:spacing w:val="-14"/>
          <w:sz w:val="26"/>
          <w:szCs w:val="26"/>
          <w:lang w:val="el-GR"/>
        </w:rPr>
        <w:t>202</w:t>
      </w:r>
      <w:r w:rsidR="00D77767" w:rsidRPr="00872A1E">
        <w:rPr>
          <w:rFonts w:ascii="Ping LCG Regular" w:hAnsi="Ping LCG Regular" w:cs="Arial"/>
          <w:b/>
          <w:spacing w:val="-14"/>
          <w:sz w:val="26"/>
          <w:szCs w:val="26"/>
          <w:lang w:val="el-GR"/>
        </w:rPr>
        <w:t>2</w:t>
      </w:r>
      <w:r w:rsidR="002E7A7B" w:rsidRPr="00872A1E">
        <w:rPr>
          <w:rFonts w:ascii="Ping LCG Regular" w:hAnsi="Ping LCG Regular" w:cs="Arial"/>
          <w:b/>
          <w:spacing w:val="-14"/>
          <w:sz w:val="26"/>
          <w:szCs w:val="26"/>
          <w:lang w:val="el-GR"/>
        </w:rPr>
        <w:t xml:space="preserve"> ΟΜΙΛΟΥ ΔΕΗ</w:t>
      </w:r>
    </w:p>
    <w:p w14:paraId="184026D9" w14:textId="77777777" w:rsidR="00EE27A9" w:rsidRPr="00974763" w:rsidRDefault="00EE27A9" w:rsidP="00A249A6">
      <w:pPr>
        <w:jc w:val="center"/>
        <w:rPr>
          <w:rFonts w:ascii="Ping LCG Regular" w:hAnsi="Ping LCG Regular" w:cs="Arial"/>
          <w:b/>
          <w:spacing w:val="-14"/>
          <w:sz w:val="22"/>
          <w:szCs w:val="22"/>
          <w:lang w:val="el-GR"/>
        </w:rPr>
      </w:pPr>
    </w:p>
    <w:p w14:paraId="020F27DA" w14:textId="6A8C944E" w:rsidR="00A47A37" w:rsidRPr="00F9461E" w:rsidRDefault="00DB0B8D" w:rsidP="003A47C3">
      <w:pPr>
        <w:pStyle w:val="af1"/>
        <w:numPr>
          <w:ilvl w:val="0"/>
          <w:numId w:val="1"/>
        </w:numPr>
        <w:spacing w:before="80" w:after="80"/>
        <w:ind w:left="357" w:hanging="357"/>
        <w:contextualSpacing w:val="0"/>
        <w:jc w:val="both"/>
        <w:rPr>
          <w:rFonts w:ascii="Ping LCG Regular" w:hAnsi="Ping LCG Regular" w:cs="Arial"/>
          <w:b/>
          <w:spacing w:val="-14"/>
          <w:szCs w:val="26"/>
        </w:rPr>
      </w:pPr>
      <w:bookmarkStart w:id="0" w:name="_Hlk113019368"/>
      <w:r w:rsidRPr="00F9461E">
        <w:rPr>
          <w:rFonts w:ascii="Ping LCG Regular" w:hAnsi="Ping LCG Regular" w:cs="Arial"/>
          <w:b/>
          <w:spacing w:val="-14"/>
          <w:szCs w:val="26"/>
        </w:rPr>
        <w:t>Επαναλαμβανόμενο EBITDA ύψους €</w:t>
      </w:r>
      <w:r w:rsidR="006C4D38" w:rsidRPr="00F9461E">
        <w:rPr>
          <w:rFonts w:ascii="Ping LCG Regular" w:hAnsi="Ping LCG Regular" w:cs="Arial"/>
          <w:b/>
          <w:spacing w:val="-14"/>
          <w:szCs w:val="26"/>
        </w:rPr>
        <w:t>9</w:t>
      </w:r>
      <w:r w:rsidR="007C29C4" w:rsidRPr="00F9461E">
        <w:rPr>
          <w:rFonts w:ascii="Ping LCG Regular" w:hAnsi="Ping LCG Regular" w:cs="Arial"/>
          <w:b/>
          <w:spacing w:val="-14"/>
          <w:szCs w:val="26"/>
        </w:rPr>
        <w:t>53,7</w:t>
      </w:r>
      <w:r w:rsidR="00695750" w:rsidRPr="00F9461E">
        <w:rPr>
          <w:rFonts w:ascii="Ping LCG Regular" w:hAnsi="Ping LCG Regular" w:cs="Arial"/>
          <w:b/>
          <w:spacing w:val="-14"/>
          <w:szCs w:val="26"/>
        </w:rPr>
        <w:t xml:space="preserve"> </w:t>
      </w:r>
      <w:r w:rsidRPr="00F9461E">
        <w:rPr>
          <w:rFonts w:ascii="Ping LCG Regular" w:hAnsi="Ping LCG Regular" w:cs="Arial"/>
          <w:b/>
          <w:spacing w:val="-14"/>
          <w:szCs w:val="26"/>
        </w:rPr>
        <w:t>εκατ. το 2022 από €</w:t>
      </w:r>
      <w:r w:rsidR="004C7892" w:rsidRPr="00F9461E">
        <w:rPr>
          <w:rFonts w:ascii="Ping LCG Regular" w:hAnsi="Ping LCG Regular" w:cs="Arial"/>
          <w:b/>
          <w:spacing w:val="-14"/>
          <w:szCs w:val="26"/>
        </w:rPr>
        <w:t>871,</w:t>
      </w:r>
      <w:r w:rsidR="007C29C4" w:rsidRPr="00F9461E">
        <w:rPr>
          <w:rFonts w:ascii="Ping LCG Regular" w:hAnsi="Ping LCG Regular" w:cs="Arial"/>
          <w:b/>
          <w:spacing w:val="-14"/>
          <w:szCs w:val="26"/>
        </w:rPr>
        <w:t>7</w:t>
      </w:r>
      <w:r w:rsidRPr="00F9461E">
        <w:rPr>
          <w:rFonts w:ascii="Ping LCG Regular" w:hAnsi="Ping LCG Regular" w:cs="Arial"/>
          <w:b/>
          <w:spacing w:val="-14"/>
          <w:szCs w:val="26"/>
        </w:rPr>
        <w:t xml:space="preserve"> εκατ. το 2021</w:t>
      </w:r>
      <w:r w:rsidR="00A47A37" w:rsidRPr="00F9461E">
        <w:rPr>
          <w:rFonts w:ascii="Ping LCG Regular" w:hAnsi="Ping LCG Regular" w:cs="Arial"/>
          <w:b/>
          <w:spacing w:val="-14"/>
          <w:szCs w:val="26"/>
        </w:rPr>
        <w:t xml:space="preserve"> </w:t>
      </w:r>
      <w:r w:rsidR="00A47A37" w:rsidRPr="00F9461E">
        <w:rPr>
          <w:rFonts w:ascii="Ping LCG Regular" w:hAnsi="Ping LCG Regular" w:cs="Arial"/>
          <w:b/>
          <w:color w:val="FF0000"/>
          <w:spacing w:val="-14"/>
          <w:szCs w:val="26"/>
        </w:rPr>
        <w:t xml:space="preserve"> </w:t>
      </w:r>
      <w:r w:rsidR="00A47A37" w:rsidRPr="00F9461E">
        <w:rPr>
          <w:rFonts w:ascii="Ping LCG Regular" w:hAnsi="Ping LCG Regular" w:cs="Arial"/>
          <w:b/>
          <w:spacing w:val="-14"/>
          <w:szCs w:val="26"/>
        </w:rPr>
        <w:t>– Ανθεκτική κερδοφορία τα 3 τελευταία χρόνια</w:t>
      </w:r>
    </w:p>
    <w:p w14:paraId="6BF3FDC8" w14:textId="3ACA58CD" w:rsidR="00C5189D" w:rsidRPr="00F9461E" w:rsidRDefault="00CB075C" w:rsidP="003A47C3">
      <w:pPr>
        <w:pStyle w:val="af1"/>
        <w:numPr>
          <w:ilvl w:val="0"/>
          <w:numId w:val="1"/>
        </w:numPr>
        <w:spacing w:before="80" w:after="80"/>
        <w:ind w:left="357" w:hanging="357"/>
        <w:contextualSpacing w:val="0"/>
        <w:jc w:val="both"/>
        <w:rPr>
          <w:rFonts w:ascii="Ping LCG Regular" w:hAnsi="Ping LCG Regular" w:cs="Arial"/>
          <w:b/>
          <w:spacing w:val="-14"/>
          <w:szCs w:val="26"/>
        </w:rPr>
      </w:pPr>
      <w:r w:rsidRPr="00F9461E">
        <w:rPr>
          <w:rFonts w:ascii="Ping LCG Regular" w:hAnsi="Ping LCG Regular" w:cs="Arial"/>
          <w:b/>
          <w:spacing w:val="-14"/>
          <w:szCs w:val="26"/>
        </w:rPr>
        <w:t>Σημαντική μείωση το</w:t>
      </w:r>
      <w:r w:rsidR="00A25FAB" w:rsidRPr="00F9461E">
        <w:rPr>
          <w:rFonts w:ascii="Ping LCG Regular" w:hAnsi="Ping LCG Regular" w:cs="Arial"/>
          <w:b/>
          <w:spacing w:val="-14"/>
          <w:szCs w:val="26"/>
        </w:rPr>
        <w:t>υ</w:t>
      </w:r>
      <w:r w:rsidRPr="00F9461E">
        <w:rPr>
          <w:rFonts w:ascii="Ping LCG Regular" w:hAnsi="Ping LCG Regular" w:cs="Arial"/>
          <w:b/>
          <w:spacing w:val="-14"/>
          <w:szCs w:val="26"/>
        </w:rPr>
        <w:t xml:space="preserve"> καθαρού δανεισμού </w:t>
      </w:r>
      <w:r w:rsidR="00A66690" w:rsidRPr="00F9461E">
        <w:rPr>
          <w:rFonts w:ascii="Ping LCG Regular" w:hAnsi="Ping LCG Regular" w:cs="Arial"/>
          <w:b/>
          <w:spacing w:val="-14"/>
          <w:szCs w:val="26"/>
        </w:rPr>
        <w:t xml:space="preserve">κατά </w:t>
      </w:r>
      <w:r w:rsidR="000F15D4" w:rsidRPr="00F9461E">
        <w:rPr>
          <w:rFonts w:ascii="Ping LCG Regular" w:hAnsi="Ping LCG Regular" w:cs="Arial"/>
          <w:b/>
          <w:spacing w:val="-14"/>
          <w:szCs w:val="26"/>
        </w:rPr>
        <w:t xml:space="preserve">€502 εκατ. </w:t>
      </w:r>
      <w:r w:rsidR="00A25FAB" w:rsidRPr="00F9461E">
        <w:rPr>
          <w:rFonts w:ascii="Ping LCG Regular" w:hAnsi="Ping LCG Regular" w:cs="Arial"/>
          <w:b/>
          <w:spacing w:val="-14"/>
          <w:szCs w:val="26"/>
        </w:rPr>
        <w:t>σε σχέση με το 2021</w:t>
      </w:r>
    </w:p>
    <w:p w14:paraId="6A60F39A" w14:textId="77777777" w:rsidR="00EE4F88" w:rsidRPr="00F108A5" w:rsidRDefault="00EE4F88" w:rsidP="00EE4F88">
      <w:pPr>
        <w:pStyle w:val="af1"/>
        <w:numPr>
          <w:ilvl w:val="0"/>
          <w:numId w:val="1"/>
        </w:numPr>
        <w:spacing w:before="80" w:after="80"/>
        <w:ind w:left="357" w:hanging="357"/>
        <w:jc w:val="both"/>
        <w:rPr>
          <w:rFonts w:ascii="Ping LCG Regular" w:hAnsi="Ping LCG Regular" w:cs="Arial"/>
          <w:b/>
          <w:spacing w:val="-14"/>
          <w:szCs w:val="26"/>
        </w:rPr>
      </w:pPr>
      <w:r w:rsidRPr="00F9461E">
        <w:rPr>
          <w:rFonts w:ascii="Ping LCG Regular" w:hAnsi="Ping LCG Regular" w:cs="Arial"/>
          <w:b/>
          <w:spacing w:val="-14"/>
          <w:szCs w:val="26"/>
        </w:rPr>
        <w:t xml:space="preserve">Συνεισφορά στην ενεργειακή κρίση συνολικού ύψους €1,8 </w:t>
      </w:r>
      <w:proofErr w:type="spellStart"/>
      <w:r w:rsidRPr="00F9461E">
        <w:rPr>
          <w:rFonts w:ascii="Ping LCG Regular" w:hAnsi="Ping LCG Regular" w:cs="Arial"/>
          <w:b/>
          <w:spacing w:val="-14"/>
          <w:szCs w:val="26"/>
        </w:rPr>
        <w:t>δισ</w:t>
      </w:r>
      <w:proofErr w:type="spellEnd"/>
      <w:r w:rsidRPr="00F9461E">
        <w:rPr>
          <w:rFonts w:ascii="Ping LCG Regular" w:hAnsi="Ping LCG Regular" w:cs="Arial"/>
          <w:b/>
          <w:spacing w:val="-14"/>
          <w:szCs w:val="26"/>
        </w:rPr>
        <w:t xml:space="preserve"> το 2022 (έναντι €800 εκατ.</w:t>
      </w:r>
      <w:r w:rsidRPr="00F108A5">
        <w:rPr>
          <w:rFonts w:ascii="Ping LCG Regular" w:hAnsi="Ping LCG Regular" w:cs="Arial"/>
          <w:b/>
          <w:spacing w:val="-14"/>
          <w:szCs w:val="26"/>
        </w:rPr>
        <w:t xml:space="preserve"> το 2021) μέσα από:</w:t>
      </w:r>
    </w:p>
    <w:p w14:paraId="246E4F29" w14:textId="77777777" w:rsidR="00EE4F88" w:rsidRPr="00F108A5" w:rsidRDefault="00EE4F88" w:rsidP="00EE4F88">
      <w:pPr>
        <w:pStyle w:val="af1"/>
        <w:numPr>
          <w:ilvl w:val="0"/>
          <w:numId w:val="17"/>
        </w:numPr>
        <w:spacing w:before="80" w:after="80"/>
        <w:jc w:val="both"/>
        <w:rPr>
          <w:rFonts w:ascii="Ping LCG Regular" w:hAnsi="Ping LCG Regular" w:cs="Arial"/>
          <w:b/>
          <w:spacing w:val="-14"/>
          <w:szCs w:val="26"/>
        </w:rPr>
      </w:pPr>
      <w:r w:rsidRPr="00F108A5">
        <w:rPr>
          <w:rFonts w:ascii="Ping LCG Regular" w:hAnsi="Ping LCG Regular" w:cs="Arial"/>
          <w:b/>
          <w:spacing w:val="-14"/>
          <w:szCs w:val="26"/>
        </w:rPr>
        <w:t xml:space="preserve">την στήριξη του Ταμείου Ενεργειακής Μετάβασης [το οποίο λειτούργησε ως μέσο επιδότησης για όλη τη χώρα] μέσω της παρακράτησης εσόδων στην δραστηριότητα της παραγωγής ηλεκτρικής ενέργειας </w:t>
      </w:r>
    </w:p>
    <w:p w14:paraId="36DFA72B" w14:textId="77777777" w:rsidR="00EE4F88" w:rsidRPr="00F108A5" w:rsidRDefault="00EE4F88" w:rsidP="00EE4F88">
      <w:pPr>
        <w:pStyle w:val="af1"/>
        <w:numPr>
          <w:ilvl w:val="0"/>
          <w:numId w:val="17"/>
        </w:numPr>
        <w:spacing w:before="80" w:after="80"/>
        <w:jc w:val="both"/>
        <w:rPr>
          <w:rFonts w:ascii="Ping LCG Regular" w:hAnsi="Ping LCG Regular" w:cs="Arial"/>
          <w:b/>
          <w:spacing w:val="-14"/>
          <w:szCs w:val="26"/>
        </w:rPr>
      </w:pPr>
      <w:r w:rsidRPr="00F108A5">
        <w:rPr>
          <w:rFonts w:ascii="Ping LCG Regular" w:hAnsi="Ping LCG Regular" w:cs="Arial"/>
          <w:b/>
          <w:spacing w:val="-14"/>
          <w:szCs w:val="26"/>
        </w:rPr>
        <w:t xml:space="preserve">την στήριξη των πελατών μέσω των τιμολογίων, </w:t>
      </w:r>
    </w:p>
    <w:p w14:paraId="3D1CFD34" w14:textId="77777777" w:rsidR="00EE4F88" w:rsidRPr="00F108A5" w:rsidRDefault="00EE4F88" w:rsidP="00EE4F88">
      <w:pPr>
        <w:pStyle w:val="af1"/>
        <w:numPr>
          <w:ilvl w:val="0"/>
          <w:numId w:val="17"/>
        </w:numPr>
        <w:spacing w:before="80" w:after="80"/>
        <w:jc w:val="both"/>
        <w:rPr>
          <w:rFonts w:ascii="Ping LCG Regular" w:hAnsi="Ping LCG Regular" w:cs="Arial"/>
          <w:b/>
          <w:spacing w:val="-14"/>
          <w:szCs w:val="26"/>
        </w:rPr>
      </w:pPr>
      <w:r w:rsidRPr="00F108A5">
        <w:rPr>
          <w:rFonts w:ascii="Ping LCG Regular" w:hAnsi="Ping LCG Regular" w:cs="Arial"/>
          <w:b/>
          <w:spacing w:val="-14"/>
          <w:szCs w:val="26"/>
        </w:rPr>
        <w:t xml:space="preserve">την έκτακτη εισφορά στην δραστηριότητα παραγωγής ηλεκτρικής ενέργειας </w:t>
      </w:r>
    </w:p>
    <w:p w14:paraId="19E90F2E" w14:textId="59297333" w:rsidR="00FF3B6D" w:rsidRPr="00982826" w:rsidRDefault="00DC1AF0">
      <w:pPr>
        <w:pStyle w:val="af1"/>
        <w:numPr>
          <w:ilvl w:val="0"/>
          <w:numId w:val="1"/>
        </w:numPr>
        <w:spacing w:before="80" w:after="80"/>
        <w:ind w:left="357" w:hanging="357"/>
        <w:contextualSpacing w:val="0"/>
        <w:jc w:val="both"/>
        <w:rPr>
          <w:rFonts w:ascii="Ping LCG Regular" w:hAnsi="Ping LCG Regular" w:cs="Arial"/>
          <w:b/>
          <w:spacing w:val="-14"/>
          <w:szCs w:val="26"/>
        </w:rPr>
      </w:pPr>
      <w:r w:rsidRPr="00F108A5">
        <w:rPr>
          <w:rFonts w:ascii="Ping LCG Regular" w:hAnsi="Ping LCG Regular" w:cs="Arial"/>
          <w:b/>
          <w:spacing w:val="-14"/>
          <w:szCs w:val="26"/>
        </w:rPr>
        <w:t>Αύξηση επενδύσεων κατά €248 εκατ. σε σχέση</w:t>
      </w:r>
      <w:r w:rsidRPr="00982826">
        <w:rPr>
          <w:rFonts w:ascii="Ping LCG Regular" w:hAnsi="Ping LCG Regular" w:cs="Arial"/>
          <w:b/>
          <w:spacing w:val="-14"/>
          <w:szCs w:val="26"/>
        </w:rPr>
        <w:t xml:space="preserve"> με το 2021 </w:t>
      </w:r>
      <w:r w:rsidR="007E7213" w:rsidRPr="00982826">
        <w:rPr>
          <w:rFonts w:ascii="Ping LCG Regular" w:hAnsi="Ping LCG Regular" w:cs="Arial"/>
          <w:b/>
          <w:spacing w:val="-14"/>
          <w:szCs w:val="26"/>
        </w:rPr>
        <w:t xml:space="preserve">με αυξημένες επενδύσεις στο Δίκτυο Διανομής και σε έργα ΑΠΕ </w:t>
      </w:r>
    </w:p>
    <w:p w14:paraId="6D86CAD7" w14:textId="28437C80" w:rsidR="00FE4C26" w:rsidRPr="00982826" w:rsidRDefault="000B1103" w:rsidP="00974763">
      <w:pPr>
        <w:pStyle w:val="af1"/>
        <w:numPr>
          <w:ilvl w:val="0"/>
          <w:numId w:val="1"/>
        </w:numPr>
        <w:spacing w:before="80" w:after="80"/>
        <w:ind w:left="357" w:hanging="357"/>
        <w:contextualSpacing w:val="0"/>
        <w:jc w:val="both"/>
        <w:rPr>
          <w:rFonts w:ascii="Ping LCG Regular" w:hAnsi="Ping LCG Regular" w:cs="Arial"/>
          <w:b/>
          <w:spacing w:val="-14"/>
          <w:szCs w:val="26"/>
        </w:rPr>
      </w:pPr>
      <w:r w:rsidRPr="00982826">
        <w:rPr>
          <w:rFonts w:ascii="Ping LCG Regular" w:hAnsi="Ping LCG Regular" w:cs="Arial"/>
          <w:b/>
          <w:spacing w:val="-14"/>
          <w:szCs w:val="26"/>
        </w:rPr>
        <w:t>Πάνω από 600</w:t>
      </w:r>
      <w:r w:rsidRPr="00982826">
        <w:rPr>
          <w:rFonts w:ascii="Ping LCG Regular" w:hAnsi="Ping LCG Regular" w:cs="Arial"/>
          <w:b/>
          <w:spacing w:val="-14"/>
          <w:szCs w:val="26"/>
          <w:lang w:val="en-US"/>
        </w:rPr>
        <w:t>MW</w:t>
      </w:r>
      <w:r w:rsidRPr="00982826">
        <w:rPr>
          <w:rFonts w:ascii="Ping LCG Regular" w:hAnsi="Ping LCG Regular" w:cs="Arial"/>
          <w:b/>
          <w:spacing w:val="-14"/>
          <w:szCs w:val="26"/>
        </w:rPr>
        <w:t xml:space="preserve"> </w:t>
      </w:r>
      <w:r w:rsidR="00757629" w:rsidRPr="00982826">
        <w:rPr>
          <w:rFonts w:ascii="Ping LCG Regular" w:hAnsi="Ping LCG Regular" w:cs="Arial"/>
          <w:b/>
          <w:spacing w:val="-14"/>
          <w:szCs w:val="26"/>
        </w:rPr>
        <w:t xml:space="preserve">έργων ΑΠΕ σε λειτουργία/ολοκλήρωση κατασκευής - </w:t>
      </w:r>
      <w:r w:rsidR="00FE4C26" w:rsidRPr="00982826">
        <w:rPr>
          <w:rFonts w:ascii="Ping LCG Regular" w:hAnsi="Ping LCG Regular" w:cs="Arial"/>
          <w:b/>
          <w:spacing w:val="-14"/>
          <w:szCs w:val="26"/>
        </w:rPr>
        <w:t xml:space="preserve">Εξασφαλισμένη υλοποίηση από πλευράς </w:t>
      </w:r>
      <w:proofErr w:type="spellStart"/>
      <w:r w:rsidR="00FE4C26" w:rsidRPr="00982826">
        <w:rPr>
          <w:rFonts w:ascii="Ping LCG Regular" w:hAnsi="Ping LCG Regular" w:cs="Arial"/>
          <w:b/>
          <w:spacing w:val="-14"/>
          <w:szCs w:val="26"/>
        </w:rPr>
        <w:t>αδειοδότησης</w:t>
      </w:r>
      <w:proofErr w:type="spellEnd"/>
      <w:r w:rsidR="00FE4C26" w:rsidRPr="00982826">
        <w:rPr>
          <w:rFonts w:ascii="Ping LCG Regular" w:hAnsi="Ping LCG Regular" w:cs="Arial"/>
          <w:b/>
          <w:spacing w:val="-14"/>
          <w:szCs w:val="26"/>
        </w:rPr>
        <w:t xml:space="preserve"> για έργα ΑΠΕ ισχύος άνω των 4GW</w:t>
      </w:r>
    </w:p>
    <w:p w14:paraId="1FB7DC0D" w14:textId="77777777" w:rsidR="003A47C3" w:rsidRPr="00872A1E" w:rsidRDefault="003A47C3" w:rsidP="003A47C3">
      <w:pPr>
        <w:spacing w:before="80" w:after="80"/>
        <w:jc w:val="both"/>
        <w:rPr>
          <w:rFonts w:ascii="Ping LCG Regular" w:hAnsi="Ping LCG Regular" w:cs="Arial"/>
          <w:b/>
          <w:color w:val="FF0000"/>
          <w:spacing w:val="-14"/>
          <w:sz w:val="12"/>
          <w:szCs w:val="14"/>
          <w:highlight w:val="yellow"/>
          <w:lang w:val="el-GR"/>
        </w:rPr>
      </w:pPr>
      <w:bookmarkStart w:id="1" w:name="_Hlk89091054"/>
      <w:bookmarkEnd w:id="0"/>
    </w:p>
    <w:bookmarkEnd w:id="1"/>
    <w:p w14:paraId="3EFA38E5" w14:textId="77777777" w:rsidR="00F36247" w:rsidRPr="00872A1E" w:rsidRDefault="00F36247" w:rsidP="00D86811">
      <w:pPr>
        <w:pStyle w:val="af1"/>
        <w:spacing w:before="80" w:after="80"/>
        <w:ind w:left="357"/>
        <w:contextualSpacing w:val="0"/>
        <w:jc w:val="both"/>
        <w:rPr>
          <w:rFonts w:ascii="Ping LCG Regular" w:hAnsi="Ping LCG Regular" w:cs="Arial"/>
          <w:b/>
          <w:color w:val="FF0000"/>
          <w:spacing w:val="-14"/>
          <w:sz w:val="12"/>
          <w:szCs w:val="14"/>
          <w:highlight w:val="yellow"/>
        </w:rPr>
      </w:pPr>
    </w:p>
    <w:p w14:paraId="7ADB75A3" w14:textId="291992B7" w:rsidR="00E60B4C" w:rsidRPr="00872A1E" w:rsidRDefault="00A249A6" w:rsidP="00DD353A">
      <w:pPr>
        <w:spacing w:line="276" w:lineRule="auto"/>
        <w:rPr>
          <w:rFonts w:ascii="Ping LCG Regular" w:hAnsi="Ping LCG Regular" w:cs="Arial"/>
          <w:b/>
          <w:spacing w:val="-14"/>
          <w:szCs w:val="28"/>
          <w:lang w:val="el-GR"/>
        </w:rPr>
      </w:pPr>
      <w:r w:rsidRPr="00872A1E">
        <w:rPr>
          <w:rFonts w:ascii="Ping LCG Regular" w:hAnsi="Ping LCG Regular" w:cs="Arial"/>
          <w:b/>
          <w:spacing w:val="-14"/>
          <w:szCs w:val="28"/>
          <w:lang w:val="el-GR"/>
        </w:rPr>
        <w:t>Συνοπτικά Οικονομικά Αποτελέσματα Ομίλου</w:t>
      </w:r>
      <w:r w:rsidR="00F1032A" w:rsidRPr="00872A1E">
        <w:rPr>
          <w:rFonts w:ascii="Ping LCG Regular" w:hAnsi="Ping LCG Regular" w:cs="Arial"/>
          <w:b/>
          <w:spacing w:val="-14"/>
          <w:szCs w:val="28"/>
          <w:lang w:val="el-GR"/>
        </w:rPr>
        <w:t xml:space="preserve"> </w:t>
      </w:r>
    </w:p>
    <w:p w14:paraId="68C896F6" w14:textId="30AFC0FE" w:rsidR="00B54E47" w:rsidRPr="00F438A7" w:rsidRDefault="009168C9" w:rsidP="0095008A">
      <w:pPr>
        <w:spacing w:line="276" w:lineRule="auto"/>
        <w:rPr>
          <w:rFonts w:ascii="Ping LCG Regular" w:hAnsi="Ping LCG Regular" w:cs="Arial"/>
          <w:bCs/>
          <w:i/>
          <w:iCs/>
          <w:spacing w:val="-14"/>
          <w:sz w:val="20"/>
          <w:szCs w:val="22"/>
          <w:lang w:val="el-GR"/>
        </w:rPr>
      </w:pPr>
      <w:r w:rsidRPr="00F438A7">
        <w:rPr>
          <w:rFonts w:ascii="Ping LCG Regular" w:hAnsi="Ping LCG Regular" w:cs="Arial"/>
          <w:bCs/>
          <w:i/>
          <w:iCs/>
          <w:spacing w:val="-14"/>
          <w:sz w:val="20"/>
          <w:szCs w:val="22"/>
          <w:lang w:val="el-GR"/>
        </w:rPr>
        <w:t xml:space="preserve"> </w:t>
      </w:r>
      <w:r w:rsidR="00F438A7" w:rsidRPr="00F438A7">
        <w:rPr>
          <w:noProof/>
        </w:rPr>
        <w:drawing>
          <wp:inline distT="0" distB="0" distL="0" distR="0" wp14:anchorId="0FB042F2" wp14:editId="42FC4DA8">
            <wp:extent cx="6210935" cy="3230245"/>
            <wp:effectExtent l="0" t="0" r="0" b="825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0935" cy="3230245"/>
                    </a:xfrm>
                    <a:prstGeom prst="rect">
                      <a:avLst/>
                    </a:prstGeom>
                    <a:noFill/>
                    <a:ln>
                      <a:noFill/>
                    </a:ln>
                  </pic:spPr>
                </pic:pic>
              </a:graphicData>
            </a:graphic>
          </wp:inline>
        </w:drawing>
      </w:r>
    </w:p>
    <w:p w14:paraId="7DAE7C3D" w14:textId="77777777" w:rsidR="00D02AB0" w:rsidRPr="00872A1E" w:rsidRDefault="00D02AB0" w:rsidP="002A450B">
      <w:pPr>
        <w:spacing w:line="276" w:lineRule="auto"/>
        <w:jc w:val="both"/>
        <w:rPr>
          <w:rFonts w:ascii="Ping LCG Regular" w:hAnsi="Ping LCG Regular" w:cs="Arial"/>
          <w:bCs/>
          <w:spacing w:val="-14"/>
          <w:sz w:val="22"/>
          <w:lang w:val="el-GR"/>
        </w:rPr>
      </w:pPr>
    </w:p>
    <w:p w14:paraId="3150CF73" w14:textId="4B17F627" w:rsidR="009E0DEA" w:rsidRPr="00872A1E" w:rsidRDefault="002A450B" w:rsidP="002A450B">
      <w:pPr>
        <w:spacing w:line="276" w:lineRule="auto"/>
        <w:jc w:val="both"/>
        <w:rPr>
          <w:rFonts w:ascii="Ping LCG Regular" w:hAnsi="Ping LCG Regular" w:cs="Arial"/>
          <w:bCs/>
          <w:spacing w:val="-14"/>
          <w:sz w:val="22"/>
          <w:lang w:val="el-GR"/>
        </w:rPr>
      </w:pPr>
      <w:r w:rsidRPr="00872A1E">
        <w:rPr>
          <w:rFonts w:ascii="Ping LCG Regular" w:hAnsi="Ping LCG Regular" w:cs="Arial"/>
          <w:bCs/>
          <w:spacing w:val="-14"/>
          <w:sz w:val="22"/>
          <w:lang w:val="el-GR"/>
        </w:rPr>
        <w:t xml:space="preserve">Για περισσότερες πληροφορίες σχετικά με τους ορισμούς δεικτών που περιλαμβάνονται στα παραπάνω μεγέθη, μπορείτε να ανατρέξετε </w:t>
      </w:r>
      <w:r w:rsidR="00BF4A91" w:rsidRPr="00872A1E">
        <w:rPr>
          <w:rFonts w:ascii="Ping LCG Regular" w:hAnsi="Ping LCG Regular" w:cs="Arial"/>
          <w:bCs/>
          <w:spacing w:val="-14"/>
          <w:sz w:val="22"/>
          <w:lang w:val="el-GR"/>
        </w:rPr>
        <w:t xml:space="preserve">στην </w:t>
      </w:r>
      <w:r w:rsidR="00732FF7" w:rsidRPr="00872A1E">
        <w:rPr>
          <w:rFonts w:ascii="Ping LCG Regular" w:hAnsi="Ping LCG Regular" w:cs="Arial"/>
          <w:bCs/>
          <w:spacing w:val="-14"/>
          <w:sz w:val="22"/>
          <w:lang w:val="el-GR"/>
        </w:rPr>
        <w:t>Ετήσια</w:t>
      </w:r>
      <w:r w:rsidR="00BF4A91" w:rsidRPr="00872A1E">
        <w:rPr>
          <w:rFonts w:ascii="Ping LCG Regular" w:hAnsi="Ping LCG Regular" w:cs="Arial"/>
          <w:bCs/>
          <w:spacing w:val="-14"/>
          <w:sz w:val="22"/>
          <w:lang w:val="el-GR"/>
        </w:rPr>
        <w:t xml:space="preserve"> Οικονομική Έκθεση 2022</w:t>
      </w:r>
      <w:r w:rsidR="004A7A45" w:rsidRPr="00872A1E">
        <w:rPr>
          <w:rFonts w:ascii="Ping LCG Regular" w:hAnsi="Ping LCG Regular" w:cs="Arial"/>
          <w:bCs/>
          <w:spacing w:val="-14"/>
          <w:sz w:val="22"/>
          <w:lang w:val="el-GR"/>
        </w:rPr>
        <w:t xml:space="preserve"> </w:t>
      </w:r>
      <w:r w:rsidRPr="00872A1E">
        <w:rPr>
          <w:rFonts w:ascii="Ping LCG Regular" w:hAnsi="Ping LCG Regular" w:cs="Arial"/>
          <w:bCs/>
          <w:spacing w:val="-14"/>
          <w:sz w:val="22"/>
          <w:lang w:val="el-GR"/>
        </w:rPr>
        <w:t>Παράρτημα: Ορισμοί και συμφωνία των Εναλλακτικών Δεικτών Μέτρησης Απόδοσης - “ΕΔΜΑ”.</w:t>
      </w:r>
    </w:p>
    <w:p w14:paraId="45CC7009" w14:textId="1E21EA21" w:rsidR="00E560F3" w:rsidRPr="00872A1E" w:rsidRDefault="002A450B" w:rsidP="00E560F3">
      <w:pPr>
        <w:rPr>
          <w:rFonts w:ascii="Ping LCG Regular" w:hAnsi="Ping LCG Regular" w:cs="Arial"/>
          <w:b/>
          <w:spacing w:val="-14"/>
          <w:szCs w:val="28"/>
          <w:lang w:val="el-GR"/>
        </w:rPr>
      </w:pPr>
      <w:r w:rsidRPr="00872A1E">
        <w:rPr>
          <w:rFonts w:ascii="Ping LCG Regular" w:hAnsi="Ping LCG Regular" w:cs="Arial"/>
          <w:b/>
          <w:spacing w:val="-14"/>
          <w:szCs w:val="28"/>
          <w:lang w:val="el-GR"/>
        </w:rPr>
        <w:br w:type="page"/>
      </w:r>
      <w:r w:rsidR="00E560F3" w:rsidRPr="00872A1E">
        <w:rPr>
          <w:rFonts w:ascii="Ping LCG Regular" w:hAnsi="Ping LCG Regular" w:cs="Arial"/>
          <w:b/>
          <w:spacing w:val="-14"/>
          <w:szCs w:val="28"/>
          <w:lang w:val="el-GR"/>
        </w:rPr>
        <w:lastRenderedPageBreak/>
        <w:t>Εξέλιξη Βασικών Μεγεθών</w:t>
      </w:r>
      <w:r w:rsidR="003F055C" w:rsidRPr="00872A1E">
        <w:rPr>
          <w:rFonts w:ascii="Ping LCG Regular" w:hAnsi="Ping LCG Regular" w:cs="Arial"/>
          <w:b/>
          <w:spacing w:val="-14"/>
          <w:szCs w:val="28"/>
          <w:lang w:val="el-GR"/>
        </w:rPr>
        <w:t xml:space="preserve"> Ομίλου</w:t>
      </w:r>
      <w:r w:rsidR="0090266A" w:rsidRPr="00872A1E">
        <w:rPr>
          <w:rFonts w:ascii="Ping LCG Regular" w:hAnsi="Ping LCG Regular" w:cs="Arial"/>
          <w:b/>
          <w:spacing w:val="-14"/>
          <w:szCs w:val="28"/>
          <w:lang w:val="el-GR"/>
        </w:rPr>
        <w:t xml:space="preserve"> (€ εκατ.)</w:t>
      </w:r>
      <w:r w:rsidR="00B05E93" w:rsidRPr="00872A1E">
        <w:rPr>
          <w:rFonts w:ascii="Ping LCG Regular" w:hAnsi="Ping LCG Regular" w:cs="Arial"/>
          <w:b/>
          <w:spacing w:val="-14"/>
          <w:szCs w:val="28"/>
          <w:lang w:val="el-GR"/>
        </w:rPr>
        <w:t xml:space="preserve"> </w:t>
      </w:r>
    </w:p>
    <w:p w14:paraId="5D6F5F9D" w14:textId="5F0B4340" w:rsidR="008C141D" w:rsidRPr="00872A1E" w:rsidRDefault="008C141D" w:rsidP="00E560F3">
      <w:pPr>
        <w:rPr>
          <w:rFonts w:ascii="Ping LCG Regular" w:hAnsi="Ping LCG Regular" w:cs="Arial"/>
          <w:b/>
          <w:spacing w:val="-14"/>
          <w:szCs w:val="28"/>
          <w:lang w:val="el-GR"/>
        </w:rPr>
      </w:pPr>
    </w:p>
    <w:p w14:paraId="4112272C" w14:textId="3D31D29C" w:rsidR="008C141D" w:rsidRPr="00872A1E" w:rsidRDefault="00A07D70" w:rsidP="00E560F3">
      <w:pPr>
        <w:rPr>
          <w:rFonts w:ascii="Ping LCG Regular" w:hAnsi="Ping LCG Regular" w:cs="Arial"/>
          <w:b/>
          <w:spacing w:val="-14"/>
          <w:szCs w:val="28"/>
          <w:lang w:val="el-GR"/>
        </w:rPr>
      </w:pPr>
      <w:r>
        <w:rPr>
          <w:rFonts w:ascii="Ping LCG Regular" w:hAnsi="Ping LCG Regular" w:cs="Arial"/>
          <w:b/>
          <w:noProof/>
          <w:spacing w:val="-14"/>
          <w:szCs w:val="28"/>
          <w:lang w:val="el-GR"/>
        </w:rPr>
        <w:drawing>
          <wp:inline distT="0" distB="0" distL="0" distR="0" wp14:anchorId="7D86741F" wp14:editId="19541F64">
            <wp:extent cx="6180082" cy="1438349"/>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44213" cy="1453275"/>
                    </a:xfrm>
                    <a:prstGeom prst="rect">
                      <a:avLst/>
                    </a:prstGeom>
                    <a:noFill/>
                  </pic:spPr>
                </pic:pic>
              </a:graphicData>
            </a:graphic>
          </wp:inline>
        </w:drawing>
      </w:r>
    </w:p>
    <w:p w14:paraId="48F9D178" w14:textId="2C6FEDF0" w:rsidR="0006402D" w:rsidRPr="00872A1E" w:rsidRDefault="0006402D" w:rsidP="00E560F3">
      <w:pPr>
        <w:rPr>
          <w:rFonts w:ascii="Ping LCG Regular" w:hAnsi="Ping LCG Regular" w:cs="Arial"/>
          <w:b/>
          <w:spacing w:val="-14"/>
          <w:szCs w:val="28"/>
          <w:highlight w:val="yellow"/>
          <w:lang w:val="el-GR"/>
        </w:rPr>
      </w:pPr>
    </w:p>
    <w:p w14:paraId="0F9EFCAB" w14:textId="4DDE607F" w:rsidR="008C141D" w:rsidRPr="00A65ACF" w:rsidRDefault="008C141D" w:rsidP="00867D8D">
      <w:pPr>
        <w:rPr>
          <w:rFonts w:ascii="Ping LCG Regular" w:hAnsi="Ping LCG Regular"/>
          <w:b/>
          <w:bCs/>
          <w:color w:val="FF0000"/>
          <w:spacing w:val="-14"/>
          <w:lang w:val="el-GR"/>
        </w:rPr>
      </w:pPr>
    </w:p>
    <w:p w14:paraId="2B81C35B" w14:textId="34D008F9" w:rsidR="0038307E" w:rsidRPr="00872A1E" w:rsidRDefault="0038307E" w:rsidP="00851841">
      <w:pPr>
        <w:rPr>
          <w:rFonts w:ascii="Ping LCG Regular" w:hAnsi="Ping LCG Regular" w:cs="Arial"/>
          <w:b/>
          <w:bCs/>
          <w:spacing w:val="-14"/>
          <w:lang w:val="el-GR"/>
        </w:rPr>
      </w:pPr>
      <w:r w:rsidRPr="00872A1E">
        <w:rPr>
          <w:rFonts w:ascii="Ping LCG Regular" w:hAnsi="Ping LCG Regular" w:cs="Arial"/>
          <w:b/>
          <w:bCs/>
          <w:spacing w:val="-14"/>
          <w:lang w:val="el-GR"/>
        </w:rPr>
        <w:t>Εξέλιξη κερδοφορίας</w:t>
      </w:r>
    </w:p>
    <w:p w14:paraId="698B25CF" w14:textId="77777777" w:rsidR="00A150AC" w:rsidRPr="00872A1E" w:rsidRDefault="00A150AC" w:rsidP="00AF6CD1">
      <w:pPr>
        <w:jc w:val="both"/>
        <w:rPr>
          <w:rFonts w:ascii="Ping LCG Regular" w:hAnsi="Ping LCG Regular" w:cs="Arial"/>
          <w:spacing w:val="-14"/>
          <w:highlight w:val="yellow"/>
          <w:lang w:val="el-GR"/>
        </w:rPr>
      </w:pPr>
    </w:p>
    <w:p w14:paraId="5C114C8C" w14:textId="632A7DAF" w:rsidR="009C0B14" w:rsidRPr="00872A1E" w:rsidRDefault="009C0B14" w:rsidP="009C0B14">
      <w:pPr>
        <w:jc w:val="both"/>
        <w:rPr>
          <w:rFonts w:ascii="Ping LCG Regular" w:hAnsi="Ping LCG Regular" w:cs="Arial"/>
          <w:spacing w:val="-14"/>
          <w:lang w:val="el-GR"/>
        </w:rPr>
      </w:pPr>
      <w:r w:rsidRPr="00872A1E">
        <w:rPr>
          <w:rFonts w:ascii="Ping LCG Regular" w:hAnsi="Ping LCG Regular" w:cs="Arial"/>
          <w:spacing w:val="-14"/>
          <w:lang w:val="el-GR"/>
        </w:rPr>
        <w:t>Α</w:t>
      </w:r>
      <w:r w:rsidR="00BA392E" w:rsidRPr="00872A1E">
        <w:rPr>
          <w:rFonts w:ascii="Ping LCG Regular" w:hAnsi="Ping LCG Regular" w:cs="Arial"/>
          <w:spacing w:val="-14"/>
          <w:lang w:val="el-GR"/>
        </w:rPr>
        <w:t>υξημένη</w:t>
      </w:r>
      <w:r w:rsidRPr="00872A1E">
        <w:rPr>
          <w:rFonts w:ascii="Ping LCG Regular" w:hAnsi="Ping LCG Regular" w:cs="Arial"/>
          <w:spacing w:val="-14"/>
          <w:lang w:val="el-GR"/>
        </w:rPr>
        <w:t xml:space="preserve"> λειτουργική κερδοφορία για το 2022, παρά τη μεγάλη αύξηση των λειτουργικών δαπανών, και κυρίως των δαπανών για αγορές ενέργειας και για φυσικό αέριο. Συγκεκριμένα, τα κέρδη προ τόκων, φόρων και αποσβέσεων (EBITDA) σε επαναλαμβανόμενη βάση διαμορφώθηκαν σε €9</w:t>
      </w:r>
      <w:r w:rsidR="001A1593" w:rsidRPr="00872A1E">
        <w:rPr>
          <w:rFonts w:ascii="Ping LCG Regular" w:hAnsi="Ping LCG Regular" w:cs="Arial"/>
          <w:spacing w:val="-14"/>
          <w:lang w:val="el-GR"/>
        </w:rPr>
        <w:t>5</w:t>
      </w:r>
      <w:r w:rsidR="009347B3" w:rsidRPr="00872A1E">
        <w:rPr>
          <w:rFonts w:ascii="Ping LCG Regular" w:hAnsi="Ping LCG Regular" w:cs="Arial"/>
          <w:spacing w:val="-14"/>
          <w:lang w:val="el-GR"/>
        </w:rPr>
        <w:t>3</w:t>
      </w:r>
      <w:r w:rsidR="00FC623D" w:rsidRPr="00872A1E">
        <w:rPr>
          <w:rFonts w:ascii="Ping LCG Regular" w:hAnsi="Ping LCG Regular" w:cs="Arial"/>
          <w:spacing w:val="-14"/>
          <w:lang w:val="el-GR"/>
        </w:rPr>
        <w:t>,7</w:t>
      </w:r>
      <w:r w:rsidRPr="00872A1E">
        <w:rPr>
          <w:rFonts w:ascii="Ping LCG Regular" w:hAnsi="Ping LCG Regular" w:cs="Arial"/>
          <w:spacing w:val="-14"/>
          <w:lang w:val="el-GR"/>
        </w:rPr>
        <w:t xml:space="preserve"> εκατ., αυξημένα κατά €</w:t>
      </w:r>
      <w:r w:rsidR="009347B3" w:rsidRPr="00872A1E">
        <w:rPr>
          <w:rFonts w:ascii="Ping LCG Regular" w:hAnsi="Ping LCG Regular" w:cs="Arial"/>
          <w:spacing w:val="-14"/>
          <w:lang w:val="el-GR"/>
        </w:rPr>
        <w:t>82</w:t>
      </w:r>
      <w:r w:rsidRPr="00872A1E">
        <w:rPr>
          <w:rFonts w:ascii="Ping LCG Regular" w:hAnsi="Ping LCG Regular" w:cs="Arial"/>
          <w:spacing w:val="-14"/>
          <w:lang w:val="el-GR"/>
        </w:rPr>
        <w:t xml:space="preserve"> εκατ. (</w:t>
      </w:r>
      <w:r w:rsidR="009347B3" w:rsidRPr="00872A1E">
        <w:rPr>
          <w:rFonts w:ascii="Ping LCG Regular" w:hAnsi="Ping LCG Regular" w:cs="Arial"/>
          <w:spacing w:val="-14"/>
          <w:lang w:val="el-GR"/>
        </w:rPr>
        <w:t>9</w:t>
      </w:r>
      <w:r w:rsidR="003C0607" w:rsidRPr="00872A1E">
        <w:rPr>
          <w:rFonts w:ascii="Ping LCG Regular" w:hAnsi="Ping LCG Regular" w:cs="Arial"/>
          <w:spacing w:val="-14"/>
          <w:lang w:val="el-GR"/>
        </w:rPr>
        <w:t>,</w:t>
      </w:r>
      <w:r w:rsidR="009347B3" w:rsidRPr="00872A1E">
        <w:rPr>
          <w:rFonts w:ascii="Ping LCG Regular" w:hAnsi="Ping LCG Regular" w:cs="Arial"/>
          <w:spacing w:val="-14"/>
          <w:lang w:val="el-GR"/>
        </w:rPr>
        <w:t>4</w:t>
      </w:r>
      <w:r w:rsidRPr="00872A1E">
        <w:rPr>
          <w:rFonts w:ascii="Ping LCG Regular" w:hAnsi="Ping LCG Regular" w:cs="Arial"/>
          <w:spacing w:val="-14"/>
          <w:lang w:val="el-GR"/>
        </w:rPr>
        <w:t>%) σε σχέση με τ</w:t>
      </w:r>
      <w:r w:rsidR="009823E2" w:rsidRPr="00872A1E">
        <w:rPr>
          <w:rFonts w:ascii="Ping LCG Regular" w:hAnsi="Ping LCG Regular" w:cs="Arial"/>
          <w:spacing w:val="-14"/>
          <w:lang w:val="el-GR"/>
        </w:rPr>
        <w:t>ο 2021</w:t>
      </w:r>
      <w:r w:rsidRPr="00872A1E">
        <w:rPr>
          <w:rFonts w:ascii="Ping LCG Regular" w:hAnsi="Ping LCG Regular" w:cs="Arial"/>
          <w:spacing w:val="-14"/>
          <w:lang w:val="el-GR"/>
        </w:rPr>
        <w:t xml:space="preserve">. </w:t>
      </w:r>
    </w:p>
    <w:p w14:paraId="1EB2866E" w14:textId="40AB8E5B" w:rsidR="009C0B14" w:rsidRPr="00872A1E" w:rsidRDefault="009C0B14" w:rsidP="009C0B14">
      <w:pPr>
        <w:jc w:val="both"/>
        <w:rPr>
          <w:rFonts w:ascii="Ping LCG Regular" w:hAnsi="Ping LCG Regular" w:cs="Arial"/>
          <w:spacing w:val="-14"/>
          <w:highlight w:val="yellow"/>
          <w:lang w:val="el-GR"/>
        </w:rPr>
      </w:pPr>
      <w:r w:rsidRPr="00872A1E">
        <w:rPr>
          <w:rFonts w:ascii="Ping LCG Regular" w:hAnsi="Ping LCG Regular" w:cs="Arial"/>
          <w:spacing w:val="-14"/>
          <w:lang w:val="el-GR"/>
        </w:rPr>
        <w:t xml:space="preserve">Ειδικότερα για το </w:t>
      </w:r>
      <w:r w:rsidR="009823E2" w:rsidRPr="00872A1E">
        <w:rPr>
          <w:rFonts w:ascii="Ping LCG Regular" w:hAnsi="Ping LCG Regular" w:cs="Arial"/>
          <w:spacing w:val="-14"/>
          <w:lang w:val="el-GR"/>
        </w:rPr>
        <w:t>δ</w:t>
      </w:r>
      <w:r w:rsidRPr="00872A1E">
        <w:rPr>
          <w:rFonts w:ascii="Ping LCG Regular" w:hAnsi="Ping LCG Regular" w:cs="Arial"/>
          <w:spacing w:val="-14"/>
          <w:lang w:val="el-GR"/>
        </w:rPr>
        <w:t xml:space="preserve">΄ τρίμηνο του 2022, το </w:t>
      </w:r>
      <w:r w:rsidRPr="00872A1E">
        <w:rPr>
          <w:rFonts w:ascii="Ping LCG Regular" w:hAnsi="Ping LCG Regular" w:cs="Arial"/>
          <w:spacing w:val="-14"/>
        </w:rPr>
        <w:t>EBITDA</w:t>
      </w:r>
      <w:r w:rsidRPr="00872A1E">
        <w:rPr>
          <w:rFonts w:ascii="Ping LCG Regular" w:hAnsi="Ping LCG Regular" w:cs="Arial"/>
          <w:spacing w:val="-14"/>
          <w:lang w:val="el-GR"/>
        </w:rPr>
        <w:t xml:space="preserve"> σε επαναλαμβανόμενη βάση διαμορφώθηκε σε €</w:t>
      </w:r>
      <w:r w:rsidR="009823E2" w:rsidRPr="00872A1E">
        <w:rPr>
          <w:rFonts w:ascii="Ping LCG Regular" w:hAnsi="Ping LCG Regular" w:cs="Arial"/>
          <w:spacing w:val="-14"/>
          <w:lang w:val="el-GR"/>
        </w:rPr>
        <w:t>30</w:t>
      </w:r>
      <w:r w:rsidR="009347B3" w:rsidRPr="00872A1E">
        <w:rPr>
          <w:rFonts w:ascii="Ping LCG Regular" w:hAnsi="Ping LCG Regular" w:cs="Arial"/>
          <w:spacing w:val="-14"/>
          <w:lang w:val="el-GR"/>
        </w:rPr>
        <w:t>9</w:t>
      </w:r>
      <w:r w:rsidR="00FE3E5C" w:rsidRPr="00872A1E">
        <w:rPr>
          <w:rFonts w:ascii="Ping LCG Regular" w:hAnsi="Ping LCG Regular" w:cs="Arial"/>
          <w:spacing w:val="-14"/>
          <w:lang w:val="el-GR"/>
        </w:rPr>
        <w:t>,</w:t>
      </w:r>
      <w:r w:rsidR="009347B3" w:rsidRPr="00872A1E">
        <w:rPr>
          <w:rFonts w:ascii="Ping LCG Regular" w:hAnsi="Ping LCG Regular" w:cs="Arial"/>
          <w:spacing w:val="-14"/>
          <w:lang w:val="el-GR"/>
        </w:rPr>
        <w:t>4</w:t>
      </w:r>
      <w:r w:rsidRPr="00872A1E">
        <w:rPr>
          <w:rFonts w:ascii="Ping LCG Regular" w:hAnsi="Ping LCG Regular" w:cs="Arial"/>
          <w:spacing w:val="-14"/>
          <w:lang w:val="el-GR"/>
        </w:rPr>
        <w:t xml:space="preserve"> εκατ. έναντι €</w:t>
      </w:r>
      <w:r w:rsidR="00FE3E5C" w:rsidRPr="00872A1E">
        <w:rPr>
          <w:rFonts w:ascii="Ping LCG Regular" w:hAnsi="Ping LCG Regular" w:cs="Arial"/>
          <w:spacing w:val="-14"/>
          <w:lang w:val="el-GR"/>
        </w:rPr>
        <w:t>245,</w:t>
      </w:r>
      <w:r w:rsidR="00C603ED" w:rsidRPr="00872A1E">
        <w:rPr>
          <w:rFonts w:ascii="Ping LCG Regular" w:hAnsi="Ping LCG Regular" w:cs="Arial"/>
          <w:spacing w:val="-14"/>
          <w:lang w:val="el-GR"/>
        </w:rPr>
        <w:t>3</w:t>
      </w:r>
      <w:r w:rsidRPr="00872A1E">
        <w:rPr>
          <w:rFonts w:ascii="Ping LCG Regular" w:hAnsi="Ping LCG Regular" w:cs="Arial"/>
          <w:spacing w:val="-14"/>
          <w:lang w:val="el-GR"/>
        </w:rPr>
        <w:t xml:space="preserve"> εκατ. το αντίστοιχο τρίμηνο του 2021.</w:t>
      </w:r>
    </w:p>
    <w:p w14:paraId="729845EB" w14:textId="77777777" w:rsidR="0065428B" w:rsidRPr="00872A1E" w:rsidRDefault="0065428B" w:rsidP="009C0B14">
      <w:pPr>
        <w:jc w:val="both"/>
        <w:rPr>
          <w:rFonts w:ascii="Ping LCG Regular" w:hAnsi="Ping LCG Regular" w:cs="Arial"/>
          <w:spacing w:val="-14"/>
          <w:lang w:val="el-GR"/>
        </w:rPr>
      </w:pPr>
    </w:p>
    <w:p w14:paraId="41DBEF32" w14:textId="1929F7CC" w:rsidR="009C0B14" w:rsidRPr="00872A1E" w:rsidRDefault="009C0B14" w:rsidP="009C0B14">
      <w:pPr>
        <w:jc w:val="both"/>
        <w:rPr>
          <w:rFonts w:ascii="Ping LCG Regular" w:hAnsi="Ping LCG Regular" w:cs="Arial"/>
          <w:spacing w:val="-14"/>
          <w:lang w:val="el-GR"/>
        </w:rPr>
      </w:pPr>
      <w:r w:rsidRPr="00872A1E">
        <w:rPr>
          <w:rFonts w:ascii="Ping LCG Regular" w:hAnsi="Ping LCG Regular" w:cs="Arial"/>
          <w:spacing w:val="-14"/>
          <w:lang w:val="el-GR"/>
        </w:rPr>
        <w:t xml:space="preserve">Σημειώνεται ότι, το </w:t>
      </w:r>
      <w:r w:rsidRPr="00872A1E">
        <w:rPr>
          <w:rFonts w:ascii="Ping LCG Regular" w:hAnsi="Ping LCG Regular" w:cs="Arial"/>
          <w:spacing w:val="-14"/>
        </w:rPr>
        <w:t>EBITDA</w:t>
      </w:r>
      <w:r w:rsidRPr="00872A1E">
        <w:rPr>
          <w:rFonts w:ascii="Ping LCG Regular" w:hAnsi="Ping LCG Regular" w:cs="Arial"/>
          <w:spacing w:val="-14"/>
          <w:lang w:val="el-GR"/>
        </w:rPr>
        <w:t xml:space="preserve"> του 2022 έχει επηρεαστεί από το ποσό έκτακτης εισφοράς που επιβλήθηκε στους παραγωγούς ηλεκτρικής ενέργειας  για την περίοδο Οκτωβρίου 2021 – Ιουνίου 2022 και το οποίο για τη ΔΕΗ προσδιορίστηκε σε €2</w:t>
      </w:r>
      <w:r w:rsidR="00B235FE" w:rsidRPr="00872A1E">
        <w:rPr>
          <w:rFonts w:ascii="Ping LCG Regular" w:hAnsi="Ping LCG Regular" w:cs="Arial"/>
          <w:spacing w:val="-14"/>
          <w:lang w:val="el-GR"/>
        </w:rPr>
        <w:t>45,3</w:t>
      </w:r>
      <w:r w:rsidRPr="00872A1E">
        <w:rPr>
          <w:rFonts w:ascii="Ping LCG Regular" w:hAnsi="Ping LCG Regular" w:cs="Arial"/>
          <w:spacing w:val="-14"/>
          <w:lang w:val="el-GR"/>
        </w:rPr>
        <w:t xml:space="preserve"> εκατ. </w:t>
      </w:r>
      <w:bookmarkStart w:id="2" w:name="_Hlk129614070"/>
      <w:r w:rsidR="007F6F16" w:rsidRPr="00872A1E">
        <w:rPr>
          <w:rFonts w:ascii="Ping LCG Regular" w:hAnsi="Ping LCG Regular" w:cs="Arial"/>
          <w:spacing w:val="-14"/>
          <w:lang w:val="el-GR"/>
        </w:rPr>
        <w:t xml:space="preserve">μετά την τελική εκκαθάριση, </w:t>
      </w:r>
      <w:r w:rsidR="00B321E9" w:rsidRPr="00872A1E">
        <w:rPr>
          <w:rFonts w:ascii="Ping LCG Regular" w:hAnsi="Ping LCG Regular" w:cs="Arial"/>
          <w:spacing w:val="-14"/>
          <w:lang w:val="el-GR"/>
        </w:rPr>
        <w:t>από την πρόβλεψη για αποζημιώσεις προσωπικού ύψους €5</w:t>
      </w:r>
      <w:r w:rsidR="00FF60A2" w:rsidRPr="00872A1E">
        <w:rPr>
          <w:rFonts w:ascii="Ping LCG Regular" w:hAnsi="Ping LCG Regular" w:cs="Arial"/>
          <w:spacing w:val="-14"/>
          <w:lang w:val="el-GR"/>
        </w:rPr>
        <w:t>0,5</w:t>
      </w:r>
      <w:r w:rsidR="00B321E9" w:rsidRPr="00872A1E">
        <w:rPr>
          <w:rFonts w:ascii="Ping LCG Regular" w:hAnsi="Ping LCG Regular" w:cs="Arial"/>
          <w:spacing w:val="-14"/>
          <w:lang w:val="el-GR"/>
        </w:rPr>
        <w:t xml:space="preserve"> εκατ.</w:t>
      </w:r>
      <w:r w:rsidR="00DB176A" w:rsidRPr="00872A1E">
        <w:rPr>
          <w:rFonts w:ascii="Ping LCG Regular" w:hAnsi="Ping LCG Regular" w:cs="Arial"/>
          <w:spacing w:val="-14"/>
          <w:lang w:val="el-GR"/>
        </w:rPr>
        <w:t xml:space="preserve"> </w:t>
      </w:r>
      <w:r w:rsidR="00054FE9" w:rsidRPr="00872A1E">
        <w:rPr>
          <w:rFonts w:ascii="Ping LCG Regular" w:hAnsi="Ping LCG Regular" w:cs="Arial"/>
          <w:spacing w:val="-14"/>
          <w:lang w:val="el-GR"/>
        </w:rPr>
        <w:t xml:space="preserve">καθώς </w:t>
      </w:r>
      <w:r w:rsidR="00DB176A" w:rsidRPr="00872A1E">
        <w:rPr>
          <w:rFonts w:ascii="Ping LCG Regular" w:hAnsi="Ping LCG Regular" w:cs="Arial"/>
          <w:spacing w:val="-14"/>
          <w:lang w:val="el-GR"/>
        </w:rPr>
        <w:t xml:space="preserve">και </w:t>
      </w:r>
      <w:r w:rsidR="00FC2533" w:rsidRPr="00872A1E">
        <w:rPr>
          <w:rFonts w:ascii="Ping LCG Regular" w:hAnsi="Ping LCG Regular" w:cs="Arial"/>
          <w:spacing w:val="-14"/>
          <w:lang w:val="el-GR"/>
        </w:rPr>
        <w:t>από την αναδρομική χρέωση ύψους €6,</w:t>
      </w:r>
      <w:r w:rsidR="00BA59FE" w:rsidRPr="00872A1E">
        <w:rPr>
          <w:rFonts w:ascii="Ping LCG Regular" w:hAnsi="Ping LCG Regular" w:cs="Arial"/>
          <w:spacing w:val="-14"/>
          <w:lang w:val="el-GR"/>
        </w:rPr>
        <w:t>6</w:t>
      </w:r>
      <w:r w:rsidR="00FC2533" w:rsidRPr="00872A1E">
        <w:rPr>
          <w:rFonts w:ascii="Ping LCG Regular" w:hAnsi="Ping LCG Regular" w:cs="Arial"/>
          <w:spacing w:val="-14"/>
          <w:lang w:val="el-GR"/>
        </w:rPr>
        <w:t xml:space="preserve"> εκατ.  λόγω ανάκτησης ειδικών επιδομάτων από την εφαρμογή της ΕΣΣΕ 2021-2024</w:t>
      </w:r>
      <w:bookmarkEnd w:id="2"/>
      <w:r w:rsidR="00793D38" w:rsidRPr="00872A1E">
        <w:rPr>
          <w:rFonts w:ascii="Ping LCG Regular" w:hAnsi="Ping LCG Regular" w:cs="Arial"/>
          <w:spacing w:val="-14"/>
          <w:lang w:val="el-GR"/>
        </w:rPr>
        <w:t>.</w:t>
      </w:r>
    </w:p>
    <w:p w14:paraId="2D7424B6" w14:textId="77777777" w:rsidR="009C0B14" w:rsidRPr="00872A1E" w:rsidRDefault="009C0B14" w:rsidP="009C0B14">
      <w:pPr>
        <w:jc w:val="both"/>
        <w:rPr>
          <w:rFonts w:ascii="Ping LCG Regular" w:hAnsi="Ping LCG Regular" w:cs="Arial"/>
          <w:spacing w:val="-14"/>
          <w:lang w:val="el-GR"/>
        </w:rPr>
      </w:pPr>
    </w:p>
    <w:p w14:paraId="5B95D9C9" w14:textId="3BDE96E6" w:rsidR="00052429" w:rsidRDefault="009C0B14" w:rsidP="00FC0DE3">
      <w:pPr>
        <w:jc w:val="both"/>
        <w:rPr>
          <w:rFonts w:ascii="Ping LCG Regular" w:hAnsi="Ping LCG Regular" w:cs="Arial"/>
          <w:spacing w:val="-14"/>
          <w:lang w:val="el-GR"/>
        </w:rPr>
      </w:pPr>
      <w:bookmarkStart w:id="3" w:name="_Hlk104377495"/>
      <w:bookmarkStart w:id="4" w:name="_Hlk104311186"/>
      <w:r w:rsidRPr="00872A1E">
        <w:rPr>
          <w:rFonts w:ascii="Ping LCG Regular" w:hAnsi="Ping LCG Regular" w:cs="Arial"/>
          <w:spacing w:val="-14"/>
        </w:rPr>
        <w:t>T</w:t>
      </w:r>
      <w:r w:rsidRPr="00872A1E">
        <w:rPr>
          <w:rFonts w:ascii="Ping LCG Regular" w:hAnsi="Ping LCG Regular" w:cs="Arial"/>
          <w:spacing w:val="-14"/>
          <w:lang w:val="el-GR"/>
        </w:rPr>
        <w:t>α αποτελέσματα προ φόρων διαμορφώθηκαν σε ζημίες €</w:t>
      </w:r>
      <w:r w:rsidR="00FF60A2" w:rsidRPr="00872A1E">
        <w:rPr>
          <w:rFonts w:ascii="Ping LCG Regular" w:hAnsi="Ping LCG Regular" w:cs="Arial"/>
          <w:spacing w:val="-14"/>
          <w:lang w:val="el-GR"/>
        </w:rPr>
        <w:t>26</w:t>
      </w:r>
      <w:r w:rsidRPr="00872A1E">
        <w:rPr>
          <w:rFonts w:ascii="Ping LCG Regular" w:hAnsi="Ping LCG Regular" w:cs="Arial"/>
          <w:spacing w:val="-14"/>
          <w:lang w:val="el-GR"/>
        </w:rPr>
        <w:t xml:space="preserve"> εκατ. έναντι ζημιών €</w:t>
      </w:r>
      <w:r w:rsidR="00FF60A2" w:rsidRPr="00872A1E">
        <w:rPr>
          <w:rFonts w:ascii="Ping LCG Regular" w:hAnsi="Ping LCG Regular" w:cs="Arial"/>
          <w:spacing w:val="-14"/>
          <w:lang w:val="el-GR"/>
        </w:rPr>
        <w:t>149,8</w:t>
      </w:r>
      <w:r w:rsidRPr="00872A1E">
        <w:rPr>
          <w:rFonts w:ascii="Ping LCG Regular" w:hAnsi="Ping LCG Regular" w:cs="Arial"/>
          <w:spacing w:val="-14"/>
          <w:lang w:val="el-GR"/>
        </w:rPr>
        <w:t xml:space="preserve"> εκατ. το 2021. </w:t>
      </w:r>
      <w:r w:rsidRPr="00872A1E">
        <w:rPr>
          <w:rFonts w:ascii="Ping LCG Regular" w:hAnsi="Ping LCG Regular" w:cs="Arial"/>
          <w:color w:val="FF0000"/>
          <w:spacing w:val="-14"/>
          <w:lang w:val="el-GR"/>
        </w:rPr>
        <w:t xml:space="preserve"> </w:t>
      </w:r>
    </w:p>
    <w:p w14:paraId="5137AA34" w14:textId="77777777" w:rsidR="00052429" w:rsidRDefault="00052429" w:rsidP="00FC0DE3">
      <w:pPr>
        <w:jc w:val="both"/>
        <w:rPr>
          <w:rFonts w:ascii="Ping LCG Regular" w:hAnsi="Ping LCG Regular" w:cs="Arial"/>
          <w:spacing w:val="-14"/>
          <w:lang w:val="el-GR"/>
        </w:rPr>
      </w:pPr>
    </w:p>
    <w:p w14:paraId="5359FFAA" w14:textId="62D94591" w:rsidR="001F547C" w:rsidRPr="00982826" w:rsidRDefault="00105D3A" w:rsidP="00FC0DE3">
      <w:pPr>
        <w:jc w:val="both"/>
        <w:rPr>
          <w:rFonts w:ascii="Ping LCG Regular" w:hAnsi="Ping LCG Regular"/>
          <w:spacing w:val="-14"/>
          <w:lang w:val="el-GR"/>
        </w:rPr>
      </w:pPr>
      <w:r w:rsidRPr="00872A1E">
        <w:rPr>
          <w:rFonts w:ascii="Ping LCG Regular" w:hAnsi="Ping LCG Regular" w:cs="Arial"/>
          <w:spacing w:val="-14"/>
          <w:lang w:val="el-GR"/>
        </w:rPr>
        <w:t>Σ</w:t>
      </w:r>
      <w:r w:rsidR="009C0B14" w:rsidRPr="00872A1E">
        <w:rPr>
          <w:rFonts w:ascii="Ping LCG Regular" w:hAnsi="Ping LCG Regular" w:cs="Arial"/>
          <w:spacing w:val="-14"/>
          <w:lang w:val="el-GR"/>
        </w:rPr>
        <w:t>τα αποτελέσματα προ φόρων του 2022 συμπεριλαμβάνεται θετική επίπτωση ύψους €</w:t>
      </w:r>
      <w:r w:rsidR="00EA506D" w:rsidRPr="00872A1E">
        <w:rPr>
          <w:rFonts w:ascii="Ping LCG Regular" w:hAnsi="Ping LCG Regular" w:cs="Arial"/>
          <w:spacing w:val="-14"/>
          <w:lang w:val="el-GR"/>
        </w:rPr>
        <w:t>177</w:t>
      </w:r>
      <w:r w:rsidRPr="00872A1E">
        <w:rPr>
          <w:rFonts w:ascii="Ping LCG Regular" w:hAnsi="Ping LCG Regular" w:cs="Arial"/>
          <w:spacing w:val="-14"/>
          <w:lang w:val="el-GR"/>
        </w:rPr>
        <w:t>,</w:t>
      </w:r>
      <w:r w:rsidR="00EA506D" w:rsidRPr="00872A1E">
        <w:rPr>
          <w:rFonts w:ascii="Ping LCG Regular" w:hAnsi="Ping LCG Regular" w:cs="Arial"/>
          <w:spacing w:val="-14"/>
          <w:lang w:val="el-GR"/>
        </w:rPr>
        <w:t>5</w:t>
      </w:r>
      <w:r w:rsidR="009C0B14" w:rsidRPr="00872A1E">
        <w:rPr>
          <w:rFonts w:ascii="Ping LCG Regular" w:hAnsi="Ping LCG Regular" w:cs="Arial"/>
          <w:spacing w:val="-14"/>
          <w:lang w:val="el-GR"/>
        </w:rPr>
        <w:t xml:space="preserve"> εκατ. λόγω αντιστροφής μέρους της </w:t>
      </w:r>
      <w:proofErr w:type="spellStart"/>
      <w:r w:rsidR="009C0B14" w:rsidRPr="00872A1E">
        <w:rPr>
          <w:rFonts w:ascii="Ping LCG Regular" w:hAnsi="Ping LCG Regular" w:cs="Arial"/>
          <w:spacing w:val="-14"/>
          <w:lang w:val="el-GR"/>
        </w:rPr>
        <w:t>απομείωσης</w:t>
      </w:r>
      <w:proofErr w:type="spellEnd"/>
      <w:r w:rsidR="009C0B14" w:rsidRPr="00872A1E">
        <w:rPr>
          <w:rFonts w:ascii="Ping LCG Regular" w:hAnsi="Ping LCG Regular" w:cs="Arial"/>
          <w:spacing w:val="-14"/>
          <w:lang w:val="el-GR"/>
        </w:rPr>
        <w:t xml:space="preserve"> της επένδυσης της νέας λιγνιτικής μονάδας Πτολεμαΐδα 5. Η αντιστροφή αυτή οφείλεται στο γεγονός ότι λόγω της ενεργειακής κρίσης και συνακόλουθα των υψηλών τιμών στην </w:t>
      </w:r>
      <w:proofErr w:type="spellStart"/>
      <w:r w:rsidR="009C0B14" w:rsidRPr="00872A1E">
        <w:rPr>
          <w:rFonts w:ascii="Ping LCG Regular" w:hAnsi="Ping LCG Regular" w:cs="Arial"/>
          <w:spacing w:val="-14"/>
          <w:lang w:val="el-GR"/>
        </w:rPr>
        <w:t>χονδρεμπορική</w:t>
      </w:r>
      <w:proofErr w:type="spellEnd"/>
      <w:r w:rsidR="009C0B14" w:rsidRPr="00872A1E">
        <w:rPr>
          <w:rFonts w:ascii="Ping LCG Regular" w:hAnsi="Ping LCG Regular" w:cs="Arial"/>
          <w:spacing w:val="-14"/>
          <w:lang w:val="el-GR"/>
        </w:rPr>
        <w:t xml:space="preserve"> αγορά</w:t>
      </w:r>
      <w:r w:rsidR="00C540D0" w:rsidRPr="00872A1E">
        <w:rPr>
          <w:rFonts w:ascii="Ping LCG Regular" w:hAnsi="Ping LCG Regular" w:cs="Arial"/>
          <w:spacing w:val="-14"/>
          <w:lang w:val="el-GR"/>
        </w:rPr>
        <w:t>,</w:t>
      </w:r>
      <w:r w:rsidR="009C0B14" w:rsidRPr="00872A1E">
        <w:rPr>
          <w:rFonts w:ascii="Ping LCG Regular" w:hAnsi="Ping LCG Regular" w:cs="Arial"/>
          <w:spacing w:val="-14"/>
          <w:lang w:val="el-GR"/>
        </w:rPr>
        <w:t xml:space="preserve"> η </w:t>
      </w:r>
      <w:proofErr w:type="spellStart"/>
      <w:r w:rsidR="009C0B14" w:rsidRPr="00872A1E">
        <w:rPr>
          <w:rFonts w:ascii="Ping LCG Regular" w:hAnsi="Ping LCG Regular" w:cs="Arial"/>
          <w:spacing w:val="-14"/>
          <w:lang w:val="el-GR"/>
        </w:rPr>
        <w:t>λιγνιτική</w:t>
      </w:r>
      <w:proofErr w:type="spellEnd"/>
      <w:r w:rsidR="009C0B14" w:rsidRPr="00872A1E">
        <w:rPr>
          <w:rFonts w:ascii="Ping LCG Regular" w:hAnsi="Ping LCG Regular" w:cs="Arial"/>
          <w:spacing w:val="-14"/>
          <w:lang w:val="el-GR"/>
        </w:rPr>
        <w:t xml:space="preserve"> παραγωγή δεν είναι πλέον ζημιογόνος</w:t>
      </w:r>
      <w:r w:rsidR="008922BA">
        <w:rPr>
          <w:rFonts w:ascii="Ping LCG Regular" w:hAnsi="Ping LCG Regular" w:cs="Arial"/>
          <w:spacing w:val="-14"/>
          <w:lang w:val="el-GR"/>
        </w:rPr>
        <w:t>.</w:t>
      </w:r>
    </w:p>
    <w:p w14:paraId="37BCAB31" w14:textId="77777777" w:rsidR="00052429" w:rsidRPr="00982826" w:rsidRDefault="00052429" w:rsidP="00FC0DE3">
      <w:pPr>
        <w:jc w:val="both"/>
        <w:rPr>
          <w:rFonts w:ascii="Ping LCG Regular" w:hAnsi="Ping LCG Regular"/>
          <w:spacing w:val="-14"/>
          <w:lang w:val="el-GR"/>
        </w:rPr>
      </w:pPr>
    </w:p>
    <w:p w14:paraId="26F6A0A1" w14:textId="78C09F13" w:rsidR="0083659B" w:rsidRPr="00872A1E" w:rsidRDefault="009C0B14" w:rsidP="00FC0DE3">
      <w:pPr>
        <w:jc w:val="both"/>
        <w:rPr>
          <w:rFonts w:ascii="Ping LCG Regular" w:hAnsi="Ping LCG Regular"/>
          <w:spacing w:val="-14"/>
          <w:lang w:val="el-GR"/>
        </w:rPr>
      </w:pPr>
      <w:r w:rsidRPr="00872A1E">
        <w:rPr>
          <w:rFonts w:ascii="Ping LCG Regular" w:hAnsi="Ping LCG Regular"/>
          <w:spacing w:val="-14"/>
          <w:lang w:val="en-GB"/>
        </w:rPr>
        <w:t>T</w:t>
      </w:r>
      <w:r w:rsidRPr="00872A1E">
        <w:rPr>
          <w:rFonts w:ascii="Ping LCG Regular" w:hAnsi="Ping LCG Regular"/>
          <w:spacing w:val="-14"/>
          <w:lang w:val="el-GR"/>
        </w:rPr>
        <w:t>α αποτελέσματα μετά από φόρους διαμορφώθηκαν σε ζημίες €</w:t>
      </w:r>
      <w:r w:rsidR="00737B7B">
        <w:rPr>
          <w:rFonts w:ascii="Ping LCG Regular" w:hAnsi="Ping LCG Regular"/>
          <w:spacing w:val="-14"/>
          <w:lang w:val="el-GR"/>
        </w:rPr>
        <w:t>8</w:t>
      </w:r>
      <w:r w:rsidR="00B87471" w:rsidRPr="00872A1E">
        <w:rPr>
          <w:rFonts w:ascii="Ping LCG Regular" w:hAnsi="Ping LCG Regular"/>
          <w:spacing w:val="-14"/>
          <w:lang w:val="el-GR"/>
        </w:rPr>
        <w:t>,</w:t>
      </w:r>
      <w:r w:rsidR="00737B7B">
        <w:rPr>
          <w:rFonts w:ascii="Ping LCG Regular" w:hAnsi="Ping LCG Regular"/>
          <w:spacing w:val="-14"/>
          <w:lang w:val="el-GR"/>
        </w:rPr>
        <w:t>9</w:t>
      </w:r>
      <w:r w:rsidRPr="00872A1E">
        <w:rPr>
          <w:rFonts w:ascii="Ping LCG Regular" w:hAnsi="Ping LCG Regular"/>
          <w:spacing w:val="-14"/>
          <w:lang w:val="el-GR"/>
        </w:rPr>
        <w:t xml:space="preserve"> εκατ. έναντι ζημιών €</w:t>
      </w:r>
      <w:r w:rsidR="00FC0DE3" w:rsidRPr="00872A1E">
        <w:rPr>
          <w:rFonts w:ascii="Ping LCG Regular" w:hAnsi="Ping LCG Regular"/>
          <w:spacing w:val="-14"/>
          <w:lang w:val="el-GR"/>
        </w:rPr>
        <w:t>18,4</w:t>
      </w:r>
      <w:r w:rsidRPr="00872A1E">
        <w:rPr>
          <w:rFonts w:ascii="Ping LCG Regular" w:hAnsi="Ping LCG Regular"/>
          <w:spacing w:val="-14"/>
          <w:lang w:val="el-GR"/>
        </w:rPr>
        <w:t xml:space="preserve"> εκατ. το 2021. </w:t>
      </w:r>
      <w:r w:rsidRPr="00872A1E">
        <w:rPr>
          <w:rFonts w:ascii="Ping LCG Regular" w:hAnsi="Ping LCG Regular"/>
          <w:strike/>
          <w:spacing w:val="-14"/>
          <w:lang w:val="el-GR"/>
        </w:rPr>
        <w:t xml:space="preserve"> </w:t>
      </w:r>
      <w:r w:rsidRPr="00872A1E">
        <w:rPr>
          <w:rFonts w:ascii="Ping LCG Regular" w:hAnsi="Ping LCG Regular"/>
          <w:spacing w:val="-14"/>
          <w:lang w:val="el-GR"/>
        </w:rPr>
        <w:t xml:space="preserve"> </w:t>
      </w:r>
      <w:bookmarkEnd w:id="3"/>
      <w:bookmarkEnd w:id="4"/>
    </w:p>
    <w:p w14:paraId="7F2BA869" w14:textId="77777777" w:rsidR="0083659B" w:rsidRPr="00872A1E" w:rsidRDefault="0083659B" w:rsidP="00FC0DE3">
      <w:pPr>
        <w:jc w:val="both"/>
        <w:rPr>
          <w:rFonts w:ascii="Ping LCG Regular" w:hAnsi="Ping LCG Regular"/>
          <w:spacing w:val="-14"/>
          <w:lang w:val="el-GR"/>
        </w:rPr>
      </w:pPr>
    </w:p>
    <w:p w14:paraId="6C5E609C" w14:textId="77777777" w:rsidR="00F96C09" w:rsidRPr="00872A1E" w:rsidRDefault="00F96C09" w:rsidP="00FC0DE3">
      <w:pPr>
        <w:jc w:val="both"/>
        <w:rPr>
          <w:rFonts w:ascii="Ping LCG Regular" w:hAnsi="Ping LCG Regular"/>
          <w:color w:val="FF0000"/>
          <w:spacing w:val="-14"/>
          <w:lang w:val="el-GR"/>
        </w:rPr>
      </w:pPr>
    </w:p>
    <w:p w14:paraId="7B9C8CC9" w14:textId="595C9378" w:rsidR="009C0B14" w:rsidRPr="00872A1E" w:rsidRDefault="009C0B14" w:rsidP="00FC0DE3">
      <w:pPr>
        <w:jc w:val="both"/>
        <w:rPr>
          <w:rFonts w:ascii="Ping LCG Regular" w:hAnsi="Ping LCG Regular"/>
          <w:lang w:val="el-GR"/>
        </w:rPr>
      </w:pPr>
      <w:r w:rsidRPr="00872A1E">
        <w:rPr>
          <w:rFonts w:ascii="Ping LCG Regular" w:hAnsi="Ping LCG Regular"/>
          <w:lang w:val="el-GR"/>
        </w:rPr>
        <w:br w:type="page"/>
      </w:r>
    </w:p>
    <w:p w14:paraId="168804E1" w14:textId="7B2FEC79" w:rsidR="004F3806" w:rsidRPr="00872A1E" w:rsidRDefault="004F3806" w:rsidP="007F675C">
      <w:pPr>
        <w:jc w:val="both"/>
        <w:rPr>
          <w:rFonts w:ascii="Ping LCG Regular" w:hAnsi="Ping LCG Regular" w:cs="Arial"/>
          <w:spacing w:val="-14"/>
          <w:highlight w:val="yellow"/>
          <w:lang w:val="el-GR"/>
        </w:rPr>
      </w:pPr>
    </w:p>
    <w:p w14:paraId="36634063" w14:textId="77777777" w:rsidR="00555949" w:rsidRPr="0017568C" w:rsidRDefault="00555949" w:rsidP="00555949">
      <w:pPr>
        <w:jc w:val="both"/>
        <w:rPr>
          <w:rFonts w:ascii="Ping LCG Regular" w:hAnsi="Ping LCG Regular" w:cs="Arial"/>
          <w:b/>
          <w:bCs/>
          <w:spacing w:val="-14"/>
          <w:lang w:val="el-GR"/>
        </w:rPr>
      </w:pPr>
      <w:r w:rsidRPr="0017568C">
        <w:rPr>
          <w:rFonts w:ascii="Ping LCG Regular" w:hAnsi="Ping LCG Regular" w:cs="Arial"/>
          <w:b/>
          <w:bCs/>
          <w:spacing w:val="-14"/>
          <w:lang w:val="el-GR"/>
        </w:rPr>
        <w:t xml:space="preserve">Σχολιάζοντας τα οικονομικά αποτελέσματα, ο Πρόεδρος και Διευθύνων Σύμβουλος της ΔΕΗ Α.Ε. κ. Γεώργιος Στάσσης δήλωσε: </w:t>
      </w:r>
    </w:p>
    <w:p w14:paraId="1889453D" w14:textId="77777777" w:rsidR="00555949" w:rsidRPr="00555949" w:rsidRDefault="00555949" w:rsidP="00555949">
      <w:pPr>
        <w:jc w:val="both"/>
        <w:rPr>
          <w:rFonts w:ascii="Ping LCG Regular" w:hAnsi="Ping LCG Regular" w:cs="Arial"/>
          <w:spacing w:val="-14"/>
          <w:lang w:val="el-GR"/>
        </w:rPr>
      </w:pPr>
    </w:p>
    <w:p w14:paraId="5F343D8F" w14:textId="39111575" w:rsidR="003D0E46" w:rsidRPr="00F108A5" w:rsidRDefault="00555949" w:rsidP="00AA2BD5">
      <w:pPr>
        <w:jc w:val="both"/>
        <w:rPr>
          <w:rFonts w:ascii="Ping LCG Regular" w:hAnsi="Ping LCG Regular" w:cs="Arial"/>
          <w:spacing w:val="-14"/>
          <w:szCs w:val="26"/>
          <w:lang w:val="el-GR"/>
        </w:rPr>
      </w:pPr>
      <w:r w:rsidRPr="00555949">
        <w:rPr>
          <w:rFonts w:ascii="Ping LCG Regular" w:hAnsi="Ping LCG Regular" w:cs="Arial"/>
          <w:spacing w:val="-14"/>
          <w:lang w:val="el-GR"/>
        </w:rPr>
        <w:t xml:space="preserve">«Η ΔΕΗ κατάφερε μέσα στο 2022 να </w:t>
      </w:r>
      <w:r w:rsidR="00D87BDB" w:rsidRPr="00555949">
        <w:rPr>
          <w:rFonts w:ascii="Ping LCG Regular" w:hAnsi="Ping LCG Regular" w:cs="Arial"/>
          <w:spacing w:val="-14"/>
          <w:lang w:val="el-GR"/>
        </w:rPr>
        <w:t>ανταπεξέλθει</w:t>
      </w:r>
      <w:r w:rsidRPr="00555949">
        <w:rPr>
          <w:rFonts w:ascii="Ping LCG Regular" w:hAnsi="Ping LCG Regular" w:cs="Arial"/>
          <w:spacing w:val="-14"/>
          <w:lang w:val="el-GR"/>
        </w:rPr>
        <w:t xml:space="preserve"> στις άνευ προηγουμένου συνθήκες μεταβλητότητας και αβεβαιότητας, που επικράτησαν στις αγορές όλη τη χρονιά, υλοποιώντας παράλληλα το επιχειρηματικό της σχέδιο, </w:t>
      </w:r>
      <w:r w:rsidR="00B43224" w:rsidRPr="00F108A5">
        <w:rPr>
          <w:rFonts w:ascii="Ping LCG Regular" w:hAnsi="Ping LCG Regular" w:cs="Arial"/>
          <w:spacing w:val="-14"/>
          <w:lang w:val="el-GR"/>
        </w:rPr>
        <w:t>ενώ συνέβαλε και</w:t>
      </w:r>
      <w:r w:rsidR="00317538" w:rsidRPr="00F108A5">
        <w:rPr>
          <w:rFonts w:ascii="Ping LCG Regular" w:hAnsi="Ping LCG Regular" w:cs="Arial"/>
          <w:spacing w:val="-14"/>
          <w:lang w:val="el-GR"/>
        </w:rPr>
        <w:t xml:space="preserve"> </w:t>
      </w:r>
      <w:r w:rsidR="00D87BDB" w:rsidRPr="00F108A5">
        <w:rPr>
          <w:rFonts w:ascii="Ping LCG Regular" w:hAnsi="Ping LCG Regular" w:cs="Arial"/>
          <w:spacing w:val="-14"/>
          <w:lang w:val="el-GR"/>
        </w:rPr>
        <w:t>στην αντιμετώπιση της ενεργειακής κρίσης</w:t>
      </w:r>
      <w:r w:rsidR="00317538" w:rsidRPr="00F108A5">
        <w:rPr>
          <w:rFonts w:ascii="Ping LCG Regular" w:hAnsi="Ping LCG Regular" w:cs="Arial"/>
          <w:spacing w:val="-14"/>
          <w:lang w:val="el-GR"/>
        </w:rPr>
        <w:t xml:space="preserve"> με συνεισφορά </w:t>
      </w:r>
      <w:r w:rsidR="003D0E46" w:rsidRPr="00F108A5">
        <w:rPr>
          <w:rFonts w:ascii="Ping LCG Regular" w:hAnsi="Ping LCG Regular" w:cs="Arial"/>
          <w:spacing w:val="-14"/>
          <w:szCs w:val="26"/>
          <w:lang w:val="el-GR"/>
        </w:rPr>
        <w:t xml:space="preserve">συνολικού ύψους €1,8 </w:t>
      </w:r>
      <w:proofErr w:type="spellStart"/>
      <w:r w:rsidR="003D0E46" w:rsidRPr="00F108A5">
        <w:rPr>
          <w:rFonts w:ascii="Ping LCG Regular" w:hAnsi="Ping LCG Regular" w:cs="Arial"/>
          <w:spacing w:val="-14"/>
          <w:szCs w:val="26"/>
          <w:lang w:val="el-GR"/>
        </w:rPr>
        <w:t>δισ</w:t>
      </w:r>
      <w:proofErr w:type="spellEnd"/>
      <w:r w:rsidR="003D0E46" w:rsidRPr="00F108A5">
        <w:rPr>
          <w:rFonts w:ascii="Ping LCG Regular" w:hAnsi="Ping LCG Regular" w:cs="Arial"/>
          <w:spacing w:val="-14"/>
          <w:szCs w:val="26"/>
          <w:lang w:val="el-GR"/>
        </w:rPr>
        <w:t xml:space="preserve"> </w:t>
      </w:r>
      <w:r w:rsidR="00AA2BD5" w:rsidRPr="00F108A5">
        <w:rPr>
          <w:rFonts w:ascii="Ping LCG Regular" w:hAnsi="Ping LCG Regular" w:cs="Arial"/>
          <w:spacing w:val="-14"/>
          <w:szCs w:val="26"/>
          <w:lang w:val="el-GR"/>
        </w:rPr>
        <w:t xml:space="preserve">μέσω της </w:t>
      </w:r>
      <w:r w:rsidR="003D0E46" w:rsidRPr="00F108A5">
        <w:rPr>
          <w:rFonts w:ascii="Ping LCG Regular" w:hAnsi="Ping LCG Regular" w:cs="Arial"/>
          <w:spacing w:val="-14"/>
          <w:szCs w:val="26"/>
          <w:lang w:val="el-GR"/>
        </w:rPr>
        <w:t>στήριξη</w:t>
      </w:r>
      <w:r w:rsidR="00AA2BD5" w:rsidRPr="00F108A5">
        <w:rPr>
          <w:rFonts w:ascii="Ping LCG Regular" w:hAnsi="Ping LCG Regular" w:cs="Arial"/>
          <w:spacing w:val="-14"/>
          <w:szCs w:val="26"/>
          <w:lang w:val="el-GR"/>
        </w:rPr>
        <w:t>ς</w:t>
      </w:r>
      <w:r w:rsidR="003D0E46" w:rsidRPr="00F108A5">
        <w:rPr>
          <w:rFonts w:ascii="Ping LCG Regular" w:hAnsi="Ping LCG Regular" w:cs="Arial"/>
          <w:spacing w:val="-14"/>
          <w:szCs w:val="26"/>
          <w:lang w:val="el-GR"/>
        </w:rPr>
        <w:t xml:space="preserve"> του Ταμείου Ενεργειακής Μετάβασης</w:t>
      </w:r>
      <w:r w:rsidR="00AA2BD5" w:rsidRPr="00F108A5">
        <w:rPr>
          <w:rFonts w:ascii="Ping LCG Regular" w:hAnsi="Ping LCG Regular" w:cs="Arial"/>
          <w:spacing w:val="-14"/>
          <w:szCs w:val="26"/>
          <w:lang w:val="el-GR"/>
        </w:rPr>
        <w:t xml:space="preserve">, της </w:t>
      </w:r>
      <w:r w:rsidR="003D0E46" w:rsidRPr="00F108A5">
        <w:rPr>
          <w:rFonts w:ascii="Ping LCG Regular" w:hAnsi="Ping LCG Regular" w:cs="Arial"/>
          <w:spacing w:val="-14"/>
          <w:szCs w:val="26"/>
          <w:lang w:val="el-GR"/>
        </w:rPr>
        <w:t>στήριξη</w:t>
      </w:r>
      <w:r w:rsidR="00AA2BD5" w:rsidRPr="00F108A5">
        <w:rPr>
          <w:rFonts w:ascii="Ping LCG Regular" w:hAnsi="Ping LCG Regular" w:cs="Arial"/>
          <w:spacing w:val="-14"/>
          <w:szCs w:val="26"/>
          <w:lang w:val="el-GR"/>
        </w:rPr>
        <w:t>ς</w:t>
      </w:r>
      <w:r w:rsidR="003D0E46" w:rsidRPr="00F108A5">
        <w:rPr>
          <w:rFonts w:ascii="Ping LCG Regular" w:hAnsi="Ping LCG Regular" w:cs="Arial"/>
          <w:spacing w:val="-14"/>
          <w:szCs w:val="26"/>
          <w:lang w:val="el-GR"/>
        </w:rPr>
        <w:t xml:space="preserve"> των πελατών </w:t>
      </w:r>
      <w:r w:rsidR="00962CA9" w:rsidRPr="00F108A5">
        <w:rPr>
          <w:rFonts w:ascii="Ping LCG Regular" w:hAnsi="Ping LCG Regular" w:cs="Arial"/>
          <w:spacing w:val="-14"/>
          <w:szCs w:val="26"/>
          <w:lang w:val="el-GR"/>
        </w:rPr>
        <w:t xml:space="preserve">της </w:t>
      </w:r>
      <w:r w:rsidR="003D0E46" w:rsidRPr="00F108A5">
        <w:rPr>
          <w:rFonts w:ascii="Ping LCG Regular" w:hAnsi="Ping LCG Regular" w:cs="Arial"/>
          <w:spacing w:val="-14"/>
          <w:szCs w:val="26"/>
          <w:lang w:val="el-GR"/>
        </w:rPr>
        <w:t>μέσω των τιμολογίων</w:t>
      </w:r>
      <w:r w:rsidR="00AA2BD5" w:rsidRPr="00F108A5">
        <w:rPr>
          <w:rFonts w:ascii="Ping LCG Regular" w:hAnsi="Ping LCG Regular" w:cs="Arial"/>
          <w:spacing w:val="-14"/>
          <w:szCs w:val="26"/>
          <w:lang w:val="el-GR"/>
        </w:rPr>
        <w:t xml:space="preserve"> και της </w:t>
      </w:r>
      <w:r w:rsidR="003D0E46" w:rsidRPr="00F108A5">
        <w:rPr>
          <w:rFonts w:ascii="Ping LCG Regular" w:hAnsi="Ping LCG Regular" w:cs="Arial"/>
          <w:spacing w:val="-14"/>
          <w:szCs w:val="26"/>
          <w:lang w:val="el-GR"/>
        </w:rPr>
        <w:t xml:space="preserve"> έκτακτη</w:t>
      </w:r>
      <w:r w:rsidR="00AA2BD5" w:rsidRPr="00F108A5">
        <w:rPr>
          <w:rFonts w:ascii="Ping LCG Regular" w:hAnsi="Ping LCG Regular" w:cs="Arial"/>
          <w:spacing w:val="-14"/>
          <w:szCs w:val="26"/>
          <w:lang w:val="el-GR"/>
        </w:rPr>
        <w:t>ς</w:t>
      </w:r>
      <w:r w:rsidR="003D0E46" w:rsidRPr="00F108A5">
        <w:rPr>
          <w:rFonts w:ascii="Ping LCG Regular" w:hAnsi="Ping LCG Regular" w:cs="Arial"/>
          <w:spacing w:val="-14"/>
          <w:szCs w:val="26"/>
          <w:lang w:val="el-GR"/>
        </w:rPr>
        <w:t xml:space="preserve"> εισφορά</w:t>
      </w:r>
      <w:r w:rsidR="00AA2BD5" w:rsidRPr="00F108A5">
        <w:rPr>
          <w:rFonts w:ascii="Ping LCG Regular" w:hAnsi="Ping LCG Regular" w:cs="Arial"/>
          <w:spacing w:val="-14"/>
          <w:szCs w:val="26"/>
          <w:lang w:val="el-GR"/>
        </w:rPr>
        <w:t>ς</w:t>
      </w:r>
      <w:r w:rsidR="003D0E46" w:rsidRPr="00F108A5">
        <w:rPr>
          <w:rFonts w:ascii="Ping LCG Regular" w:hAnsi="Ping LCG Regular" w:cs="Arial"/>
          <w:spacing w:val="-14"/>
          <w:szCs w:val="26"/>
          <w:lang w:val="el-GR"/>
        </w:rPr>
        <w:t xml:space="preserve"> </w:t>
      </w:r>
      <w:r w:rsidR="00420A39" w:rsidRPr="00F108A5">
        <w:rPr>
          <w:rFonts w:ascii="Ping LCG Regular" w:hAnsi="Ping LCG Regular" w:cs="Arial"/>
          <w:spacing w:val="-14"/>
          <w:szCs w:val="26"/>
          <w:lang w:val="el-GR"/>
        </w:rPr>
        <w:t>που κατέβαλε για τ</w:t>
      </w:r>
      <w:r w:rsidR="003D0E46" w:rsidRPr="00F108A5">
        <w:rPr>
          <w:rFonts w:ascii="Ping LCG Regular" w:hAnsi="Ping LCG Regular" w:cs="Arial"/>
          <w:spacing w:val="-14"/>
          <w:szCs w:val="26"/>
          <w:lang w:val="el-GR"/>
        </w:rPr>
        <w:t>ην δραστηριότητα παραγωγής ηλεκτρικής ενέργειας</w:t>
      </w:r>
      <w:r w:rsidR="00420A39" w:rsidRPr="00F108A5">
        <w:rPr>
          <w:rFonts w:ascii="Ping LCG Regular" w:hAnsi="Ping LCG Regular" w:cs="Arial"/>
          <w:spacing w:val="-14"/>
          <w:szCs w:val="26"/>
          <w:lang w:val="el-GR"/>
        </w:rPr>
        <w:t>.</w:t>
      </w:r>
      <w:r w:rsidR="003D0E46" w:rsidRPr="00F108A5">
        <w:rPr>
          <w:rFonts w:ascii="Ping LCG Regular" w:hAnsi="Ping LCG Regular" w:cs="Arial"/>
          <w:spacing w:val="-14"/>
          <w:szCs w:val="26"/>
          <w:lang w:val="el-GR"/>
        </w:rPr>
        <w:t xml:space="preserve"> </w:t>
      </w:r>
    </w:p>
    <w:p w14:paraId="49ECA1E6" w14:textId="77777777" w:rsidR="00555949" w:rsidRPr="00F108A5" w:rsidRDefault="00555949" w:rsidP="00555949">
      <w:pPr>
        <w:jc w:val="both"/>
        <w:rPr>
          <w:rFonts w:ascii="Ping LCG Regular" w:hAnsi="Ping LCG Regular" w:cs="Arial"/>
          <w:spacing w:val="-14"/>
          <w:lang w:val="el-GR"/>
        </w:rPr>
      </w:pPr>
    </w:p>
    <w:p w14:paraId="49A6ABEA" w14:textId="77777777" w:rsidR="00555949" w:rsidRPr="00F108A5" w:rsidRDefault="00555949" w:rsidP="00555949">
      <w:pPr>
        <w:jc w:val="both"/>
        <w:rPr>
          <w:rFonts w:ascii="Ping LCG Regular" w:hAnsi="Ping LCG Regular" w:cs="Arial"/>
          <w:spacing w:val="-14"/>
          <w:lang w:val="el-GR"/>
        </w:rPr>
      </w:pPr>
      <w:r w:rsidRPr="00F108A5">
        <w:rPr>
          <w:rFonts w:ascii="Ping LCG Regular" w:hAnsi="Ping LCG Regular" w:cs="Arial"/>
          <w:spacing w:val="-14"/>
          <w:lang w:val="el-GR"/>
        </w:rPr>
        <w:t xml:space="preserve">Αυτά τα αποτελέσματα καταδεικνύουν την ανθεκτικότητα της λειτουργικής μας κερδοφορίας κατά τα 3 τελευταία χρόνια με το EBITDA σε επαναλαμβανόμενη βάση να κυμαίνεται στην περιοχή των €0,9 </w:t>
      </w:r>
      <w:proofErr w:type="spellStart"/>
      <w:r w:rsidRPr="00F108A5">
        <w:rPr>
          <w:rFonts w:ascii="Ping LCG Regular" w:hAnsi="Ping LCG Regular" w:cs="Arial"/>
          <w:spacing w:val="-14"/>
          <w:lang w:val="el-GR"/>
        </w:rPr>
        <w:t>δισ</w:t>
      </w:r>
      <w:proofErr w:type="spellEnd"/>
      <w:r w:rsidRPr="00F108A5">
        <w:rPr>
          <w:rFonts w:ascii="Ping LCG Regular" w:hAnsi="Ping LCG Regular" w:cs="Arial"/>
          <w:spacing w:val="-14"/>
          <w:lang w:val="el-GR"/>
        </w:rPr>
        <w:t xml:space="preserve"> παρά τις πρωτόγνωρες καταστάσεις  όπως η πανδημία της  Covid-19 και η ενεργειακή κρίση.  </w:t>
      </w:r>
    </w:p>
    <w:p w14:paraId="1871D200" w14:textId="77777777" w:rsidR="00555949" w:rsidRPr="00F108A5" w:rsidRDefault="00555949" w:rsidP="00555949">
      <w:pPr>
        <w:jc w:val="both"/>
        <w:rPr>
          <w:rFonts w:ascii="Ping LCG Regular" w:hAnsi="Ping LCG Regular" w:cs="Arial"/>
          <w:spacing w:val="-14"/>
          <w:lang w:val="el-GR"/>
        </w:rPr>
      </w:pPr>
    </w:p>
    <w:p w14:paraId="1A1E08BA" w14:textId="77777777" w:rsidR="00555949" w:rsidRPr="00F108A5" w:rsidRDefault="00555949" w:rsidP="00555949">
      <w:pPr>
        <w:jc w:val="both"/>
        <w:rPr>
          <w:rFonts w:ascii="Ping LCG Regular" w:hAnsi="Ping LCG Regular" w:cs="Arial"/>
          <w:spacing w:val="-14"/>
          <w:lang w:val="el-GR"/>
        </w:rPr>
      </w:pPr>
      <w:r w:rsidRPr="00F108A5">
        <w:rPr>
          <w:rFonts w:ascii="Ping LCG Regular" w:hAnsi="Ping LCG Regular" w:cs="Arial"/>
          <w:spacing w:val="-14"/>
          <w:lang w:val="el-GR"/>
        </w:rPr>
        <w:t xml:space="preserve">Ταυτόχρονα μπορέσαμε να αντιστρέψουμε την αύξηση του καθαρού χρέους η οποία καταγράφηκε στο πρώτο τρίμηνο του έτους, διατηρώντας την ρευστότητά μας σε υψηλά επίπεδα, αλλά και αυξάνοντας τις επενδύσεις σε έργα ΑΠΕ και Δικτύου Διανομής. </w:t>
      </w:r>
    </w:p>
    <w:p w14:paraId="3CAF9536" w14:textId="77777777" w:rsidR="00555949" w:rsidRPr="00F108A5" w:rsidRDefault="00555949" w:rsidP="00555949">
      <w:pPr>
        <w:jc w:val="both"/>
        <w:rPr>
          <w:rFonts w:ascii="Ping LCG Regular" w:hAnsi="Ping LCG Regular" w:cs="Arial"/>
          <w:spacing w:val="-14"/>
          <w:lang w:val="el-GR"/>
        </w:rPr>
      </w:pPr>
    </w:p>
    <w:p w14:paraId="0D417D72" w14:textId="77777777" w:rsidR="00555949" w:rsidRPr="00F108A5" w:rsidRDefault="00555949" w:rsidP="00555949">
      <w:pPr>
        <w:jc w:val="both"/>
        <w:rPr>
          <w:rFonts w:ascii="Ping LCG Regular" w:hAnsi="Ping LCG Regular" w:cs="Arial"/>
          <w:spacing w:val="-14"/>
          <w:lang w:val="el-GR"/>
        </w:rPr>
      </w:pPr>
      <w:r w:rsidRPr="00F108A5">
        <w:rPr>
          <w:rFonts w:ascii="Ping LCG Regular" w:hAnsi="Ping LCG Regular" w:cs="Arial"/>
          <w:spacing w:val="-14"/>
          <w:lang w:val="el-GR"/>
        </w:rPr>
        <w:t xml:space="preserve">Προχωρήσαμε σε επιλεκτικές εξαγορές στην Ελλάδα και επίσης συμφωνήσαμε με την </w:t>
      </w:r>
      <w:proofErr w:type="spellStart"/>
      <w:r w:rsidRPr="00F108A5">
        <w:rPr>
          <w:rFonts w:ascii="Ping LCG Regular" w:hAnsi="Ping LCG Regular" w:cs="Arial"/>
          <w:spacing w:val="-14"/>
          <w:lang w:val="el-GR"/>
        </w:rPr>
        <w:t>Enel</w:t>
      </w:r>
      <w:proofErr w:type="spellEnd"/>
      <w:r w:rsidRPr="00F108A5">
        <w:rPr>
          <w:rFonts w:ascii="Ping LCG Regular" w:hAnsi="Ping LCG Regular" w:cs="Arial"/>
          <w:spacing w:val="-14"/>
          <w:lang w:val="el-GR"/>
        </w:rPr>
        <w:t xml:space="preserve"> να αποκτήσουμε το σύνολο της καθετοποιημένης παρουσίας της στη Ρουμανία, την οποία βλέπουμε σαν μια μοναδική ευκαιρία που ταιριάζει απόλυτα στην στρατηγική μας τόσο σε γεωγραφικό όσο και σε επιχειρηματικό επίπεδο και μάλιστα σε μια ελκυστική αποτίμηση! </w:t>
      </w:r>
    </w:p>
    <w:p w14:paraId="7F2366C2" w14:textId="77777777" w:rsidR="00555949" w:rsidRPr="00F108A5" w:rsidRDefault="00555949" w:rsidP="00555949">
      <w:pPr>
        <w:jc w:val="both"/>
        <w:rPr>
          <w:rFonts w:ascii="Ping LCG Regular" w:hAnsi="Ping LCG Regular" w:cs="Arial"/>
          <w:spacing w:val="-14"/>
          <w:lang w:val="el-GR"/>
        </w:rPr>
      </w:pPr>
    </w:p>
    <w:p w14:paraId="247648E5" w14:textId="711A5565" w:rsidR="00555949" w:rsidRPr="00F108A5" w:rsidRDefault="00555949" w:rsidP="00555949">
      <w:pPr>
        <w:jc w:val="both"/>
        <w:rPr>
          <w:rFonts w:ascii="Ping LCG Regular" w:hAnsi="Ping LCG Regular" w:cs="Arial"/>
          <w:spacing w:val="-14"/>
          <w:lang w:val="el-GR"/>
        </w:rPr>
      </w:pPr>
      <w:r w:rsidRPr="00F108A5">
        <w:rPr>
          <w:rFonts w:ascii="Ping LCG Regular" w:hAnsi="Ping LCG Regular" w:cs="Arial"/>
          <w:spacing w:val="-14"/>
          <w:lang w:val="el-GR"/>
        </w:rPr>
        <w:t>Παράλληλα, προχωρούμε το επενδυτικό μας σχέδιο στις ΑΠΕ στην Ελλάδα με έργα περίπου 600MW είτε σε λειτουργία είτε κατασκευασμένα, με στόχο να προσεγγίσουμε τ</w:t>
      </w:r>
      <w:r w:rsidR="003D0E46" w:rsidRPr="00F108A5">
        <w:rPr>
          <w:rFonts w:ascii="Ping LCG Regular" w:hAnsi="Ping LCG Regular" w:cs="Arial"/>
          <w:spacing w:val="-14"/>
          <w:lang w:val="el-GR"/>
        </w:rPr>
        <w:t>ο 1</w:t>
      </w:r>
      <w:r w:rsidR="003D0E46" w:rsidRPr="00F108A5">
        <w:rPr>
          <w:rFonts w:ascii="Ping LCG Regular" w:hAnsi="Ping LCG Regular" w:cs="Arial"/>
          <w:spacing w:val="-14"/>
        </w:rPr>
        <w:t>GW</w:t>
      </w:r>
      <w:r w:rsidR="003D0E46" w:rsidRPr="00F108A5">
        <w:rPr>
          <w:rFonts w:ascii="Ping LCG Regular" w:hAnsi="Ping LCG Regular" w:cs="Arial"/>
          <w:spacing w:val="-14"/>
          <w:lang w:val="el-GR"/>
        </w:rPr>
        <w:t xml:space="preserve"> </w:t>
      </w:r>
      <w:r w:rsidR="00344442" w:rsidRPr="00F108A5">
        <w:rPr>
          <w:rFonts w:ascii="Ping LCG Regular" w:hAnsi="Ping LCG Regular" w:cs="Arial"/>
          <w:spacing w:val="-14"/>
          <w:lang w:val="el-GR"/>
        </w:rPr>
        <w:t xml:space="preserve">περίπου </w:t>
      </w:r>
      <w:r w:rsidRPr="00F108A5">
        <w:rPr>
          <w:rFonts w:ascii="Ping LCG Regular" w:hAnsi="Ping LCG Regular" w:cs="Arial"/>
          <w:spacing w:val="-14"/>
          <w:lang w:val="el-GR"/>
        </w:rPr>
        <w:t>μέχρι το τέλος του 2023.</w:t>
      </w:r>
    </w:p>
    <w:p w14:paraId="47FDBBE8" w14:textId="77777777" w:rsidR="00555949" w:rsidRPr="00F108A5" w:rsidRDefault="00555949" w:rsidP="00555949">
      <w:pPr>
        <w:jc w:val="both"/>
        <w:rPr>
          <w:rFonts w:ascii="Ping LCG Regular" w:hAnsi="Ping LCG Regular" w:cs="Arial"/>
          <w:spacing w:val="-14"/>
          <w:lang w:val="el-GR"/>
        </w:rPr>
      </w:pPr>
    </w:p>
    <w:p w14:paraId="68D741CB" w14:textId="77777777" w:rsidR="00555949" w:rsidRDefault="00555949" w:rsidP="00555949">
      <w:pPr>
        <w:jc w:val="both"/>
        <w:rPr>
          <w:rFonts w:ascii="Ping LCG Regular" w:hAnsi="Ping LCG Regular" w:cs="Arial"/>
          <w:spacing w:val="-14"/>
          <w:lang w:val="el-GR"/>
        </w:rPr>
      </w:pPr>
      <w:r w:rsidRPr="00F108A5">
        <w:rPr>
          <w:rFonts w:ascii="Ping LCG Regular" w:hAnsi="Ping LCG Regular" w:cs="Arial"/>
          <w:spacing w:val="-14"/>
          <w:lang w:val="el-GR"/>
        </w:rPr>
        <w:t>Συνεχίζουμε προσηλωμένοι στο μετασχηματισμό της ΔΕΗ και στην υλοποίηση του Στρατηγικού</w:t>
      </w:r>
      <w:r w:rsidRPr="00555949">
        <w:rPr>
          <w:rFonts w:ascii="Ping LCG Regular" w:hAnsi="Ping LCG Regular" w:cs="Arial"/>
          <w:spacing w:val="-14"/>
          <w:lang w:val="el-GR"/>
        </w:rPr>
        <w:t xml:space="preserve"> μας Σχεδίου, τηρώντας τη δέσμευσή μας για διανομή μερίσματος το 2024 με βάση τα κέρδη του 2023.  </w:t>
      </w:r>
    </w:p>
    <w:p w14:paraId="69162715" w14:textId="77777777" w:rsidR="00555949" w:rsidRPr="00555949" w:rsidRDefault="00555949" w:rsidP="00555949">
      <w:pPr>
        <w:jc w:val="both"/>
        <w:rPr>
          <w:rFonts w:ascii="Ping LCG Regular" w:hAnsi="Ping LCG Regular" w:cs="Arial"/>
          <w:spacing w:val="-14"/>
          <w:lang w:val="el-GR"/>
        </w:rPr>
      </w:pPr>
    </w:p>
    <w:p w14:paraId="40F61533" w14:textId="25040953" w:rsidR="005660C8" w:rsidRPr="00555949" w:rsidRDefault="00555949" w:rsidP="00555949">
      <w:pPr>
        <w:jc w:val="both"/>
        <w:rPr>
          <w:rFonts w:ascii="Ping LCG Regular" w:hAnsi="Ping LCG Regular" w:cs="Arial"/>
          <w:spacing w:val="-14"/>
          <w:lang w:val="el-GR"/>
        </w:rPr>
      </w:pPr>
      <w:r w:rsidRPr="00555949">
        <w:rPr>
          <w:rFonts w:ascii="Ping LCG Regular" w:hAnsi="Ping LCG Regular" w:cs="Arial"/>
          <w:spacing w:val="-14"/>
          <w:lang w:val="el-GR"/>
        </w:rPr>
        <w:t xml:space="preserve">Αναφορικά με τη συμφωνία εξαγοράς στην Ρουμανία,  επικεντρωνόμαστε στην ολοκλήρωση της συναλλαγής έως το τρίτο τρίμηνο του 2023 και αμέσως μετά θα παρουσιάσουμε το </w:t>
      </w:r>
      <w:proofErr w:type="spellStart"/>
      <w:r w:rsidRPr="00555949">
        <w:rPr>
          <w:rFonts w:ascii="Ping LCG Regular" w:hAnsi="Ping LCG Regular" w:cs="Arial"/>
          <w:spacing w:val="-14"/>
          <w:lang w:val="el-GR"/>
        </w:rPr>
        <w:t>επικαιροποιημένο</w:t>
      </w:r>
      <w:proofErr w:type="spellEnd"/>
      <w:r w:rsidRPr="00555949">
        <w:rPr>
          <w:rFonts w:ascii="Ping LCG Regular" w:hAnsi="Ping LCG Regular" w:cs="Arial"/>
          <w:spacing w:val="-14"/>
          <w:lang w:val="el-GR"/>
        </w:rPr>
        <w:t xml:space="preserve"> μας συνολικό Στρατηγικό Σχέδιο στην επενδυτική κοινότητα.»</w:t>
      </w:r>
    </w:p>
    <w:p w14:paraId="3B980F8F" w14:textId="77777777" w:rsidR="005660C8" w:rsidRPr="00555949" w:rsidRDefault="005660C8" w:rsidP="005660C8">
      <w:pPr>
        <w:jc w:val="both"/>
        <w:rPr>
          <w:rFonts w:ascii="Ping LCG Regular" w:hAnsi="Ping LCG Regular" w:cs="Arial"/>
          <w:spacing w:val="-14"/>
          <w:lang w:val="el-GR"/>
        </w:rPr>
      </w:pPr>
    </w:p>
    <w:p w14:paraId="5399A61B" w14:textId="77777777" w:rsidR="005660C8" w:rsidRPr="00555949" w:rsidRDefault="005660C8" w:rsidP="005660C8">
      <w:pPr>
        <w:jc w:val="both"/>
        <w:rPr>
          <w:rFonts w:ascii="Ping LCG Regular" w:hAnsi="Ping LCG Regular" w:cs="Arial"/>
          <w:spacing w:val="-14"/>
          <w:lang w:val="el-GR"/>
        </w:rPr>
      </w:pPr>
    </w:p>
    <w:p w14:paraId="6D44AC61" w14:textId="358892CF" w:rsidR="0045307E" w:rsidRPr="00872A1E" w:rsidRDefault="005915DB" w:rsidP="0045307E">
      <w:pPr>
        <w:jc w:val="both"/>
        <w:rPr>
          <w:rFonts w:ascii="Ping LCG Regular" w:hAnsi="Ping LCG Regular"/>
          <w:highlight w:val="yellow"/>
          <w:lang w:val="el-GR"/>
        </w:rPr>
      </w:pPr>
      <w:r w:rsidRPr="00872A1E" w:rsidDel="005915DB">
        <w:rPr>
          <w:rFonts w:ascii="Ping LCG Regular" w:hAnsi="Ping LCG Regular"/>
          <w:highlight w:val="yellow"/>
          <w:lang w:val="el-GR"/>
        </w:rPr>
        <w:t xml:space="preserve"> </w:t>
      </w:r>
    </w:p>
    <w:p w14:paraId="7E95E6DE" w14:textId="77777777" w:rsidR="0045307E" w:rsidRPr="00872A1E" w:rsidRDefault="0045307E" w:rsidP="0045307E">
      <w:pPr>
        <w:jc w:val="both"/>
        <w:rPr>
          <w:rFonts w:ascii="Ping LCG Regular" w:hAnsi="Ping LCG Regular"/>
          <w:highlight w:val="yellow"/>
          <w:lang w:val="el-GR"/>
        </w:rPr>
      </w:pPr>
    </w:p>
    <w:p w14:paraId="57C6C690" w14:textId="77777777" w:rsidR="0045307E" w:rsidRPr="00872A1E" w:rsidRDefault="0045307E" w:rsidP="0045307E">
      <w:pPr>
        <w:jc w:val="both"/>
        <w:rPr>
          <w:rFonts w:ascii="Ping LCG Regular" w:hAnsi="Ping LCG Regular"/>
          <w:highlight w:val="yellow"/>
          <w:lang w:val="el-GR"/>
        </w:rPr>
      </w:pPr>
    </w:p>
    <w:p w14:paraId="5BBD54DA" w14:textId="77777777" w:rsidR="00A52F74" w:rsidRPr="00872A1E" w:rsidRDefault="00A52F74" w:rsidP="003A19E2">
      <w:pPr>
        <w:jc w:val="both"/>
        <w:rPr>
          <w:rFonts w:ascii="Ping LCG Regular" w:hAnsi="Ping LCG Regular"/>
          <w:highlight w:val="yellow"/>
          <w:lang w:val="el-GR"/>
        </w:rPr>
      </w:pPr>
    </w:p>
    <w:p w14:paraId="59F3132D" w14:textId="77777777" w:rsidR="00B26EE8" w:rsidRPr="00872A1E" w:rsidRDefault="00B26EE8">
      <w:pPr>
        <w:rPr>
          <w:rFonts w:ascii="Ping LCG Regular" w:hAnsi="Ping LCG Regular" w:cs="Arial"/>
          <w:b/>
          <w:bCs/>
          <w:color w:val="000000"/>
          <w:highlight w:val="yellow"/>
          <w:lang w:val="el-GR"/>
        </w:rPr>
      </w:pPr>
      <w:r w:rsidRPr="00872A1E">
        <w:rPr>
          <w:rFonts w:ascii="Ping LCG Regular" w:hAnsi="Ping LCG Regular" w:cs="Arial"/>
          <w:b/>
          <w:bCs/>
          <w:color w:val="000000"/>
          <w:highlight w:val="yellow"/>
          <w:lang w:val="el-GR"/>
        </w:rPr>
        <w:br w:type="page"/>
      </w:r>
    </w:p>
    <w:p w14:paraId="57B72E60" w14:textId="77777777" w:rsidR="00A249A6" w:rsidRPr="00872A1E" w:rsidRDefault="00A249A6" w:rsidP="00CD3233">
      <w:pPr>
        <w:autoSpaceDE w:val="0"/>
        <w:autoSpaceDN w:val="0"/>
        <w:adjustRightInd w:val="0"/>
        <w:rPr>
          <w:rFonts w:ascii="Ping LCG Regular" w:hAnsi="Ping LCG Regular" w:cs="Arial"/>
          <w:b/>
          <w:bCs/>
          <w:color w:val="000000"/>
          <w:lang w:val="el-GR"/>
        </w:rPr>
      </w:pPr>
      <w:r w:rsidRPr="00872A1E">
        <w:rPr>
          <w:rFonts w:ascii="Ping LCG Regular" w:hAnsi="Ping LCG Regular" w:cs="Arial"/>
          <w:b/>
          <w:bCs/>
          <w:color w:val="000000"/>
          <w:lang w:val="el-GR"/>
        </w:rPr>
        <w:lastRenderedPageBreak/>
        <w:t>Ανάλυση Εσόδων &amp; Λειτουργικών δαπανών Ομίλου ΔΕΗ</w:t>
      </w:r>
    </w:p>
    <w:p w14:paraId="426DC15A" w14:textId="493979D2" w:rsidR="00851841" w:rsidRPr="00872A1E" w:rsidRDefault="00851841" w:rsidP="00A469D4">
      <w:pPr>
        <w:jc w:val="both"/>
        <w:rPr>
          <w:rFonts w:ascii="Ping LCG Regular" w:hAnsi="Ping LCG Regular" w:cs="Arial"/>
          <w:b/>
          <w:bCs/>
          <w:spacing w:val="-14"/>
          <w:lang w:val="el-GR"/>
        </w:rPr>
      </w:pPr>
      <w:bookmarkStart w:id="5" w:name="_Hlk69205105"/>
    </w:p>
    <w:p w14:paraId="3D0351C5" w14:textId="77777777" w:rsidR="005915DB" w:rsidRPr="00872A1E" w:rsidRDefault="005915DB" w:rsidP="00A469D4">
      <w:pPr>
        <w:jc w:val="both"/>
        <w:rPr>
          <w:rFonts w:ascii="Ping LCG Regular" w:hAnsi="Ping LCG Regular" w:cs="Arial"/>
          <w:b/>
          <w:bCs/>
          <w:spacing w:val="-14"/>
          <w:lang w:val="el-GR"/>
        </w:rPr>
      </w:pPr>
    </w:p>
    <w:p w14:paraId="6D847F3A" w14:textId="0B471E9A" w:rsidR="00A249A6" w:rsidRPr="00872A1E" w:rsidRDefault="00A249A6" w:rsidP="00A469D4">
      <w:pPr>
        <w:jc w:val="both"/>
        <w:rPr>
          <w:rFonts w:ascii="Ping LCG Regular" w:hAnsi="Ping LCG Regular" w:cs="Arial"/>
          <w:b/>
          <w:bCs/>
          <w:spacing w:val="-14"/>
          <w:lang w:val="el-GR"/>
        </w:rPr>
      </w:pPr>
      <w:r w:rsidRPr="00872A1E">
        <w:rPr>
          <w:rFonts w:ascii="Ping LCG Regular" w:hAnsi="Ping LCG Regular" w:cs="Arial"/>
          <w:b/>
          <w:bCs/>
          <w:spacing w:val="-14"/>
          <w:lang w:val="el-GR"/>
        </w:rPr>
        <w:t>Έσοδα</w:t>
      </w:r>
    </w:p>
    <w:p w14:paraId="0F11C404" w14:textId="77777777" w:rsidR="00A249A6" w:rsidRPr="00872A1E" w:rsidRDefault="00A249A6" w:rsidP="00A249A6">
      <w:pPr>
        <w:widowControl w:val="0"/>
        <w:autoSpaceDE w:val="0"/>
        <w:autoSpaceDN w:val="0"/>
        <w:adjustRightInd w:val="0"/>
        <w:ind w:right="20"/>
        <w:jc w:val="both"/>
        <w:rPr>
          <w:rFonts w:ascii="Ping LCG Regular" w:hAnsi="Ping LCG Regular" w:cs="Arial"/>
          <w:spacing w:val="-14"/>
          <w:lang w:val="el-GR"/>
        </w:rPr>
      </w:pPr>
    </w:p>
    <w:p w14:paraId="26A08B9D" w14:textId="21FC7EC8" w:rsidR="004B6719" w:rsidRPr="00872A1E" w:rsidRDefault="004B6719" w:rsidP="004B6719">
      <w:pPr>
        <w:jc w:val="both"/>
        <w:rPr>
          <w:rFonts w:ascii="Ping LCG Regular" w:hAnsi="Ping LCG Regular" w:cs="Arial"/>
          <w:spacing w:val="-14"/>
          <w:lang w:val="el-GR"/>
        </w:rPr>
      </w:pPr>
      <w:r w:rsidRPr="00872A1E">
        <w:rPr>
          <w:rFonts w:ascii="Ping LCG Regular" w:hAnsi="Ping LCG Regular" w:cs="Arial"/>
          <w:spacing w:val="-14"/>
          <w:lang w:val="el-GR"/>
        </w:rPr>
        <w:t>Ο κύκλος εργασιών, αυξήθηκε το 2022 κατά €</w:t>
      </w:r>
      <w:r w:rsidR="00B41E00" w:rsidRPr="00872A1E">
        <w:rPr>
          <w:rFonts w:ascii="Ping LCG Regular" w:hAnsi="Ping LCG Regular" w:cs="Arial"/>
          <w:spacing w:val="-14"/>
          <w:lang w:val="el-GR"/>
        </w:rPr>
        <w:t>5</w:t>
      </w:r>
      <w:r w:rsidRPr="00872A1E">
        <w:rPr>
          <w:rFonts w:ascii="Ping LCG Regular" w:hAnsi="Ping LCG Regular" w:cs="Arial"/>
          <w:spacing w:val="-14"/>
          <w:lang w:val="el-GR"/>
        </w:rPr>
        <w:t>.</w:t>
      </w:r>
      <w:r w:rsidR="00B41E00" w:rsidRPr="00872A1E">
        <w:rPr>
          <w:rFonts w:ascii="Ping LCG Regular" w:hAnsi="Ping LCG Regular" w:cs="Arial"/>
          <w:spacing w:val="-14"/>
          <w:lang w:val="el-GR"/>
        </w:rPr>
        <w:t>546,</w:t>
      </w:r>
      <w:r w:rsidR="000835E4" w:rsidRPr="00872A1E">
        <w:rPr>
          <w:rFonts w:ascii="Ping LCG Regular" w:hAnsi="Ping LCG Regular" w:cs="Arial"/>
          <w:spacing w:val="-14"/>
          <w:lang w:val="el-GR"/>
        </w:rPr>
        <w:t>7</w:t>
      </w:r>
      <w:r w:rsidRPr="00872A1E">
        <w:rPr>
          <w:rFonts w:ascii="Ping LCG Regular" w:hAnsi="Ping LCG Regular" w:cs="Arial"/>
          <w:spacing w:val="-14"/>
          <w:lang w:val="el-GR"/>
        </w:rPr>
        <w:t xml:space="preserve"> εκατ. ή </w:t>
      </w:r>
      <w:r w:rsidR="0003446F" w:rsidRPr="00872A1E">
        <w:rPr>
          <w:rFonts w:ascii="Ping LCG Regular" w:hAnsi="Ping LCG Regular" w:cs="Arial"/>
          <w:spacing w:val="-14"/>
          <w:lang w:val="el-GR"/>
        </w:rPr>
        <w:t>97,2</w:t>
      </w:r>
      <w:r w:rsidRPr="00872A1E">
        <w:rPr>
          <w:rFonts w:ascii="Ping LCG Regular" w:hAnsi="Ping LCG Regular" w:cs="Arial"/>
          <w:spacing w:val="-14"/>
          <w:lang w:val="el-GR"/>
        </w:rPr>
        <w:t xml:space="preserve">% λόγω της αύξησης του μέσου εσόδου, ως αποτέλεσμα της μεγάλης ανόδου των τιμών στην </w:t>
      </w:r>
      <w:proofErr w:type="spellStart"/>
      <w:r w:rsidRPr="00872A1E">
        <w:rPr>
          <w:rFonts w:ascii="Ping LCG Regular" w:hAnsi="Ping LCG Regular" w:cs="Arial"/>
          <w:spacing w:val="-14"/>
          <w:lang w:val="el-GR"/>
        </w:rPr>
        <w:t>χονδρεμπορική</w:t>
      </w:r>
      <w:proofErr w:type="spellEnd"/>
      <w:r w:rsidRPr="00872A1E">
        <w:rPr>
          <w:rFonts w:ascii="Ping LCG Regular" w:hAnsi="Ping LCG Regular" w:cs="Arial"/>
          <w:spacing w:val="-14"/>
          <w:lang w:val="el-GR"/>
        </w:rPr>
        <w:t xml:space="preserve"> αγορά. Ειδικότερα το </w:t>
      </w:r>
      <w:r w:rsidR="0003446F" w:rsidRPr="00872A1E">
        <w:rPr>
          <w:rFonts w:ascii="Ping LCG Regular" w:hAnsi="Ping LCG Regular" w:cs="Arial"/>
          <w:spacing w:val="-14"/>
          <w:lang w:val="el-GR"/>
        </w:rPr>
        <w:t>δ</w:t>
      </w:r>
      <w:r w:rsidRPr="00872A1E">
        <w:rPr>
          <w:rFonts w:ascii="Ping LCG Regular" w:hAnsi="Ping LCG Regular" w:cs="Arial"/>
          <w:spacing w:val="-14"/>
          <w:lang w:val="el-GR"/>
        </w:rPr>
        <w:t>’ τρίμηνο 2022, ο κύκλος εργασιών ανήλθε στα €</w:t>
      </w:r>
      <w:r w:rsidR="0003446F" w:rsidRPr="00872A1E">
        <w:rPr>
          <w:rFonts w:ascii="Ping LCG Regular" w:hAnsi="Ping LCG Regular" w:cs="Arial"/>
          <w:spacing w:val="-14"/>
          <w:lang w:val="el-GR"/>
        </w:rPr>
        <w:t>2</w:t>
      </w:r>
      <w:r w:rsidR="004F3D1A" w:rsidRPr="00872A1E">
        <w:rPr>
          <w:rFonts w:ascii="Ping LCG Regular" w:hAnsi="Ping LCG Regular" w:cs="Arial"/>
          <w:spacing w:val="-14"/>
          <w:lang w:val="el-GR"/>
        </w:rPr>
        <w:t>.</w:t>
      </w:r>
      <w:r w:rsidR="0003446F" w:rsidRPr="00872A1E">
        <w:rPr>
          <w:rFonts w:ascii="Ping LCG Regular" w:hAnsi="Ping LCG Regular" w:cs="Arial"/>
          <w:spacing w:val="-14"/>
          <w:lang w:val="el-GR"/>
        </w:rPr>
        <w:t>690</w:t>
      </w:r>
      <w:r w:rsidR="004F3D1A" w:rsidRPr="00872A1E">
        <w:rPr>
          <w:rFonts w:ascii="Ping LCG Regular" w:hAnsi="Ping LCG Regular" w:cs="Arial"/>
          <w:spacing w:val="-14"/>
          <w:lang w:val="el-GR"/>
        </w:rPr>
        <w:t>,4</w:t>
      </w:r>
      <w:r w:rsidRPr="00872A1E">
        <w:rPr>
          <w:rFonts w:ascii="Ping LCG Regular" w:hAnsi="Ping LCG Regular" w:cs="Arial"/>
          <w:spacing w:val="-14"/>
          <w:lang w:val="el-GR"/>
        </w:rPr>
        <w:t xml:space="preserve"> εκατ. σημειώνοντας αύξηση κατά </w:t>
      </w:r>
      <w:r w:rsidR="004F3D1A" w:rsidRPr="00872A1E">
        <w:rPr>
          <w:rFonts w:ascii="Ping LCG Regular" w:hAnsi="Ping LCG Regular" w:cs="Arial"/>
          <w:spacing w:val="-14"/>
          <w:lang w:val="el-GR"/>
        </w:rPr>
        <w:t>33,9</w:t>
      </w:r>
      <w:r w:rsidRPr="00872A1E">
        <w:rPr>
          <w:rFonts w:ascii="Ping LCG Regular" w:hAnsi="Ping LCG Regular" w:cs="Arial"/>
          <w:spacing w:val="-14"/>
          <w:lang w:val="el-GR"/>
        </w:rPr>
        <w:t>% σε σχέση με το αντίστοιχο τρίμηνο του 2021.</w:t>
      </w:r>
    </w:p>
    <w:p w14:paraId="149F87FE" w14:textId="4730C4C9" w:rsidR="00F7256B" w:rsidRPr="00872A1E" w:rsidRDefault="00F7256B" w:rsidP="00A249A6">
      <w:pPr>
        <w:widowControl w:val="0"/>
        <w:autoSpaceDE w:val="0"/>
        <w:autoSpaceDN w:val="0"/>
        <w:adjustRightInd w:val="0"/>
        <w:ind w:right="20"/>
        <w:jc w:val="both"/>
        <w:rPr>
          <w:rFonts w:ascii="Ping LCG Regular" w:hAnsi="Ping LCG Regular" w:cs="Arial"/>
          <w:spacing w:val="-14"/>
          <w:lang w:val="el-GR"/>
        </w:rPr>
      </w:pPr>
    </w:p>
    <w:bookmarkEnd w:id="5"/>
    <w:p w14:paraId="3E4CD72E" w14:textId="77777777" w:rsidR="00A249A6" w:rsidRPr="00872A1E" w:rsidRDefault="00A249A6" w:rsidP="00A249A6">
      <w:pPr>
        <w:widowControl w:val="0"/>
        <w:autoSpaceDE w:val="0"/>
        <w:autoSpaceDN w:val="0"/>
        <w:adjustRightInd w:val="0"/>
        <w:ind w:right="18"/>
        <w:rPr>
          <w:rFonts w:ascii="Ping LCG Regular" w:hAnsi="Ping LCG Regular" w:cs="Arial"/>
          <w:b/>
          <w:spacing w:val="-14"/>
          <w:u w:val="single"/>
          <w:lang w:val="el-GR"/>
        </w:rPr>
      </w:pPr>
    </w:p>
    <w:p w14:paraId="24E7D9DA" w14:textId="77777777" w:rsidR="00A249A6" w:rsidRPr="00872A1E" w:rsidRDefault="00A249A6" w:rsidP="00A249A6">
      <w:pPr>
        <w:widowControl w:val="0"/>
        <w:autoSpaceDE w:val="0"/>
        <w:autoSpaceDN w:val="0"/>
        <w:adjustRightInd w:val="0"/>
        <w:ind w:right="20"/>
        <w:jc w:val="both"/>
        <w:rPr>
          <w:rFonts w:ascii="Ping LCG Regular" w:hAnsi="Ping LCG Regular" w:cs="Arial"/>
          <w:b/>
          <w:spacing w:val="-14"/>
          <w:szCs w:val="26"/>
          <w:lang w:val="el-GR"/>
        </w:rPr>
      </w:pPr>
      <w:r w:rsidRPr="00872A1E">
        <w:rPr>
          <w:rFonts w:ascii="Ping LCG Regular" w:hAnsi="Ping LCG Regular" w:cs="Arial"/>
          <w:b/>
          <w:spacing w:val="-14"/>
          <w:szCs w:val="26"/>
          <w:lang w:val="el-GR"/>
        </w:rPr>
        <w:t xml:space="preserve">Λειτουργικές Δαπάνες </w:t>
      </w:r>
    </w:p>
    <w:p w14:paraId="6D9D4760" w14:textId="77777777" w:rsidR="00A249A6" w:rsidRPr="00872A1E" w:rsidRDefault="00A249A6" w:rsidP="00A249A6">
      <w:pPr>
        <w:widowControl w:val="0"/>
        <w:autoSpaceDE w:val="0"/>
        <w:autoSpaceDN w:val="0"/>
        <w:adjustRightInd w:val="0"/>
        <w:ind w:right="20"/>
        <w:jc w:val="both"/>
        <w:rPr>
          <w:rFonts w:ascii="Ping LCG Regular" w:hAnsi="Ping LCG Regular" w:cs="Arial"/>
          <w:spacing w:val="-14"/>
          <w:lang w:val="el-GR"/>
        </w:rPr>
      </w:pPr>
    </w:p>
    <w:p w14:paraId="3305E3E4" w14:textId="5BEE6FEC" w:rsidR="00622033" w:rsidRPr="00872A1E" w:rsidRDefault="00622033" w:rsidP="00622033">
      <w:pPr>
        <w:ind w:firstLine="11"/>
        <w:jc w:val="both"/>
        <w:rPr>
          <w:rFonts w:ascii="Ping LCG Regular" w:hAnsi="Ping LCG Regular" w:cs="Arial"/>
          <w:spacing w:val="-14"/>
          <w:lang w:val="el-GR"/>
        </w:rPr>
      </w:pPr>
      <w:bookmarkStart w:id="6" w:name="_Hlk69239273"/>
      <w:r w:rsidRPr="00872A1E">
        <w:rPr>
          <w:rFonts w:ascii="Ping LCG Regular" w:hAnsi="Ping LCG Regular" w:cs="Arial"/>
          <w:spacing w:val="-14"/>
          <w:lang w:val="el-GR"/>
        </w:rPr>
        <w:t xml:space="preserve">Οι προ αποσβέσεων λειτουργικές δαπάνες το 2022, εξαιρουμένης της έκτακτης  εισφοράς </w:t>
      </w:r>
      <w:r w:rsidR="0012241D">
        <w:rPr>
          <w:rFonts w:ascii="Ping LCG Regular" w:hAnsi="Ping LCG Regular" w:cs="Arial"/>
          <w:spacing w:val="-14"/>
          <w:lang w:val="el-GR"/>
        </w:rPr>
        <w:t xml:space="preserve">ύψους </w:t>
      </w:r>
      <w:r w:rsidRPr="00872A1E">
        <w:rPr>
          <w:rFonts w:ascii="Ping LCG Regular" w:hAnsi="Ping LCG Regular" w:cs="Arial"/>
          <w:spacing w:val="-14"/>
          <w:lang w:val="el-GR"/>
        </w:rPr>
        <w:t>€2</w:t>
      </w:r>
      <w:r w:rsidR="003D2508" w:rsidRPr="00872A1E">
        <w:rPr>
          <w:rFonts w:ascii="Ping LCG Regular" w:hAnsi="Ping LCG Regular" w:cs="Arial"/>
          <w:spacing w:val="-14"/>
          <w:lang w:val="el-GR"/>
        </w:rPr>
        <w:t>45,3</w:t>
      </w:r>
      <w:r w:rsidRPr="00872A1E">
        <w:rPr>
          <w:rFonts w:ascii="Ping LCG Regular" w:hAnsi="Ping LCG Regular" w:cs="Arial"/>
          <w:spacing w:val="-14"/>
          <w:lang w:val="el-GR"/>
        </w:rPr>
        <w:t xml:space="preserve"> εκατ.</w:t>
      </w:r>
      <w:r w:rsidR="00FF694C" w:rsidRPr="00872A1E">
        <w:rPr>
          <w:rFonts w:ascii="Ping LCG Regular" w:hAnsi="Ping LCG Regular" w:cs="Arial"/>
          <w:spacing w:val="-14"/>
          <w:lang w:val="el-GR"/>
        </w:rPr>
        <w:t xml:space="preserve">, </w:t>
      </w:r>
      <w:r w:rsidR="0065428B" w:rsidRPr="00872A1E">
        <w:rPr>
          <w:rFonts w:ascii="Ping LCG Regular" w:hAnsi="Ping LCG Regular" w:cs="Arial"/>
          <w:spacing w:val="-14"/>
          <w:lang w:val="el-GR"/>
        </w:rPr>
        <w:t>τη</w:t>
      </w:r>
      <w:r w:rsidR="00644991" w:rsidRPr="00872A1E">
        <w:rPr>
          <w:rFonts w:ascii="Ping LCG Regular" w:hAnsi="Ping LCG Regular" w:cs="Arial"/>
          <w:spacing w:val="-14"/>
          <w:lang w:val="el-GR"/>
        </w:rPr>
        <w:t>ς</w:t>
      </w:r>
      <w:r w:rsidR="0065428B" w:rsidRPr="00872A1E">
        <w:rPr>
          <w:rFonts w:ascii="Ping LCG Regular" w:hAnsi="Ping LCG Regular" w:cs="Arial"/>
          <w:spacing w:val="-14"/>
          <w:lang w:val="el-GR"/>
        </w:rPr>
        <w:t xml:space="preserve"> πρόβλεψη</w:t>
      </w:r>
      <w:r w:rsidR="00644991" w:rsidRPr="00872A1E">
        <w:rPr>
          <w:rFonts w:ascii="Ping LCG Regular" w:hAnsi="Ping LCG Regular" w:cs="Arial"/>
          <w:spacing w:val="-14"/>
          <w:lang w:val="el-GR"/>
        </w:rPr>
        <w:t>ς</w:t>
      </w:r>
      <w:r w:rsidR="0065428B" w:rsidRPr="00872A1E">
        <w:rPr>
          <w:rFonts w:ascii="Ping LCG Regular" w:hAnsi="Ping LCG Regular" w:cs="Arial"/>
          <w:spacing w:val="-14"/>
          <w:lang w:val="el-GR"/>
        </w:rPr>
        <w:t xml:space="preserve"> για αποζημιώσεις προσωπικού ύψους €50,5 εκατ.</w:t>
      </w:r>
      <w:r w:rsidR="00CF39DE" w:rsidRPr="00872A1E">
        <w:rPr>
          <w:rFonts w:ascii="Ping LCG Regular" w:hAnsi="Ping LCG Regular" w:cs="Arial"/>
          <w:spacing w:val="-14"/>
          <w:lang w:val="el-GR"/>
        </w:rPr>
        <w:t xml:space="preserve"> και της αναδρομικής χρέωσης ύψους €6,6 εκατ.  λόγω ανάκτησης ειδικών επιδομάτων από την εφαρμογή της ΕΣΣΕ 2021-2024, </w:t>
      </w:r>
      <w:r w:rsidRPr="00872A1E">
        <w:rPr>
          <w:rFonts w:ascii="Ping LCG Regular" w:hAnsi="Ping LCG Regular" w:cs="Arial"/>
          <w:spacing w:val="-14"/>
          <w:lang w:val="el-GR"/>
        </w:rPr>
        <w:t>αυξήθηκαν κατά €</w:t>
      </w:r>
      <w:r w:rsidR="005C4D85" w:rsidRPr="00872A1E">
        <w:rPr>
          <w:rFonts w:ascii="Ping LCG Regular" w:hAnsi="Ping LCG Regular" w:cs="Arial"/>
          <w:spacing w:val="-14"/>
          <w:lang w:val="el-GR"/>
        </w:rPr>
        <w:t>5</w:t>
      </w:r>
      <w:r w:rsidRPr="00872A1E">
        <w:rPr>
          <w:rFonts w:ascii="Ping LCG Regular" w:hAnsi="Ping LCG Regular" w:cs="Arial"/>
          <w:spacing w:val="-14"/>
          <w:lang w:val="el-GR"/>
        </w:rPr>
        <w:t>.</w:t>
      </w:r>
      <w:r w:rsidR="005C4D85" w:rsidRPr="00872A1E">
        <w:rPr>
          <w:rFonts w:ascii="Ping LCG Regular" w:hAnsi="Ping LCG Regular" w:cs="Arial"/>
          <w:spacing w:val="-14"/>
          <w:lang w:val="el-GR"/>
        </w:rPr>
        <w:t>4</w:t>
      </w:r>
      <w:r w:rsidR="00CF39DE" w:rsidRPr="00872A1E">
        <w:rPr>
          <w:rFonts w:ascii="Ping LCG Regular" w:hAnsi="Ping LCG Regular" w:cs="Arial"/>
          <w:spacing w:val="-14"/>
          <w:lang w:val="el-GR"/>
        </w:rPr>
        <w:t>64,7</w:t>
      </w:r>
      <w:r w:rsidRPr="00872A1E">
        <w:rPr>
          <w:rFonts w:ascii="Ping LCG Regular" w:hAnsi="Ping LCG Regular" w:cs="Arial"/>
          <w:spacing w:val="-14"/>
          <w:lang w:val="el-GR"/>
        </w:rPr>
        <w:t xml:space="preserve"> εκατ. (ή κατά 1</w:t>
      </w:r>
      <w:r w:rsidR="005C4D85" w:rsidRPr="00872A1E">
        <w:rPr>
          <w:rFonts w:ascii="Ping LCG Regular" w:hAnsi="Ping LCG Regular" w:cs="Arial"/>
          <w:spacing w:val="-14"/>
          <w:lang w:val="el-GR"/>
        </w:rPr>
        <w:t>13</w:t>
      </w:r>
      <w:r w:rsidR="00CF39DE" w:rsidRPr="00872A1E">
        <w:rPr>
          <w:rFonts w:ascii="Ping LCG Regular" w:hAnsi="Ping LCG Regular" w:cs="Arial"/>
          <w:spacing w:val="-14"/>
          <w:lang w:val="el-GR"/>
        </w:rPr>
        <w:t>%</w:t>
      </w:r>
      <w:r w:rsidRPr="00872A1E">
        <w:rPr>
          <w:rFonts w:ascii="Ping LCG Regular" w:hAnsi="Ping LCG Regular" w:cs="Arial"/>
          <w:spacing w:val="-14"/>
          <w:lang w:val="el-GR"/>
        </w:rPr>
        <w:t>) σε €</w:t>
      </w:r>
      <w:r w:rsidR="005C4D85" w:rsidRPr="00872A1E">
        <w:rPr>
          <w:rFonts w:ascii="Ping LCG Regular" w:hAnsi="Ping LCG Regular" w:cs="Arial"/>
          <w:spacing w:val="-14"/>
          <w:lang w:val="el-GR"/>
        </w:rPr>
        <w:t>10</w:t>
      </w:r>
      <w:r w:rsidRPr="00872A1E">
        <w:rPr>
          <w:rFonts w:ascii="Ping LCG Regular" w:hAnsi="Ping LCG Regular" w:cs="Arial"/>
          <w:spacing w:val="-14"/>
          <w:lang w:val="el-GR"/>
        </w:rPr>
        <w:t>.</w:t>
      </w:r>
      <w:r w:rsidR="00CF39DE" w:rsidRPr="00872A1E">
        <w:rPr>
          <w:rFonts w:ascii="Ping LCG Regular" w:hAnsi="Ping LCG Regular" w:cs="Arial"/>
          <w:spacing w:val="-14"/>
          <w:lang w:val="el-GR"/>
        </w:rPr>
        <w:t>299,4</w:t>
      </w:r>
      <w:r w:rsidRPr="00872A1E">
        <w:rPr>
          <w:rFonts w:ascii="Ping LCG Regular" w:hAnsi="Ping LCG Regular" w:cs="Arial"/>
          <w:spacing w:val="-14"/>
          <w:lang w:val="el-GR"/>
        </w:rPr>
        <w:t xml:space="preserve"> εκατ. έναντι €</w:t>
      </w:r>
      <w:r w:rsidR="00D243EA" w:rsidRPr="00872A1E">
        <w:rPr>
          <w:rFonts w:ascii="Ping LCG Regular" w:hAnsi="Ping LCG Regular" w:cs="Arial"/>
          <w:spacing w:val="-14"/>
          <w:lang w:val="el-GR"/>
        </w:rPr>
        <w:t>4</w:t>
      </w:r>
      <w:r w:rsidRPr="00872A1E">
        <w:rPr>
          <w:rFonts w:ascii="Ping LCG Regular" w:hAnsi="Ping LCG Regular" w:cs="Arial"/>
          <w:spacing w:val="-14"/>
          <w:lang w:val="el-GR"/>
        </w:rPr>
        <w:t>.</w:t>
      </w:r>
      <w:r w:rsidR="00D243EA" w:rsidRPr="00872A1E">
        <w:rPr>
          <w:rFonts w:ascii="Ping LCG Regular" w:hAnsi="Ping LCG Regular" w:cs="Arial"/>
          <w:spacing w:val="-14"/>
          <w:lang w:val="el-GR"/>
        </w:rPr>
        <w:t>834,</w:t>
      </w:r>
      <w:r w:rsidR="00CF39DE" w:rsidRPr="00872A1E">
        <w:rPr>
          <w:rFonts w:ascii="Ping LCG Regular" w:hAnsi="Ping LCG Regular" w:cs="Arial"/>
          <w:spacing w:val="-14"/>
          <w:lang w:val="el-GR"/>
        </w:rPr>
        <w:t>7</w:t>
      </w:r>
      <w:r w:rsidRPr="00872A1E">
        <w:rPr>
          <w:rFonts w:ascii="Ping LCG Regular" w:hAnsi="Ping LCG Regular" w:cs="Arial"/>
          <w:spacing w:val="-14"/>
          <w:lang w:val="el-GR"/>
        </w:rPr>
        <w:t xml:space="preserve"> εκατ. το 2021, κυρίως ως αποτέλεσμα των ιδιαίτερα αυξημένων δαπανών για αγορά καυσίμων, ενέργειας και δικαιωμάτων εκπομπών </w:t>
      </w:r>
      <w:r w:rsidRPr="00872A1E">
        <w:rPr>
          <w:rFonts w:ascii="Ping LCG Regular" w:hAnsi="Ping LCG Regular" w:cs="Arial"/>
          <w:spacing w:val="-14"/>
        </w:rPr>
        <w:t>CO</w:t>
      </w:r>
      <w:r w:rsidRPr="00872A1E">
        <w:rPr>
          <w:rFonts w:ascii="Ping LCG Regular" w:hAnsi="Ping LCG Regular" w:cs="Arial"/>
          <w:spacing w:val="-14"/>
          <w:vertAlign w:val="subscript"/>
          <w:lang w:val="el-GR"/>
        </w:rPr>
        <w:t xml:space="preserve">2, </w:t>
      </w:r>
      <w:r w:rsidRPr="00872A1E">
        <w:rPr>
          <w:rFonts w:ascii="Ping LCG Regular" w:hAnsi="Ping LCG Regular" w:cs="Arial"/>
          <w:spacing w:val="-14"/>
          <w:lang w:val="el-GR"/>
        </w:rPr>
        <w:t>ενώ αρνητική</w:t>
      </w:r>
      <w:r w:rsidRPr="00872A1E">
        <w:rPr>
          <w:rFonts w:ascii="Ping LCG Regular" w:hAnsi="Ping LCG Regular" w:cs="Arial"/>
          <w:spacing w:val="-14"/>
          <w:vertAlign w:val="subscript"/>
          <w:lang w:val="el-GR"/>
        </w:rPr>
        <w:t xml:space="preserve"> </w:t>
      </w:r>
      <w:r w:rsidRPr="00872A1E">
        <w:rPr>
          <w:rFonts w:ascii="Ping LCG Regular" w:hAnsi="Ping LCG Regular" w:cs="Arial"/>
          <w:spacing w:val="-14"/>
          <w:lang w:val="el-GR"/>
        </w:rPr>
        <w:t>ήταν και η επίδραση από τις προβλέψεις για αναμενόμενες πιστωτικές ζημίες</w:t>
      </w:r>
      <w:r w:rsidRPr="00872A1E">
        <w:rPr>
          <w:rFonts w:ascii="Ping LCG Regular" w:hAnsi="Ping LCG Regular" w:cs="Arial"/>
          <w:b/>
          <w:bCs/>
          <w:spacing w:val="-14"/>
          <w:lang w:val="el-GR"/>
        </w:rPr>
        <w:t xml:space="preserve">. </w:t>
      </w:r>
      <w:r w:rsidRPr="00872A1E">
        <w:rPr>
          <w:rFonts w:ascii="Ping LCG Regular" w:hAnsi="Ping LCG Regular" w:cs="Arial"/>
          <w:spacing w:val="-14"/>
          <w:lang w:val="el-GR"/>
        </w:rPr>
        <w:t>Στις προ αποσβέσεων λειτουργικές δαπάνες του 2021 δεν έχουν συνυπολογισθεί οι εφάπαξ επιπτώσεις από την  αναδρομική χρέωση λόγω ανάκτησης ειδικών επιδομάτων από την εφαρμογή της ΕΣΣΕ 2021-2024 και από την πρόβλεψη για αποζημιώσεις προσωπικού.</w:t>
      </w:r>
    </w:p>
    <w:p w14:paraId="04047F91" w14:textId="77777777" w:rsidR="00622033" w:rsidRPr="00872A1E" w:rsidRDefault="00622033" w:rsidP="00622033">
      <w:pPr>
        <w:widowControl w:val="0"/>
        <w:autoSpaceDE w:val="0"/>
        <w:autoSpaceDN w:val="0"/>
        <w:adjustRightInd w:val="0"/>
        <w:ind w:right="21"/>
        <w:jc w:val="both"/>
        <w:rPr>
          <w:rFonts w:ascii="Ping LCG Regular" w:hAnsi="Ping LCG Regular" w:cs="Arial"/>
          <w:spacing w:val="-14"/>
          <w:highlight w:val="yellow"/>
          <w:lang w:val="el-GR"/>
        </w:rPr>
      </w:pPr>
    </w:p>
    <w:p w14:paraId="791A27D5" w14:textId="19C2B74D" w:rsidR="00A249A6" w:rsidRPr="00872A1E" w:rsidRDefault="00A249A6" w:rsidP="00A249A6">
      <w:pPr>
        <w:widowControl w:val="0"/>
        <w:autoSpaceDE w:val="0"/>
        <w:autoSpaceDN w:val="0"/>
        <w:adjustRightInd w:val="0"/>
        <w:ind w:left="1" w:right="18"/>
        <w:rPr>
          <w:rFonts w:ascii="Ping LCG Regular" w:hAnsi="Ping LCG Regular" w:cs="Arial"/>
          <w:bCs/>
          <w:spacing w:val="-14"/>
          <w:szCs w:val="26"/>
          <w:u w:val="single"/>
          <w:lang w:val="el-GR"/>
        </w:rPr>
      </w:pPr>
      <w:r w:rsidRPr="00872A1E">
        <w:rPr>
          <w:rFonts w:ascii="Ping LCG Regular" w:hAnsi="Ping LCG Regular" w:cs="Arial"/>
          <w:bCs/>
          <w:spacing w:val="-14"/>
          <w:szCs w:val="26"/>
          <w:u w:val="single"/>
          <w:lang w:val="el-GR"/>
        </w:rPr>
        <w:t xml:space="preserve">Λειτουργικά μεγέθη (παραγωγή - εισαγωγές - εξαγωγές)  </w:t>
      </w:r>
    </w:p>
    <w:p w14:paraId="7B771408" w14:textId="77777777" w:rsidR="00A249A6" w:rsidRPr="00872A1E" w:rsidRDefault="00A249A6" w:rsidP="00A249A6">
      <w:pPr>
        <w:autoSpaceDE w:val="0"/>
        <w:autoSpaceDN w:val="0"/>
        <w:adjustRightInd w:val="0"/>
        <w:jc w:val="both"/>
        <w:rPr>
          <w:rFonts w:ascii="Ping LCG Regular" w:hAnsi="Ping LCG Regular" w:cs="Arial"/>
          <w:spacing w:val="-14"/>
          <w:highlight w:val="yellow"/>
          <w:lang w:val="el-GR"/>
        </w:rPr>
      </w:pPr>
    </w:p>
    <w:p w14:paraId="2BC4219E" w14:textId="1369E279" w:rsidR="004969D4" w:rsidRPr="00872A1E" w:rsidRDefault="004969D4" w:rsidP="004969D4">
      <w:pPr>
        <w:autoSpaceDE w:val="0"/>
        <w:autoSpaceDN w:val="0"/>
        <w:adjustRightInd w:val="0"/>
        <w:jc w:val="both"/>
        <w:rPr>
          <w:rFonts w:ascii="Ping LCG Regular" w:hAnsi="Ping LCG Regular" w:cs="Arial"/>
          <w:spacing w:val="-14"/>
          <w:lang w:val="el-GR"/>
        </w:rPr>
      </w:pPr>
      <w:bookmarkStart w:id="7" w:name="_Hlk68767691"/>
      <w:r w:rsidRPr="00872A1E">
        <w:rPr>
          <w:rFonts w:ascii="Ping LCG Regular" w:hAnsi="Ping LCG Regular" w:cs="Arial"/>
          <w:spacing w:val="-14"/>
          <w:lang w:val="el-GR"/>
        </w:rPr>
        <w:t>Το 2022 η εγχώρια ζήτηση ηλεκτρικής ενέργειας (δηλαδή η ζήτηση χωρίς τις εξαγωγές) μειώθηκε κατά 3% σε σχέση με το 2021  (στις 55.</w:t>
      </w:r>
      <w:r w:rsidR="00726595" w:rsidRPr="00872A1E">
        <w:rPr>
          <w:rFonts w:ascii="Ping LCG Regular" w:hAnsi="Ping LCG Regular" w:cs="Arial"/>
          <w:spacing w:val="-14"/>
          <w:lang w:val="el-GR"/>
        </w:rPr>
        <w:t>389</w:t>
      </w:r>
      <w:r w:rsidRPr="00872A1E">
        <w:rPr>
          <w:rFonts w:ascii="Ping LCG Regular" w:hAnsi="Ping LCG Regular" w:cs="Arial"/>
          <w:spacing w:val="-14"/>
          <w:lang w:val="el-GR"/>
        </w:rPr>
        <w:t xml:space="preserve"> </w:t>
      </w:r>
      <w:proofErr w:type="spellStart"/>
      <w:r w:rsidRPr="00872A1E">
        <w:rPr>
          <w:rFonts w:ascii="Ping LCG Regular" w:hAnsi="Ping LCG Regular" w:cs="Arial"/>
          <w:spacing w:val="-14"/>
          <w:lang w:val="el-GR"/>
        </w:rPr>
        <w:t>GWh</w:t>
      </w:r>
      <w:proofErr w:type="spellEnd"/>
      <w:r w:rsidRPr="00872A1E">
        <w:rPr>
          <w:rFonts w:ascii="Ping LCG Regular" w:hAnsi="Ping LCG Regular" w:cs="Arial"/>
          <w:spacing w:val="-14"/>
          <w:lang w:val="el-GR"/>
        </w:rPr>
        <w:t xml:space="preserve"> έναντι </w:t>
      </w:r>
      <w:r w:rsidR="00726595" w:rsidRPr="00872A1E">
        <w:rPr>
          <w:rFonts w:ascii="Ping LCG Regular" w:hAnsi="Ping LCG Regular" w:cs="Arial"/>
          <w:spacing w:val="-14"/>
          <w:lang w:val="el-GR"/>
        </w:rPr>
        <w:t>57</w:t>
      </w:r>
      <w:r w:rsidRPr="00872A1E">
        <w:rPr>
          <w:rFonts w:ascii="Ping LCG Regular" w:hAnsi="Ping LCG Regular" w:cs="Arial"/>
          <w:spacing w:val="-14"/>
          <w:lang w:val="el-GR"/>
        </w:rPr>
        <w:t>.</w:t>
      </w:r>
      <w:r w:rsidR="00726595" w:rsidRPr="00872A1E">
        <w:rPr>
          <w:rFonts w:ascii="Ping LCG Regular" w:hAnsi="Ping LCG Regular" w:cs="Arial"/>
          <w:spacing w:val="-14"/>
          <w:lang w:val="el-GR"/>
        </w:rPr>
        <w:t>074</w:t>
      </w:r>
      <w:r w:rsidRPr="00872A1E">
        <w:rPr>
          <w:rFonts w:ascii="Ping LCG Regular" w:hAnsi="Ping LCG Regular" w:cs="Arial"/>
          <w:spacing w:val="-14"/>
          <w:lang w:val="el-GR"/>
        </w:rPr>
        <w:t xml:space="preserve"> </w:t>
      </w:r>
      <w:proofErr w:type="spellStart"/>
      <w:r w:rsidRPr="00872A1E">
        <w:rPr>
          <w:rFonts w:ascii="Ping LCG Regular" w:hAnsi="Ping LCG Regular" w:cs="Arial"/>
          <w:spacing w:val="-14"/>
          <w:lang w:val="el-GR"/>
        </w:rPr>
        <w:t>GWh</w:t>
      </w:r>
      <w:proofErr w:type="spellEnd"/>
      <w:r w:rsidRPr="00872A1E">
        <w:rPr>
          <w:rFonts w:ascii="Ping LCG Regular" w:hAnsi="Ping LCG Regular" w:cs="Arial"/>
          <w:spacing w:val="-14"/>
          <w:lang w:val="el-GR"/>
        </w:rPr>
        <w:t xml:space="preserve">) ενώ η αντίστοιχη μείωση το </w:t>
      </w:r>
      <w:r w:rsidR="00726595" w:rsidRPr="00872A1E">
        <w:rPr>
          <w:rFonts w:ascii="Ping LCG Regular" w:hAnsi="Ping LCG Regular" w:cs="Arial"/>
          <w:spacing w:val="-14"/>
          <w:lang w:val="el-GR"/>
        </w:rPr>
        <w:t>δ</w:t>
      </w:r>
      <w:r w:rsidRPr="00872A1E">
        <w:rPr>
          <w:rFonts w:ascii="Ping LCG Regular" w:hAnsi="Ping LCG Regular" w:cs="Arial"/>
          <w:spacing w:val="-14"/>
          <w:lang w:val="el-GR"/>
        </w:rPr>
        <w:t xml:space="preserve">’ τρίμηνο 2022 ήταν </w:t>
      </w:r>
      <w:r w:rsidR="00407415" w:rsidRPr="00872A1E">
        <w:rPr>
          <w:rFonts w:ascii="Ping LCG Regular" w:hAnsi="Ping LCG Regular" w:cs="Arial"/>
          <w:spacing w:val="-14"/>
          <w:lang w:val="el-GR"/>
        </w:rPr>
        <w:t>8</w:t>
      </w:r>
      <w:r w:rsidR="00AA420A" w:rsidRPr="00872A1E">
        <w:rPr>
          <w:rFonts w:ascii="Ping LCG Regular" w:hAnsi="Ping LCG Regular" w:cs="Arial"/>
          <w:spacing w:val="-14"/>
          <w:lang w:val="el-GR"/>
        </w:rPr>
        <w:t>,3</w:t>
      </w:r>
      <w:r w:rsidRPr="00872A1E">
        <w:rPr>
          <w:rFonts w:ascii="Ping LCG Regular" w:hAnsi="Ping LCG Regular" w:cs="Arial"/>
          <w:spacing w:val="-14"/>
          <w:lang w:val="el-GR"/>
        </w:rPr>
        <w:t xml:space="preserve">% ως αποτέλεσμα της μείωσης της ζήτησης από τους καταναλωτές λόγω της ενεργειακής κρίσης </w:t>
      </w:r>
      <w:r w:rsidR="00BD132C" w:rsidRPr="00872A1E">
        <w:rPr>
          <w:rFonts w:ascii="Ping LCG Regular" w:hAnsi="Ping LCG Regular" w:cs="Arial"/>
          <w:spacing w:val="-14"/>
          <w:lang w:val="el-GR"/>
        </w:rPr>
        <w:t>και των κινήτρων που πα</w:t>
      </w:r>
      <w:r w:rsidR="00D97BAE" w:rsidRPr="00872A1E">
        <w:rPr>
          <w:rFonts w:ascii="Ping LCG Regular" w:hAnsi="Ping LCG Regular" w:cs="Arial"/>
          <w:spacing w:val="-14"/>
          <w:lang w:val="el-GR"/>
        </w:rPr>
        <w:t>ρ</w:t>
      </w:r>
      <w:r w:rsidR="00BD132C" w:rsidRPr="00872A1E">
        <w:rPr>
          <w:rFonts w:ascii="Ping LCG Regular" w:hAnsi="Ping LCG Regular" w:cs="Arial"/>
          <w:spacing w:val="-14"/>
          <w:lang w:val="el-GR"/>
        </w:rPr>
        <w:t xml:space="preserve">έχει η Πολιτεία για εξοικονόμηση </w:t>
      </w:r>
      <w:r w:rsidR="00D97BAE" w:rsidRPr="00872A1E">
        <w:rPr>
          <w:rFonts w:ascii="Ping LCG Regular" w:hAnsi="Ping LCG Regular" w:cs="Arial"/>
          <w:spacing w:val="-14"/>
          <w:lang w:val="el-GR"/>
        </w:rPr>
        <w:t xml:space="preserve">ενέργειας, </w:t>
      </w:r>
      <w:r w:rsidRPr="00872A1E">
        <w:rPr>
          <w:rFonts w:ascii="Ping LCG Regular" w:hAnsi="Ping LCG Regular" w:cs="Arial"/>
          <w:spacing w:val="-14"/>
          <w:lang w:val="el-GR"/>
        </w:rPr>
        <w:t xml:space="preserve">καθώς και του γεγονότος ότι οι καιρικές συνθήκες το </w:t>
      </w:r>
      <w:r w:rsidR="00AA420A" w:rsidRPr="00872A1E">
        <w:rPr>
          <w:rFonts w:ascii="Ping LCG Regular" w:hAnsi="Ping LCG Regular" w:cs="Arial"/>
          <w:spacing w:val="-14"/>
          <w:lang w:val="el-GR"/>
        </w:rPr>
        <w:t>δ</w:t>
      </w:r>
      <w:r w:rsidRPr="00872A1E">
        <w:rPr>
          <w:rFonts w:ascii="Ping LCG Regular" w:hAnsi="Ping LCG Regular" w:cs="Arial"/>
          <w:spacing w:val="-14"/>
          <w:lang w:val="el-GR"/>
        </w:rPr>
        <w:t>’ τρίμηνο 2022 ήταν</w:t>
      </w:r>
      <w:r w:rsidR="00D97BAE" w:rsidRPr="00872A1E">
        <w:rPr>
          <w:rFonts w:ascii="Ping LCG Regular" w:hAnsi="Ping LCG Regular" w:cs="Arial"/>
          <w:spacing w:val="-14"/>
          <w:lang w:val="el-GR"/>
        </w:rPr>
        <w:t xml:space="preserve"> καλύτερες σε σχέση με την αντίστοιχη </w:t>
      </w:r>
      <w:r w:rsidR="00C1468E" w:rsidRPr="00872A1E">
        <w:rPr>
          <w:rFonts w:ascii="Ping LCG Regular" w:hAnsi="Ping LCG Regular" w:cs="Arial"/>
          <w:spacing w:val="-14"/>
          <w:lang w:val="el-GR"/>
        </w:rPr>
        <w:t>περυσινή περίοδο</w:t>
      </w:r>
      <w:r w:rsidRPr="00872A1E">
        <w:rPr>
          <w:rFonts w:ascii="Ping LCG Regular" w:hAnsi="Ping LCG Regular" w:cs="Arial"/>
          <w:spacing w:val="-14"/>
          <w:lang w:val="el-GR"/>
        </w:rPr>
        <w:t>. Σε επίπεδο συνολικής ζήτησης, περιλαμβάνοντας δηλαδή την ηλεκτρική ενέργεια για εξαγωγές, σημειώθηκε μ</w:t>
      </w:r>
      <w:r w:rsidR="00430CBE" w:rsidRPr="00872A1E">
        <w:rPr>
          <w:rFonts w:ascii="Ping LCG Regular" w:hAnsi="Ping LCG Regular" w:cs="Arial"/>
          <w:spacing w:val="-14"/>
          <w:lang w:val="el-GR"/>
        </w:rPr>
        <w:t xml:space="preserve">είωση </w:t>
      </w:r>
      <w:r w:rsidRPr="00872A1E">
        <w:rPr>
          <w:rFonts w:ascii="Ping LCG Regular" w:hAnsi="Ping LCG Regular" w:cs="Arial"/>
          <w:spacing w:val="-14"/>
          <w:lang w:val="el-GR"/>
        </w:rPr>
        <w:t>κατά 1</w:t>
      </w:r>
      <w:r w:rsidR="00430CBE" w:rsidRPr="00872A1E">
        <w:rPr>
          <w:rFonts w:ascii="Ping LCG Regular" w:hAnsi="Ping LCG Regular" w:cs="Arial"/>
          <w:spacing w:val="-14"/>
          <w:lang w:val="el-GR"/>
        </w:rPr>
        <w:t>,6</w:t>
      </w:r>
      <w:r w:rsidRPr="00872A1E">
        <w:rPr>
          <w:rFonts w:ascii="Ping LCG Regular" w:hAnsi="Ping LCG Regular" w:cs="Arial"/>
          <w:spacing w:val="-14"/>
          <w:lang w:val="el-GR"/>
        </w:rPr>
        <w:t xml:space="preserve">% το 2022 και κατά </w:t>
      </w:r>
      <w:r w:rsidR="00DB7BE4" w:rsidRPr="00872A1E">
        <w:rPr>
          <w:rFonts w:ascii="Ping LCG Regular" w:hAnsi="Ping LCG Regular" w:cs="Arial"/>
          <w:spacing w:val="-14"/>
          <w:lang w:val="el-GR"/>
        </w:rPr>
        <w:t>9,2%</w:t>
      </w:r>
      <w:r w:rsidRPr="00872A1E">
        <w:rPr>
          <w:rFonts w:ascii="Ping LCG Regular" w:hAnsi="Ping LCG Regular" w:cs="Arial"/>
          <w:spacing w:val="-14"/>
          <w:lang w:val="el-GR"/>
        </w:rPr>
        <w:t xml:space="preserve"> το </w:t>
      </w:r>
      <w:r w:rsidR="00DB7BE4" w:rsidRPr="00872A1E">
        <w:rPr>
          <w:rFonts w:ascii="Ping LCG Regular" w:hAnsi="Ping LCG Regular" w:cs="Arial"/>
          <w:spacing w:val="-14"/>
          <w:lang w:val="el-GR"/>
        </w:rPr>
        <w:t>δ</w:t>
      </w:r>
      <w:r w:rsidRPr="00872A1E">
        <w:rPr>
          <w:rFonts w:ascii="Ping LCG Regular" w:hAnsi="Ping LCG Regular" w:cs="Arial"/>
          <w:spacing w:val="-14"/>
          <w:lang w:val="el-GR"/>
        </w:rPr>
        <w:t xml:space="preserve">΄ τρίμηνο 2022.  </w:t>
      </w:r>
    </w:p>
    <w:p w14:paraId="1E4A71CF" w14:textId="77777777" w:rsidR="004969D4" w:rsidRPr="00872A1E" w:rsidRDefault="004969D4" w:rsidP="004969D4">
      <w:pPr>
        <w:autoSpaceDE w:val="0"/>
        <w:autoSpaceDN w:val="0"/>
        <w:adjustRightInd w:val="0"/>
        <w:jc w:val="both"/>
        <w:rPr>
          <w:rFonts w:ascii="Ping LCG Regular" w:hAnsi="Ping LCG Regular" w:cs="Arial"/>
          <w:spacing w:val="-14"/>
          <w:lang w:val="el-GR"/>
        </w:rPr>
      </w:pPr>
    </w:p>
    <w:p w14:paraId="28FCE0A7" w14:textId="63DA0D89" w:rsidR="004969D4" w:rsidRPr="00872A1E" w:rsidRDefault="004969D4" w:rsidP="004969D4">
      <w:pPr>
        <w:autoSpaceDE w:val="0"/>
        <w:autoSpaceDN w:val="0"/>
        <w:adjustRightInd w:val="0"/>
        <w:jc w:val="both"/>
        <w:rPr>
          <w:rFonts w:ascii="Ping LCG Regular" w:hAnsi="Ping LCG Regular" w:cs="Arial"/>
          <w:spacing w:val="-14"/>
          <w:lang w:val="el-GR"/>
        </w:rPr>
      </w:pPr>
      <w:r w:rsidRPr="00872A1E">
        <w:rPr>
          <w:rFonts w:ascii="Ping LCG Regular" w:hAnsi="Ping LCG Regular" w:cs="Arial"/>
          <w:spacing w:val="-14"/>
          <w:lang w:val="el-GR"/>
        </w:rPr>
        <w:t>Το μέσο μερίδιο της ΔΕΗ στην αγορά προμήθειας στο σύνολο της χώρας μειώθηκε σε 6</w:t>
      </w:r>
      <w:r w:rsidR="00504A37" w:rsidRPr="00872A1E">
        <w:rPr>
          <w:rFonts w:ascii="Ping LCG Regular" w:hAnsi="Ping LCG Regular" w:cs="Arial"/>
          <w:spacing w:val="-14"/>
          <w:lang w:val="el-GR"/>
        </w:rPr>
        <w:t>2</w:t>
      </w:r>
      <w:r w:rsidR="00DB7BE4" w:rsidRPr="00872A1E">
        <w:rPr>
          <w:rFonts w:ascii="Ping LCG Regular" w:hAnsi="Ping LCG Regular" w:cs="Arial"/>
          <w:spacing w:val="-14"/>
          <w:lang w:val="el-GR"/>
        </w:rPr>
        <w:t>,</w:t>
      </w:r>
      <w:r w:rsidR="00504A37" w:rsidRPr="00872A1E">
        <w:rPr>
          <w:rFonts w:ascii="Ping LCG Regular" w:hAnsi="Ping LCG Regular" w:cs="Arial"/>
          <w:spacing w:val="-14"/>
          <w:lang w:val="el-GR"/>
        </w:rPr>
        <w:t>4</w:t>
      </w:r>
      <w:r w:rsidRPr="00872A1E">
        <w:rPr>
          <w:rFonts w:ascii="Ping LCG Regular" w:hAnsi="Ping LCG Regular" w:cs="Arial"/>
          <w:spacing w:val="-14"/>
          <w:lang w:val="el-GR"/>
        </w:rPr>
        <w:t>% το 2022 από 6</w:t>
      </w:r>
      <w:r w:rsidR="00504A37" w:rsidRPr="00872A1E">
        <w:rPr>
          <w:rFonts w:ascii="Ping LCG Regular" w:hAnsi="Ping LCG Regular" w:cs="Arial"/>
          <w:spacing w:val="-14"/>
          <w:lang w:val="el-GR"/>
        </w:rPr>
        <w:t>4</w:t>
      </w:r>
      <w:r w:rsidRPr="00872A1E">
        <w:rPr>
          <w:rFonts w:ascii="Ping LCG Regular" w:hAnsi="Ping LCG Regular" w:cs="Arial"/>
          <w:spacing w:val="-14"/>
          <w:lang w:val="el-GR"/>
        </w:rPr>
        <w:t>,</w:t>
      </w:r>
      <w:r w:rsidR="00504A37" w:rsidRPr="00872A1E">
        <w:rPr>
          <w:rFonts w:ascii="Ping LCG Regular" w:hAnsi="Ping LCG Regular" w:cs="Arial"/>
          <w:spacing w:val="-14"/>
          <w:lang w:val="el-GR"/>
        </w:rPr>
        <w:t>3</w:t>
      </w:r>
      <w:r w:rsidRPr="00872A1E">
        <w:rPr>
          <w:rFonts w:ascii="Ping LCG Regular" w:hAnsi="Ping LCG Regular" w:cs="Arial"/>
          <w:spacing w:val="-14"/>
          <w:lang w:val="el-GR"/>
        </w:rPr>
        <w:t xml:space="preserve">% το 2021. Ειδικότερα, το μέσο μερίδιο αγοράς στο Διασυνδεδεμένο Σύστημα </w:t>
      </w:r>
      <w:r w:rsidR="001271FF" w:rsidRPr="00872A1E">
        <w:rPr>
          <w:rFonts w:ascii="Ping LCG Regular" w:hAnsi="Ping LCG Regular" w:cs="Arial"/>
          <w:spacing w:val="-14"/>
          <w:lang w:val="el-GR"/>
        </w:rPr>
        <w:t>μειώθηκε</w:t>
      </w:r>
      <w:r w:rsidRPr="00872A1E">
        <w:rPr>
          <w:rFonts w:ascii="Ping LCG Regular" w:hAnsi="Ping LCG Regular" w:cs="Arial"/>
          <w:spacing w:val="-14"/>
          <w:lang w:val="el-GR"/>
        </w:rPr>
        <w:t xml:space="preserve"> σε 6</w:t>
      </w:r>
      <w:r w:rsidR="00410F90" w:rsidRPr="00872A1E">
        <w:rPr>
          <w:rFonts w:ascii="Ping LCG Regular" w:hAnsi="Ping LCG Regular" w:cs="Arial"/>
          <w:spacing w:val="-14"/>
          <w:lang w:val="el-GR"/>
        </w:rPr>
        <w:t>3</w:t>
      </w:r>
      <w:r w:rsidR="00F22341" w:rsidRPr="00872A1E">
        <w:rPr>
          <w:rFonts w:ascii="Ping LCG Regular" w:hAnsi="Ping LCG Regular" w:cs="Arial"/>
          <w:spacing w:val="-14"/>
          <w:lang w:val="el-GR"/>
        </w:rPr>
        <w:t>,3</w:t>
      </w:r>
      <w:r w:rsidRPr="00872A1E">
        <w:rPr>
          <w:rFonts w:ascii="Ping LCG Regular" w:hAnsi="Ping LCG Regular" w:cs="Arial"/>
          <w:spacing w:val="-14"/>
          <w:lang w:val="el-GR"/>
        </w:rPr>
        <w:t xml:space="preserve">% τον </w:t>
      </w:r>
      <w:r w:rsidR="00F22341" w:rsidRPr="00872A1E">
        <w:rPr>
          <w:rFonts w:ascii="Ping LCG Regular" w:hAnsi="Ping LCG Regular" w:cs="Arial"/>
          <w:spacing w:val="-14"/>
          <w:lang w:val="el-GR"/>
        </w:rPr>
        <w:t>Δεκέ</w:t>
      </w:r>
      <w:r w:rsidRPr="00872A1E">
        <w:rPr>
          <w:rFonts w:ascii="Ping LCG Regular" w:hAnsi="Ping LCG Regular" w:cs="Arial"/>
          <w:spacing w:val="-14"/>
          <w:lang w:val="el-GR"/>
        </w:rPr>
        <w:t>μβριο 2022 (από 6</w:t>
      </w:r>
      <w:r w:rsidR="00A678E6" w:rsidRPr="00872A1E">
        <w:rPr>
          <w:rFonts w:ascii="Ping LCG Regular" w:hAnsi="Ping LCG Regular" w:cs="Arial"/>
          <w:spacing w:val="-14"/>
          <w:lang w:val="el-GR"/>
        </w:rPr>
        <w:t>4</w:t>
      </w:r>
      <w:r w:rsidRPr="00872A1E">
        <w:rPr>
          <w:rFonts w:ascii="Ping LCG Regular" w:hAnsi="Ping LCG Regular" w:cs="Arial"/>
          <w:spacing w:val="-14"/>
          <w:lang w:val="el-GR"/>
        </w:rPr>
        <w:t>,</w:t>
      </w:r>
      <w:r w:rsidR="00A678E6" w:rsidRPr="00872A1E">
        <w:rPr>
          <w:rFonts w:ascii="Ping LCG Regular" w:hAnsi="Ping LCG Regular" w:cs="Arial"/>
          <w:spacing w:val="-14"/>
          <w:lang w:val="el-GR"/>
        </w:rPr>
        <w:t>2</w:t>
      </w:r>
      <w:r w:rsidRPr="00872A1E">
        <w:rPr>
          <w:rFonts w:ascii="Ping LCG Regular" w:hAnsi="Ping LCG Regular" w:cs="Arial"/>
          <w:spacing w:val="-14"/>
          <w:lang w:val="el-GR"/>
        </w:rPr>
        <w:t xml:space="preserve">% τον </w:t>
      </w:r>
      <w:r w:rsidR="00F22341" w:rsidRPr="00872A1E">
        <w:rPr>
          <w:rFonts w:ascii="Ping LCG Regular" w:hAnsi="Ping LCG Regular" w:cs="Arial"/>
          <w:spacing w:val="-14"/>
          <w:lang w:val="el-GR"/>
        </w:rPr>
        <w:t>Δεκέμβριο</w:t>
      </w:r>
      <w:r w:rsidRPr="00872A1E">
        <w:rPr>
          <w:rFonts w:ascii="Ping LCG Regular" w:hAnsi="Ping LCG Regular" w:cs="Arial"/>
          <w:spacing w:val="-14"/>
          <w:lang w:val="el-GR"/>
        </w:rPr>
        <w:t xml:space="preserve"> 2021), ενώ το μέσο μερίδιο ανά τάση, ήταν 8</w:t>
      </w:r>
      <w:r w:rsidR="009D6A5C" w:rsidRPr="00872A1E">
        <w:rPr>
          <w:rFonts w:ascii="Ping LCG Regular" w:hAnsi="Ping LCG Regular" w:cs="Arial"/>
          <w:spacing w:val="-14"/>
          <w:lang w:val="el-GR"/>
        </w:rPr>
        <w:t>8</w:t>
      </w:r>
      <w:r w:rsidRPr="00872A1E">
        <w:rPr>
          <w:rFonts w:ascii="Ping LCG Regular" w:hAnsi="Ping LCG Regular" w:cs="Arial"/>
          <w:spacing w:val="-14"/>
          <w:lang w:val="el-GR"/>
        </w:rPr>
        <w:t>,</w:t>
      </w:r>
      <w:r w:rsidR="008E7C40" w:rsidRPr="00872A1E">
        <w:rPr>
          <w:rFonts w:ascii="Ping LCG Regular" w:hAnsi="Ping LCG Regular" w:cs="Arial"/>
          <w:spacing w:val="-14"/>
          <w:lang w:val="el-GR"/>
        </w:rPr>
        <w:t>3</w:t>
      </w:r>
      <w:r w:rsidRPr="00872A1E">
        <w:rPr>
          <w:rFonts w:ascii="Ping LCG Regular" w:hAnsi="Ping LCG Regular" w:cs="Arial"/>
          <w:spacing w:val="-14"/>
          <w:lang w:val="el-GR"/>
        </w:rPr>
        <w:t>% (από 8</w:t>
      </w:r>
      <w:r w:rsidR="00B03BFF" w:rsidRPr="00872A1E">
        <w:rPr>
          <w:rFonts w:ascii="Ping LCG Regular" w:hAnsi="Ping LCG Regular" w:cs="Arial"/>
          <w:spacing w:val="-14"/>
          <w:lang w:val="el-GR"/>
        </w:rPr>
        <w:t>7</w:t>
      </w:r>
      <w:r w:rsidRPr="00872A1E">
        <w:rPr>
          <w:rFonts w:ascii="Ping LCG Regular" w:hAnsi="Ping LCG Regular" w:cs="Arial"/>
          <w:spacing w:val="-14"/>
          <w:lang w:val="el-GR"/>
        </w:rPr>
        <w:t>,</w:t>
      </w:r>
      <w:r w:rsidR="00B03BFF" w:rsidRPr="00872A1E">
        <w:rPr>
          <w:rFonts w:ascii="Ping LCG Regular" w:hAnsi="Ping LCG Regular" w:cs="Arial"/>
          <w:spacing w:val="-14"/>
          <w:lang w:val="el-GR"/>
        </w:rPr>
        <w:t>8</w:t>
      </w:r>
      <w:r w:rsidRPr="00872A1E">
        <w:rPr>
          <w:rFonts w:ascii="Ping LCG Regular" w:hAnsi="Ping LCG Regular" w:cs="Arial"/>
          <w:spacing w:val="-14"/>
          <w:lang w:val="el-GR"/>
        </w:rPr>
        <w:t xml:space="preserve">%) στην Υψηλή Τάση, </w:t>
      </w:r>
      <w:r w:rsidR="008E7C40" w:rsidRPr="00872A1E">
        <w:rPr>
          <w:rFonts w:ascii="Ping LCG Regular" w:hAnsi="Ping LCG Regular" w:cs="Arial"/>
          <w:spacing w:val="-14"/>
          <w:lang w:val="el-GR"/>
        </w:rPr>
        <w:t>44,2</w:t>
      </w:r>
      <w:r w:rsidRPr="00872A1E">
        <w:rPr>
          <w:rFonts w:ascii="Ping LCG Regular" w:hAnsi="Ping LCG Regular" w:cs="Arial"/>
          <w:spacing w:val="-14"/>
          <w:lang w:val="el-GR"/>
        </w:rPr>
        <w:t xml:space="preserve">% (από </w:t>
      </w:r>
      <w:r w:rsidR="00824E1E" w:rsidRPr="00872A1E">
        <w:rPr>
          <w:rFonts w:ascii="Ping LCG Regular" w:hAnsi="Ping LCG Regular" w:cs="Arial"/>
          <w:spacing w:val="-14"/>
          <w:lang w:val="el-GR"/>
        </w:rPr>
        <w:t>44,0</w:t>
      </w:r>
      <w:r w:rsidRPr="00872A1E">
        <w:rPr>
          <w:rFonts w:ascii="Ping LCG Regular" w:hAnsi="Ping LCG Regular" w:cs="Arial"/>
          <w:spacing w:val="-14"/>
          <w:lang w:val="el-GR"/>
        </w:rPr>
        <w:t>%) στη Μέση Τάση και 6</w:t>
      </w:r>
      <w:r w:rsidR="00824E1E" w:rsidRPr="00872A1E">
        <w:rPr>
          <w:rFonts w:ascii="Ping LCG Regular" w:hAnsi="Ping LCG Regular" w:cs="Arial"/>
          <w:spacing w:val="-14"/>
          <w:lang w:val="el-GR"/>
        </w:rPr>
        <w:t>3</w:t>
      </w:r>
      <w:r w:rsidRPr="00872A1E">
        <w:rPr>
          <w:rFonts w:ascii="Ping LCG Regular" w:hAnsi="Ping LCG Regular" w:cs="Arial"/>
          <w:spacing w:val="-14"/>
          <w:lang w:val="el-GR"/>
        </w:rPr>
        <w:t>,</w:t>
      </w:r>
      <w:r w:rsidR="00824E1E" w:rsidRPr="00872A1E">
        <w:rPr>
          <w:rFonts w:ascii="Ping LCG Regular" w:hAnsi="Ping LCG Regular" w:cs="Arial"/>
          <w:spacing w:val="-14"/>
          <w:lang w:val="el-GR"/>
        </w:rPr>
        <w:t>7</w:t>
      </w:r>
      <w:r w:rsidRPr="00872A1E">
        <w:rPr>
          <w:rFonts w:ascii="Ping LCG Regular" w:hAnsi="Ping LCG Regular" w:cs="Arial"/>
          <w:spacing w:val="-14"/>
          <w:lang w:val="el-GR"/>
        </w:rPr>
        <w:t>% (από 6</w:t>
      </w:r>
      <w:r w:rsidR="00824E1E" w:rsidRPr="00872A1E">
        <w:rPr>
          <w:rFonts w:ascii="Ping LCG Regular" w:hAnsi="Ping LCG Regular" w:cs="Arial"/>
          <w:spacing w:val="-14"/>
          <w:lang w:val="el-GR"/>
        </w:rPr>
        <w:t>5,0</w:t>
      </w:r>
      <w:r w:rsidRPr="00872A1E">
        <w:rPr>
          <w:rFonts w:ascii="Ping LCG Regular" w:hAnsi="Ping LCG Regular" w:cs="Arial"/>
          <w:spacing w:val="-14"/>
          <w:lang w:val="el-GR"/>
        </w:rPr>
        <w:t>%) στη Χαμηλή Τάση.</w:t>
      </w:r>
    </w:p>
    <w:p w14:paraId="084320F7" w14:textId="77777777" w:rsidR="004969D4" w:rsidRPr="00872A1E" w:rsidRDefault="004969D4" w:rsidP="004969D4">
      <w:pPr>
        <w:autoSpaceDE w:val="0"/>
        <w:autoSpaceDN w:val="0"/>
        <w:adjustRightInd w:val="0"/>
        <w:jc w:val="both"/>
        <w:rPr>
          <w:rFonts w:ascii="Ping LCG Regular" w:hAnsi="Ping LCG Regular" w:cs="Arial"/>
          <w:spacing w:val="-14"/>
          <w:lang w:val="el-GR"/>
        </w:rPr>
      </w:pPr>
    </w:p>
    <w:p w14:paraId="12546359" w14:textId="0917820B" w:rsidR="004969D4" w:rsidRPr="00872A1E" w:rsidRDefault="004969D4" w:rsidP="004969D4">
      <w:pPr>
        <w:autoSpaceDE w:val="0"/>
        <w:autoSpaceDN w:val="0"/>
        <w:adjustRightInd w:val="0"/>
        <w:jc w:val="both"/>
        <w:rPr>
          <w:rFonts w:ascii="Ping LCG Regular" w:hAnsi="Ping LCG Regular" w:cs="Arial"/>
          <w:spacing w:val="-14"/>
          <w:lang w:val="el-GR"/>
        </w:rPr>
      </w:pPr>
      <w:r w:rsidRPr="00872A1E">
        <w:rPr>
          <w:rFonts w:ascii="Ping LCG Regular" w:hAnsi="Ping LCG Regular" w:cs="Arial"/>
          <w:spacing w:val="-14"/>
          <w:lang w:val="el-GR"/>
        </w:rPr>
        <w:t>Η παραγωγή και οι εισαγωγές ηλεκτρικής ενέργειας της ΔΕΗ κάλυψαν το 3</w:t>
      </w:r>
      <w:r w:rsidR="00B25B95" w:rsidRPr="00872A1E">
        <w:rPr>
          <w:rFonts w:ascii="Ping LCG Regular" w:hAnsi="Ping LCG Regular" w:cs="Arial"/>
          <w:spacing w:val="-14"/>
          <w:lang w:val="el-GR"/>
        </w:rPr>
        <w:t>7</w:t>
      </w:r>
      <w:r w:rsidR="00C46ACD" w:rsidRPr="00872A1E">
        <w:rPr>
          <w:rFonts w:ascii="Ping LCG Regular" w:hAnsi="Ping LCG Regular" w:cs="Arial"/>
          <w:spacing w:val="-14"/>
          <w:lang w:val="el-GR"/>
        </w:rPr>
        <w:t>,2</w:t>
      </w:r>
      <w:r w:rsidRPr="00872A1E">
        <w:rPr>
          <w:rFonts w:ascii="Ping LCG Regular" w:hAnsi="Ping LCG Regular" w:cs="Arial"/>
          <w:spacing w:val="-14"/>
          <w:lang w:val="el-GR"/>
        </w:rPr>
        <w:t>% της συνολικής ζήτησης το 2022  (3</w:t>
      </w:r>
      <w:r w:rsidR="00C46ACD" w:rsidRPr="00872A1E">
        <w:rPr>
          <w:rFonts w:ascii="Ping LCG Regular" w:hAnsi="Ping LCG Regular" w:cs="Arial"/>
          <w:spacing w:val="-14"/>
          <w:lang w:val="el-GR"/>
        </w:rPr>
        <w:t>3</w:t>
      </w:r>
      <w:r w:rsidRPr="00872A1E">
        <w:rPr>
          <w:rFonts w:ascii="Ping LCG Regular" w:hAnsi="Ping LCG Regular" w:cs="Arial"/>
          <w:spacing w:val="-14"/>
          <w:lang w:val="el-GR"/>
        </w:rPr>
        <w:t>,</w:t>
      </w:r>
      <w:r w:rsidR="00C46ACD" w:rsidRPr="00872A1E">
        <w:rPr>
          <w:rFonts w:ascii="Ping LCG Regular" w:hAnsi="Ping LCG Regular" w:cs="Arial"/>
          <w:spacing w:val="-14"/>
          <w:lang w:val="el-GR"/>
        </w:rPr>
        <w:t>2</w:t>
      </w:r>
      <w:r w:rsidRPr="00872A1E">
        <w:rPr>
          <w:rFonts w:ascii="Ping LCG Regular" w:hAnsi="Ping LCG Regular" w:cs="Arial"/>
          <w:spacing w:val="-14"/>
          <w:lang w:val="el-GR"/>
        </w:rPr>
        <w:t>% στο Διασυνδεδεμένο Σύστημα), ενώ το αντίστοιχο ποσοστό το  2021 ήταν 4</w:t>
      </w:r>
      <w:r w:rsidR="005917B4" w:rsidRPr="00872A1E">
        <w:rPr>
          <w:rFonts w:ascii="Ping LCG Regular" w:hAnsi="Ping LCG Regular" w:cs="Arial"/>
          <w:spacing w:val="-14"/>
          <w:lang w:val="el-GR"/>
        </w:rPr>
        <w:t>3,7</w:t>
      </w:r>
      <w:r w:rsidRPr="00872A1E">
        <w:rPr>
          <w:rFonts w:ascii="Ping LCG Regular" w:hAnsi="Ping LCG Regular" w:cs="Arial"/>
          <w:spacing w:val="-14"/>
          <w:lang w:val="el-GR"/>
        </w:rPr>
        <w:t>% (4</w:t>
      </w:r>
      <w:r w:rsidR="005917B4" w:rsidRPr="00872A1E">
        <w:rPr>
          <w:rFonts w:ascii="Ping LCG Regular" w:hAnsi="Ping LCG Regular" w:cs="Arial"/>
          <w:spacing w:val="-14"/>
          <w:lang w:val="el-GR"/>
        </w:rPr>
        <w:t>0,3</w:t>
      </w:r>
      <w:r w:rsidRPr="00872A1E">
        <w:rPr>
          <w:rFonts w:ascii="Ping LCG Regular" w:hAnsi="Ping LCG Regular" w:cs="Arial"/>
          <w:spacing w:val="-14"/>
          <w:lang w:val="el-GR"/>
        </w:rPr>
        <w:t>% στο Διασυνδεδεμένο Σύστημα).</w:t>
      </w:r>
    </w:p>
    <w:p w14:paraId="4A7408FA" w14:textId="77777777" w:rsidR="004969D4" w:rsidRPr="00872A1E" w:rsidRDefault="004969D4" w:rsidP="004969D4">
      <w:pPr>
        <w:autoSpaceDE w:val="0"/>
        <w:autoSpaceDN w:val="0"/>
        <w:adjustRightInd w:val="0"/>
        <w:jc w:val="both"/>
        <w:rPr>
          <w:rFonts w:ascii="Ping LCG Regular" w:hAnsi="Ping LCG Regular" w:cs="Arial"/>
          <w:spacing w:val="-14"/>
          <w:lang w:val="el-GR"/>
        </w:rPr>
      </w:pPr>
    </w:p>
    <w:p w14:paraId="608928C6" w14:textId="1294B5C0" w:rsidR="004969D4" w:rsidRPr="00872A1E" w:rsidRDefault="004969D4" w:rsidP="004969D4">
      <w:pPr>
        <w:autoSpaceDE w:val="0"/>
        <w:autoSpaceDN w:val="0"/>
        <w:adjustRightInd w:val="0"/>
        <w:jc w:val="both"/>
        <w:rPr>
          <w:rFonts w:ascii="Ping LCG Regular" w:hAnsi="Ping LCG Regular" w:cs="Arial"/>
          <w:spacing w:val="-14"/>
          <w:lang w:val="el-GR"/>
        </w:rPr>
      </w:pPr>
      <w:r w:rsidRPr="00872A1E">
        <w:rPr>
          <w:rFonts w:ascii="Ping LCG Regular" w:hAnsi="Ping LCG Regular" w:cs="Arial"/>
          <w:spacing w:val="-14"/>
          <w:lang w:val="el-GR"/>
        </w:rPr>
        <w:t xml:space="preserve">Συγκεκριμένα, η παραγωγή από μεγάλους υδροηλεκτρικούς σταθμούς μειώθηκε κατά </w:t>
      </w:r>
      <w:r w:rsidR="00EF2CA6" w:rsidRPr="00872A1E">
        <w:rPr>
          <w:rFonts w:ascii="Ping LCG Regular" w:hAnsi="Ping LCG Regular" w:cs="Arial"/>
          <w:spacing w:val="-14"/>
          <w:lang w:val="el-GR"/>
        </w:rPr>
        <w:t>1.289</w:t>
      </w:r>
      <w:r w:rsidRPr="00872A1E">
        <w:rPr>
          <w:rFonts w:ascii="Ping LCG Regular" w:hAnsi="Ping LCG Regular" w:cs="Arial"/>
          <w:spacing w:val="-14"/>
          <w:lang w:val="el-GR"/>
        </w:rPr>
        <w:t xml:space="preserve"> </w:t>
      </w:r>
      <w:proofErr w:type="spellStart"/>
      <w:r w:rsidRPr="00872A1E">
        <w:rPr>
          <w:rFonts w:ascii="Ping LCG Regular" w:hAnsi="Ping LCG Regular" w:cs="Arial"/>
          <w:spacing w:val="-14"/>
          <w:lang w:val="el-GR"/>
        </w:rPr>
        <w:t>GWh</w:t>
      </w:r>
      <w:proofErr w:type="spellEnd"/>
      <w:r w:rsidRPr="00872A1E">
        <w:rPr>
          <w:rFonts w:ascii="Ping LCG Regular" w:hAnsi="Ping LCG Regular" w:cs="Arial"/>
          <w:spacing w:val="-14"/>
          <w:lang w:val="el-GR"/>
        </w:rPr>
        <w:t xml:space="preserve"> και διαμορφώθηκε σε </w:t>
      </w:r>
      <w:r w:rsidR="00EF2CA6" w:rsidRPr="00872A1E">
        <w:rPr>
          <w:rFonts w:ascii="Ping LCG Regular" w:hAnsi="Ping LCG Regular" w:cs="Arial"/>
          <w:spacing w:val="-14"/>
          <w:lang w:val="el-GR"/>
        </w:rPr>
        <w:t>4.005</w:t>
      </w:r>
      <w:r w:rsidRPr="00872A1E">
        <w:rPr>
          <w:rFonts w:ascii="Ping LCG Regular" w:hAnsi="Ping LCG Regular" w:cs="Arial"/>
          <w:spacing w:val="-14"/>
          <w:lang w:val="el-GR"/>
        </w:rPr>
        <w:t xml:space="preserve"> </w:t>
      </w:r>
      <w:proofErr w:type="spellStart"/>
      <w:r w:rsidRPr="00872A1E">
        <w:rPr>
          <w:rFonts w:ascii="Ping LCG Regular" w:hAnsi="Ping LCG Regular" w:cs="Arial"/>
          <w:spacing w:val="-14"/>
          <w:lang w:val="el-GR"/>
        </w:rPr>
        <w:t>GWh</w:t>
      </w:r>
      <w:proofErr w:type="spellEnd"/>
      <w:r w:rsidRPr="00872A1E">
        <w:rPr>
          <w:rFonts w:ascii="Ping LCG Regular" w:hAnsi="Ping LCG Regular" w:cs="Arial"/>
          <w:spacing w:val="-14"/>
          <w:lang w:val="el-GR"/>
        </w:rPr>
        <w:t xml:space="preserve"> η οποία είναι κοντά στα επίπεδα του μέσου όρου της τελευταίας πενταετίας. </w:t>
      </w:r>
      <w:proofErr w:type="spellStart"/>
      <w:r w:rsidRPr="00872A1E">
        <w:rPr>
          <w:rFonts w:ascii="Ping LCG Regular" w:hAnsi="Ping LCG Regular" w:cs="Arial"/>
          <w:spacing w:val="-14"/>
          <w:lang w:val="el-GR"/>
        </w:rPr>
        <w:t>Παραταύτα</w:t>
      </w:r>
      <w:proofErr w:type="spellEnd"/>
      <w:r w:rsidRPr="00872A1E">
        <w:rPr>
          <w:rFonts w:ascii="Ping LCG Regular" w:hAnsi="Ping LCG Regular" w:cs="Arial"/>
          <w:spacing w:val="-14"/>
          <w:lang w:val="el-GR"/>
        </w:rPr>
        <w:t xml:space="preserve">, η παραγωγή αυτή είναι χαμηλότερη κατά </w:t>
      </w:r>
      <w:r w:rsidR="00EF2CA6" w:rsidRPr="00872A1E">
        <w:rPr>
          <w:rFonts w:ascii="Ping LCG Regular" w:hAnsi="Ping LCG Regular" w:cs="Arial"/>
          <w:spacing w:val="-14"/>
          <w:lang w:val="el-GR"/>
        </w:rPr>
        <w:t>24,3</w:t>
      </w:r>
      <w:r w:rsidRPr="00872A1E">
        <w:rPr>
          <w:rFonts w:ascii="Ping LCG Regular" w:hAnsi="Ping LCG Regular" w:cs="Arial"/>
          <w:spacing w:val="-14"/>
          <w:lang w:val="el-GR"/>
        </w:rPr>
        <w:t>% σε σύγκριση με την αντίστοιχη του 2021 όταν  επικράτησαν εξαιρετικές υδρολογικές συνθήκες.</w:t>
      </w:r>
    </w:p>
    <w:p w14:paraId="08EE187D" w14:textId="77777777" w:rsidR="004969D4" w:rsidRPr="00872A1E" w:rsidRDefault="004969D4" w:rsidP="004969D4">
      <w:pPr>
        <w:autoSpaceDE w:val="0"/>
        <w:autoSpaceDN w:val="0"/>
        <w:adjustRightInd w:val="0"/>
        <w:jc w:val="both"/>
        <w:rPr>
          <w:rFonts w:ascii="Ping LCG Regular" w:hAnsi="Ping LCG Regular" w:cs="Arial"/>
          <w:spacing w:val="-14"/>
          <w:lang w:val="el-GR"/>
        </w:rPr>
      </w:pPr>
      <w:r w:rsidRPr="00872A1E">
        <w:rPr>
          <w:rFonts w:ascii="Ping LCG Regular" w:hAnsi="Ping LCG Regular" w:cs="Arial"/>
          <w:spacing w:val="-14"/>
          <w:lang w:val="el-GR"/>
        </w:rPr>
        <w:lastRenderedPageBreak/>
        <w:t xml:space="preserve"> </w:t>
      </w:r>
    </w:p>
    <w:p w14:paraId="312E1DBF" w14:textId="46BDD9C1" w:rsidR="004969D4" w:rsidRPr="00872A1E" w:rsidRDefault="004969D4" w:rsidP="004969D4">
      <w:pPr>
        <w:autoSpaceDE w:val="0"/>
        <w:autoSpaceDN w:val="0"/>
        <w:adjustRightInd w:val="0"/>
        <w:jc w:val="both"/>
        <w:rPr>
          <w:rFonts w:ascii="Ping LCG Regular" w:hAnsi="Ping LCG Regular" w:cs="Arial"/>
          <w:spacing w:val="-14"/>
          <w:lang w:val="el-GR"/>
        </w:rPr>
      </w:pPr>
      <w:r w:rsidRPr="00872A1E">
        <w:rPr>
          <w:rFonts w:ascii="Ping LCG Regular" w:hAnsi="Ping LCG Regular" w:cs="Arial"/>
          <w:spacing w:val="-14"/>
          <w:lang w:val="el-GR"/>
        </w:rPr>
        <w:t xml:space="preserve">Η παραγωγή από τις μονάδες φυσικού αερίου της ΔΕΗ μειώθηκε κατά </w:t>
      </w:r>
      <w:r w:rsidR="008B3C55" w:rsidRPr="00872A1E">
        <w:rPr>
          <w:rFonts w:ascii="Ping LCG Regular" w:hAnsi="Ping LCG Regular" w:cs="Arial"/>
          <w:spacing w:val="-14"/>
          <w:lang w:val="el-GR"/>
        </w:rPr>
        <w:t>2</w:t>
      </w:r>
      <w:r w:rsidRPr="00872A1E">
        <w:rPr>
          <w:rFonts w:ascii="Ping LCG Regular" w:hAnsi="Ping LCG Regular" w:cs="Arial"/>
          <w:spacing w:val="-14"/>
          <w:lang w:val="el-GR"/>
        </w:rPr>
        <w:t>.</w:t>
      </w:r>
      <w:r w:rsidR="00951518" w:rsidRPr="00872A1E">
        <w:rPr>
          <w:rFonts w:ascii="Ping LCG Regular" w:hAnsi="Ping LCG Regular" w:cs="Arial"/>
          <w:spacing w:val="-14"/>
          <w:lang w:val="el-GR"/>
        </w:rPr>
        <w:t>364</w:t>
      </w:r>
      <w:r w:rsidRPr="00872A1E">
        <w:rPr>
          <w:rFonts w:ascii="Ping LCG Regular" w:hAnsi="Ping LCG Regular" w:cs="Arial"/>
          <w:spacing w:val="-14"/>
          <w:lang w:val="el-GR"/>
        </w:rPr>
        <w:t xml:space="preserve"> </w:t>
      </w:r>
      <w:proofErr w:type="spellStart"/>
      <w:r w:rsidRPr="00872A1E">
        <w:rPr>
          <w:rFonts w:ascii="Ping LCG Regular" w:hAnsi="Ping LCG Regular" w:cs="Arial"/>
          <w:spacing w:val="-14"/>
          <w:lang w:val="el-GR"/>
        </w:rPr>
        <w:t>GWh</w:t>
      </w:r>
      <w:proofErr w:type="spellEnd"/>
      <w:r w:rsidRPr="00872A1E">
        <w:rPr>
          <w:rFonts w:ascii="Ping LCG Regular" w:hAnsi="Ping LCG Regular" w:cs="Arial"/>
          <w:spacing w:val="-14"/>
          <w:lang w:val="el-GR"/>
        </w:rPr>
        <w:t xml:space="preserve"> ενώ αύξηση κατά 1</w:t>
      </w:r>
      <w:r w:rsidR="00951518" w:rsidRPr="00872A1E">
        <w:rPr>
          <w:rFonts w:ascii="Ping LCG Regular" w:hAnsi="Ping LCG Regular" w:cs="Arial"/>
          <w:spacing w:val="-14"/>
          <w:lang w:val="el-GR"/>
        </w:rPr>
        <w:t>19</w:t>
      </w:r>
      <w:r w:rsidRPr="00872A1E">
        <w:rPr>
          <w:rFonts w:ascii="Ping LCG Regular" w:hAnsi="Ping LCG Regular" w:cs="Arial"/>
          <w:spacing w:val="-14"/>
          <w:lang w:val="el-GR"/>
        </w:rPr>
        <w:t xml:space="preserve"> </w:t>
      </w:r>
      <w:proofErr w:type="spellStart"/>
      <w:r w:rsidRPr="00872A1E">
        <w:rPr>
          <w:rFonts w:ascii="Ping LCG Regular" w:hAnsi="Ping LCG Regular" w:cs="Arial"/>
          <w:spacing w:val="-14"/>
          <w:lang w:val="el-GR"/>
        </w:rPr>
        <w:t>GWh</w:t>
      </w:r>
      <w:proofErr w:type="spellEnd"/>
      <w:r w:rsidRPr="00872A1E">
        <w:rPr>
          <w:rFonts w:ascii="Ping LCG Regular" w:hAnsi="Ping LCG Regular" w:cs="Arial"/>
          <w:spacing w:val="-14"/>
          <w:lang w:val="el-GR"/>
        </w:rPr>
        <w:t xml:space="preserve"> παρουσίασε και η λιγνιτική παραγωγή.  </w:t>
      </w:r>
    </w:p>
    <w:p w14:paraId="5137F3EA" w14:textId="77777777" w:rsidR="004969D4" w:rsidRPr="00872A1E" w:rsidRDefault="004969D4" w:rsidP="004969D4">
      <w:pPr>
        <w:autoSpaceDE w:val="0"/>
        <w:autoSpaceDN w:val="0"/>
        <w:adjustRightInd w:val="0"/>
        <w:jc w:val="both"/>
        <w:rPr>
          <w:rFonts w:ascii="Ping LCG Regular" w:hAnsi="Ping LCG Regular" w:cs="Arial"/>
          <w:spacing w:val="-14"/>
          <w:lang w:val="el-GR"/>
        </w:rPr>
      </w:pPr>
    </w:p>
    <w:p w14:paraId="55257A0F" w14:textId="111AD07A" w:rsidR="00731C36" w:rsidRPr="00872A1E" w:rsidRDefault="004969D4" w:rsidP="004969D4">
      <w:pPr>
        <w:autoSpaceDE w:val="0"/>
        <w:autoSpaceDN w:val="0"/>
        <w:adjustRightInd w:val="0"/>
        <w:jc w:val="both"/>
        <w:rPr>
          <w:rFonts w:ascii="Ping LCG Regular" w:hAnsi="Ping LCG Regular" w:cs="Arial"/>
          <w:spacing w:val="-14"/>
          <w:highlight w:val="yellow"/>
          <w:lang w:val="el-GR"/>
        </w:rPr>
      </w:pPr>
      <w:r w:rsidRPr="00872A1E">
        <w:rPr>
          <w:rFonts w:ascii="Ping LCG Regular" w:hAnsi="Ping LCG Regular" w:cs="Arial"/>
          <w:spacing w:val="-14"/>
          <w:lang w:val="el-GR"/>
        </w:rPr>
        <w:t xml:space="preserve">Σε επίπεδο χώρας, η παραγωγή από ΑΠΕ (συμπεριλαμβανομένων και των μεγάλων υδροηλεκτρικών) αυξήθηκε κατά </w:t>
      </w:r>
      <w:r w:rsidR="00F823BE" w:rsidRPr="00872A1E">
        <w:rPr>
          <w:rFonts w:ascii="Ping LCG Regular" w:hAnsi="Ping LCG Regular" w:cs="Arial"/>
          <w:spacing w:val="-14"/>
          <w:lang w:val="el-GR"/>
        </w:rPr>
        <w:t>6</w:t>
      </w:r>
      <w:r w:rsidRPr="00872A1E">
        <w:rPr>
          <w:rFonts w:ascii="Ping LCG Regular" w:hAnsi="Ping LCG Regular" w:cs="Arial"/>
          <w:spacing w:val="-14"/>
          <w:lang w:val="el-GR"/>
        </w:rPr>
        <w:t>,</w:t>
      </w:r>
      <w:r w:rsidR="00F823BE" w:rsidRPr="00872A1E">
        <w:rPr>
          <w:rFonts w:ascii="Ping LCG Regular" w:hAnsi="Ping LCG Regular" w:cs="Arial"/>
          <w:spacing w:val="-14"/>
          <w:lang w:val="el-GR"/>
        </w:rPr>
        <w:t>2</w:t>
      </w:r>
      <w:r w:rsidRPr="00872A1E">
        <w:rPr>
          <w:rFonts w:ascii="Ping LCG Regular" w:hAnsi="Ping LCG Regular" w:cs="Arial"/>
          <w:spacing w:val="-14"/>
          <w:lang w:val="el-GR"/>
        </w:rPr>
        <w:t>% ή 1.</w:t>
      </w:r>
      <w:r w:rsidR="00AA3899" w:rsidRPr="00872A1E">
        <w:rPr>
          <w:rFonts w:ascii="Ping LCG Regular" w:hAnsi="Ping LCG Regular" w:cs="Arial"/>
          <w:spacing w:val="-14"/>
          <w:lang w:val="el-GR"/>
        </w:rPr>
        <w:t>382</w:t>
      </w:r>
      <w:r w:rsidRPr="00872A1E">
        <w:rPr>
          <w:rFonts w:ascii="Ping LCG Regular" w:hAnsi="Ping LCG Regular" w:cs="Arial"/>
          <w:spacing w:val="-14"/>
          <w:lang w:val="el-GR"/>
        </w:rPr>
        <w:t xml:space="preserve"> </w:t>
      </w:r>
      <w:proofErr w:type="spellStart"/>
      <w:r w:rsidRPr="00872A1E">
        <w:rPr>
          <w:rFonts w:ascii="Ping LCG Regular" w:hAnsi="Ping LCG Regular" w:cs="Arial"/>
          <w:spacing w:val="-14"/>
          <w:lang w:val="el-GR"/>
        </w:rPr>
        <w:t>GWh</w:t>
      </w:r>
      <w:proofErr w:type="spellEnd"/>
      <w:r w:rsidRPr="00872A1E">
        <w:rPr>
          <w:rFonts w:ascii="Ping LCG Regular" w:hAnsi="Ping LCG Regular" w:cs="Arial"/>
          <w:spacing w:val="-14"/>
          <w:lang w:val="el-GR"/>
        </w:rPr>
        <w:t xml:space="preserve">. Επίσης, οι εισαγωγές ηλεκτρικής ενέργειας  </w:t>
      </w:r>
      <w:r w:rsidR="00A74F74" w:rsidRPr="00872A1E">
        <w:rPr>
          <w:rFonts w:ascii="Ping LCG Regular" w:hAnsi="Ping LCG Regular" w:cs="Arial"/>
          <w:spacing w:val="-14"/>
          <w:lang w:val="el-GR"/>
        </w:rPr>
        <w:t>α</w:t>
      </w:r>
      <w:r w:rsidR="00B93FC9" w:rsidRPr="00872A1E">
        <w:rPr>
          <w:rFonts w:ascii="Ping LCG Regular" w:hAnsi="Ping LCG Regular" w:cs="Arial"/>
          <w:spacing w:val="-14"/>
          <w:lang w:val="el-GR"/>
        </w:rPr>
        <w:t>υξήθηκαν</w:t>
      </w:r>
      <w:r w:rsidRPr="00872A1E">
        <w:rPr>
          <w:rFonts w:ascii="Ping LCG Regular" w:hAnsi="Ping LCG Regular" w:cs="Arial"/>
          <w:spacing w:val="-14"/>
          <w:lang w:val="el-GR"/>
        </w:rPr>
        <w:t xml:space="preserve"> κατά </w:t>
      </w:r>
      <w:r w:rsidR="00B93FC9" w:rsidRPr="00872A1E">
        <w:rPr>
          <w:rFonts w:ascii="Ping LCG Regular" w:hAnsi="Ping LCG Regular" w:cs="Arial"/>
          <w:spacing w:val="-14"/>
          <w:lang w:val="el-GR"/>
        </w:rPr>
        <w:t>7</w:t>
      </w:r>
      <w:r w:rsidRPr="00872A1E">
        <w:rPr>
          <w:rFonts w:ascii="Ping LCG Regular" w:hAnsi="Ping LCG Regular" w:cs="Arial"/>
          <w:spacing w:val="-14"/>
          <w:lang w:val="el-GR"/>
        </w:rPr>
        <w:t>,</w:t>
      </w:r>
      <w:r w:rsidR="00B93FC9" w:rsidRPr="00872A1E">
        <w:rPr>
          <w:rFonts w:ascii="Ping LCG Regular" w:hAnsi="Ping LCG Regular" w:cs="Arial"/>
          <w:spacing w:val="-14"/>
          <w:lang w:val="el-GR"/>
        </w:rPr>
        <w:t>3</w:t>
      </w:r>
      <w:r w:rsidRPr="00872A1E">
        <w:rPr>
          <w:rFonts w:ascii="Ping LCG Regular" w:hAnsi="Ping LCG Regular" w:cs="Arial"/>
          <w:spacing w:val="-14"/>
          <w:lang w:val="el-GR"/>
        </w:rPr>
        <w:t xml:space="preserve">% ή </w:t>
      </w:r>
      <w:r w:rsidR="00B93FC9" w:rsidRPr="00872A1E">
        <w:rPr>
          <w:rFonts w:ascii="Ping LCG Regular" w:hAnsi="Ping LCG Regular" w:cs="Arial"/>
          <w:spacing w:val="-14"/>
          <w:lang w:val="el-GR"/>
        </w:rPr>
        <w:t>618</w:t>
      </w:r>
      <w:r w:rsidRPr="00872A1E">
        <w:rPr>
          <w:rFonts w:ascii="Ping LCG Regular" w:hAnsi="Ping LCG Regular" w:cs="Arial"/>
          <w:spacing w:val="-14"/>
          <w:lang w:val="el-GR"/>
        </w:rPr>
        <w:t xml:space="preserve"> </w:t>
      </w:r>
      <w:proofErr w:type="spellStart"/>
      <w:r w:rsidRPr="00872A1E">
        <w:rPr>
          <w:rFonts w:ascii="Ping LCG Regular" w:hAnsi="Ping LCG Regular" w:cs="Arial"/>
          <w:spacing w:val="-14"/>
          <w:lang w:val="el-GR"/>
        </w:rPr>
        <w:t>GWh</w:t>
      </w:r>
      <w:proofErr w:type="spellEnd"/>
      <w:r w:rsidRPr="00872A1E">
        <w:rPr>
          <w:rFonts w:ascii="Ping LCG Regular" w:hAnsi="Ping LCG Regular" w:cs="Arial"/>
          <w:spacing w:val="-14"/>
          <w:lang w:val="el-GR"/>
        </w:rPr>
        <w:t>.</w:t>
      </w:r>
    </w:p>
    <w:p w14:paraId="49A696DB" w14:textId="760F9DD8" w:rsidR="003954AE" w:rsidRPr="00872A1E" w:rsidRDefault="00A249A6" w:rsidP="003954AE">
      <w:pPr>
        <w:autoSpaceDE w:val="0"/>
        <w:autoSpaceDN w:val="0"/>
        <w:adjustRightInd w:val="0"/>
        <w:jc w:val="both"/>
        <w:rPr>
          <w:rFonts w:ascii="Ping LCG Regular" w:hAnsi="Ping LCG Regular" w:cs="Arial"/>
          <w:spacing w:val="-14"/>
          <w:highlight w:val="yellow"/>
          <w:lang w:val="el-GR"/>
        </w:rPr>
      </w:pPr>
      <w:r w:rsidRPr="00872A1E">
        <w:rPr>
          <w:rFonts w:ascii="Ping LCG Regular" w:hAnsi="Ping LCG Regular" w:cs="Arial"/>
          <w:spacing w:val="-14"/>
          <w:highlight w:val="yellow"/>
          <w:lang w:val="el-GR"/>
        </w:rPr>
        <w:t xml:space="preserve">  </w:t>
      </w:r>
      <w:r w:rsidR="00645748" w:rsidRPr="00872A1E">
        <w:rPr>
          <w:rFonts w:ascii="Ping LCG Regular" w:hAnsi="Ping LCG Regular" w:cs="Arial"/>
          <w:spacing w:val="-14"/>
          <w:highlight w:val="yellow"/>
          <w:lang w:val="el-GR"/>
        </w:rPr>
        <w:t xml:space="preserve"> </w:t>
      </w:r>
    </w:p>
    <w:bookmarkEnd w:id="6"/>
    <w:p w14:paraId="0FDA6A9E" w14:textId="16F6194A" w:rsidR="00A249A6" w:rsidRPr="00872A1E" w:rsidRDefault="00A249A6" w:rsidP="00A249A6">
      <w:pPr>
        <w:autoSpaceDE w:val="0"/>
        <w:autoSpaceDN w:val="0"/>
        <w:jc w:val="both"/>
        <w:rPr>
          <w:rFonts w:ascii="Ping LCG Regular" w:hAnsi="Ping LCG Regular" w:cs="Arial"/>
          <w:spacing w:val="-14"/>
          <w:highlight w:val="yellow"/>
          <w:lang w:val="el-GR"/>
        </w:rPr>
      </w:pPr>
    </w:p>
    <w:bookmarkEnd w:id="7"/>
    <w:p w14:paraId="78B5E1A7" w14:textId="77777777" w:rsidR="000D4DE1" w:rsidRPr="00872A1E" w:rsidRDefault="000D4DE1" w:rsidP="000D4DE1">
      <w:pPr>
        <w:widowControl w:val="0"/>
        <w:autoSpaceDE w:val="0"/>
        <w:autoSpaceDN w:val="0"/>
        <w:adjustRightInd w:val="0"/>
        <w:ind w:left="1" w:right="18"/>
        <w:rPr>
          <w:rFonts w:ascii="Ping LCG Regular" w:hAnsi="Ping LCG Regular" w:cs="Arial"/>
          <w:spacing w:val="-14"/>
          <w:lang w:val="el-GR"/>
        </w:rPr>
      </w:pPr>
      <w:r w:rsidRPr="00872A1E">
        <w:rPr>
          <w:rFonts w:ascii="Ping LCG Regular" w:hAnsi="Ping LCG Regular" w:cs="Arial"/>
          <w:bCs/>
          <w:spacing w:val="-14"/>
          <w:u w:val="single"/>
          <w:lang w:val="el-GR"/>
        </w:rPr>
        <w:t>Δαπάνες Ενεργειακού Μείγματος</w:t>
      </w:r>
      <w:r w:rsidRPr="00872A1E" w:rsidDel="002974C9">
        <w:rPr>
          <w:rFonts w:ascii="Ping LCG Regular" w:hAnsi="Ping LCG Regular" w:cs="Arial"/>
          <w:spacing w:val="-14"/>
          <w:lang w:val="el-GR"/>
        </w:rPr>
        <w:t xml:space="preserve"> </w:t>
      </w:r>
    </w:p>
    <w:p w14:paraId="749ECBBC" w14:textId="77777777" w:rsidR="000D4DE1" w:rsidRPr="00872A1E" w:rsidRDefault="000D4DE1" w:rsidP="000D4DE1">
      <w:pPr>
        <w:widowControl w:val="0"/>
        <w:autoSpaceDE w:val="0"/>
        <w:autoSpaceDN w:val="0"/>
        <w:adjustRightInd w:val="0"/>
        <w:ind w:left="19" w:right="7574"/>
        <w:rPr>
          <w:rFonts w:ascii="Ping LCG Regular" w:hAnsi="Ping LCG Regular" w:cs="Arial"/>
          <w:spacing w:val="-14"/>
          <w:lang w:val="el-GR"/>
        </w:rPr>
      </w:pPr>
    </w:p>
    <w:p w14:paraId="0AFAE61C" w14:textId="1CBE1D07" w:rsidR="000D4DE1" w:rsidRPr="00872A1E" w:rsidRDefault="000D4DE1" w:rsidP="000D4DE1">
      <w:pPr>
        <w:widowControl w:val="0"/>
        <w:autoSpaceDE w:val="0"/>
        <w:autoSpaceDN w:val="0"/>
        <w:adjustRightInd w:val="0"/>
        <w:ind w:left="1" w:right="21"/>
        <w:jc w:val="both"/>
        <w:rPr>
          <w:rFonts w:ascii="Ping LCG Regular" w:hAnsi="Ping LCG Regular" w:cs="Arial"/>
          <w:spacing w:val="-14"/>
          <w:lang w:val="el-GR"/>
        </w:rPr>
      </w:pPr>
      <w:r w:rsidRPr="00872A1E">
        <w:rPr>
          <w:rFonts w:ascii="Ping LCG Regular" w:hAnsi="Ping LCG Regular" w:cs="Arial"/>
          <w:spacing w:val="-14"/>
          <w:lang w:val="el-GR"/>
        </w:rPr>
        <w:t xml:space="preserve">Οι δαπάνες για υγρά καύσιμα, φυσικό αέριο, </w:t>
      </w:r>
      <w:r w:rsidRPr="00872A1E">
        <w:rPr>
          <w:rFonts w:ascii="Ping LCG Regular" w:hAnsi="Ping LCG Regular" w:cs="Arial"/>
          <w:spacing w:val="-14"/>
        </w:rPr>
        <w:t>CO</w:t>
      </w:r>
      <w:r w:rsidRPr="00872A1E">
        <w:rPr>
          <w:rFonts w:ascii="Ping LCG Regular" w:hAnsi="Ping LCG Regular" w:cs="Arial"/>
          <w:spacing w:val="-14"/>
          <w:vertAlign w:val="subscript"/>
          <w:lang w:val="el-GR"/>
        </w:rPr>
        <w:t>2</w:t>
      </w:r>
      <w:r w:rsidR="00EC6333" w:rsidRPr="00872A1E">
        <w:rPr>
          <w:rFonts w:ascii="Ping LCG Regular" w:hAnsi="Ping LCG Regular" w:cs="Arial"/>
          <w:spacing w:val="-14"/>
          <w:lang w:val="el-GR"/>
        </w:rPr>
        <w:t xml:space="preserve">, λιγνίτη τρίτων </w:t>
      </w:r>
      <w:r w:rsidRPr="00872A1E">
        <w:rPr>
          <w:rFonts w:ascii="Ping LCG Regular" w:hAnsi="Ping LCG Regular" w:cs="Arial"/>
          <w:spacing w:val="-14"/>
          <w:lang w:val="el-GR"/>
        </w:rPr>
        <w:t>και αγορές ηλεκτρικής ενέργειας αυξήθηκαν κατά €4.</w:t>
      </w:r>
      <w:r w:rsidR="00897D0E" w:rsidRPr="00872A1E">
        <w:rPr>
          <w:rFonts w:ascii="Ping LCG Regular" w:hAnsi="Ping LCG Regular" w:cs="Arial"/>
          <w:spacing w:val="-14"/>
          <w:lang w:val="el-GR"/>
        </w:rPr>
        <w:t>911</w:t>
      </w:r>
      <w:r w:rsidRPr="00872A1E">
        <w:rPr>
          <w:rFonts w:ascii="Ping LCG Regular" w:hAnsi="Ping LCG Regular" w:cs="Arial"/>
          <w:spacing w:val="-14"/>
          <w:lang w:val="el-GR"/>
        </w:rPr>
        <w:t xml:space="preserve"> εκατ. (1</w:t>
      </w:r>
      <w:r w:rsidR="008E4422" w:rsidRPr="00872A1E">
        <w:rPr>
          <w:rFonts w:ascii="Ping LCG Regular" w:hAnsi="Ping LCG Regular" w:cs="Arial"/>
          <w:spacing w:val="-14"/>
          <w:lang w:val="el-GR"/>
        </w:rPr>
        <w:t>41,4</w:t>
      </w:r>
      <w:r w:rsidRPr="00872A1E">
        <w:rPr>
          <w:rFonts w:ascii="Ping LCG Regular" w:hAnsi="Ping LCG Regular" w:cs="Arial"/>
          <w:spacing w:val="-14"/>
          <w:lang w:val="el-GR"/>
        </w:rPr>
        <w:t xml:space="preserve">%) σε σχέση με το </w:t>
      </w:r>
      <w:r w:rsidR="008E4422" w:rsidRPr="00872A1E">
        <w:rPr>
          <w:rFonts w:ascii="Ping LCG Regular" w:hAnsi="Ping LCG Regular" w:cs="Arial"/>
          <w:spacing w:val="-14"/>
          <w:lang w:val="el-GR"/>
        </w:rPr>
        <w:t>2</w:t>
      </w:r>
      <w:r w:rsidRPr="00872A1E">
        <w:rPr>
          <w:rFonts w:ascii="Ping LCG Regular" w:hAnsi="Ping LCG Regular" w:cs="Arial"/>
          <w:spacing w:val="-14"/>
          <w:lang w:val="el-GR"/>
        </w:rPr>
        <w:t xml:space="preserve">021.  </w:t>
      </w:r>
    </w:p>
    <w:p w14:paraId="565A688F" w14:textId="77777777" w:rsidR="000D4DE1" w:rsidRPr="00872A1E" w:rsidRDefault="000D4DE1" w:rsidP="000D4DE1">
      <w:pPr>
        <w:widowControl w:val="0"/>
        <w:autoSpaceDE w:val="0"/>
        <w:autoSpaceDN w:val="0"/>
        <w:adjustRightInd w:val="0"/>
        <w:ind w:left="284" w:right="21"/>
        <w:jc w:val="both"/>
        <w:rPr>
          <w:rFonts w:ascii="Ping LCG Regular" w:hAnsi="Ping LCG Regular" w:cs="Arial"/>
          <w:spacing w:val="-14"/>
          <w:lang w:val="el-GR"/>
        </w:rPr>
      </w:pPr>
    </w:p>
    <w:p w14:paraId="656A0C1D" w14:textId="77777777" w:rsidR="000D4DE1" w:rsidRPr="00872A1E" w:rsidRDefault="000D4DE1" w:rsidP="000D4DE1">
      <w:pPr>
        <w:widowControl w:val="0"/>
        <w:autoSpaceDE w:val="0"/>
        <w:autoSpaceDN w:val="0"/>
        <w:adjustRightInd w:val="0"/>
        <w:ind w:right="21"/>
        <w:jc w:val="both"/>
        <w:rPr>
          <w:rFonts w:ascii="Ping LCG Regular" w:hAnsi="Ping LCG Regular" w:cs="Arial"/>
          <w:spacing w:val="-14"/>
          <w:lang w:val="el-GR"/>
        </w:rPr>
      </w:pPr>
      <w:r w:rsidRPr="00872A1E">
        <w:rPr>
          <w:rFonts w:ascii="Ping LCG Regular" w:hAnsi="Ping LCG Regular" w:cs="Arial"/>
          <w:spacing w:val="-14"/>
          <w:lang w:val="el-GR"/>
        </w:rPr>
        <w:t>Συγκεκριμένα:</w:t>
      </w:r>
    </w:p>
    <w:p w14:paraId="305FB065" w14:textId="77777777" w:rsidR="000D4DE1" w:rsidRPr="00872A1E" w:rsidRDefault="000D4DE1" w:rsidP="000D4DE1">
      <w:pPr>
        <w:widowControl w:val="0"/>
        <w:autoSpaceDE w:val="0"/>
        <w:autoSpaceDN w:val="0"/>
        <w:adjustRightInd w:val="0"/>
        <w:ind w:right="21"/>
        <w:jc w:val="both"/>
        <w:rPr>
          <w:rFonts w:ascii="Ping LCG Regular" w:hAnsi="Ping LCG Regular" w:cs="Arial"/>
          <w:spacing w:val="-14"/>
          <w:lang w:val="el-GR"/>
        </w:rPr>
      </w:pPr>
    </w:p>
    <w:p w14:paraId="61FECFD5" w14:textId="554E342A" w:rsidR="000D4DE1" w:rsidRPr="00872A1E" w:rsidRDefault="000D4DE1" w:rsidP="000D4DE1">
      <w:pPr>
        <w:pStyle w:val="af1"/>
        <w:numPr>
          <w:ilvl w:val="0"/>
          <w:numId w:val="9"/>
        </w:numPr>
        <w:ind w:left="284" w:hanging="142"/>
        <w:jc w:val="both"/>
        <w:rPr>
          <w:rFonts w:ascii="Ping LCG Regular" w:hAnsi="Ping LCG Regular" w:cs="Arial"/>
          <w:spacing w:val="-14"/>
        </w:rPr>
      </w:pPr>
      <w:r w:rsidRPr="00872A1E">
        <w:rPr>
          <w:rFonts w:ascii="Ping LCG Regular" w:hAnsi="Ping LCG Regular" w:cs="Arial"/>
          <w:spacing w:val="-14"/>
        </w:rPr>
        <w:t>Η δαπάνη για υγρά καύσιμα το 2022 αυξήθηκε κατά 5</w:t>
      </w:r>
      <w:r w:rsidR="00E97DBC" w:rsidRPr="00872A1E">
        <w:rPr>
          <w:rFonts w:ascii="Ping LCG Regular" w:hAnsi="Ping LCG Regular" w:cs="Arial"/>
          <w:spacing w:val="-14"/>
        </w:rPr>
        <w:t>8</w:t>
      </w:r>
      <w:r w:rsidRPr="00872A1E">
        <w:rPr>
          <w:rFonts w:ascii="Ping LCG Regular" w:hAnsi="Ping LCG Regular" w:cs="Arial"/>
          <w:spacing w:val="-14"/>
        </w:rPr>
        <w:t>,</w:t>
      </w:r>
      <w:r w:rsidR="00E97DBC" w:rsidRPr="00872A1E">
        <w:rPr>
          <w:rFonts w:ascii="Ping LCG Regular" w:hAnsi="Ping LCG Regular" w:cs="Arial"/>
          <w:spacing w:val="-14"/>
        </w:rPr>
        <w:t>9</w:t>
      </w:r>
      <w:r w:rsidRPr="00872A1E">
        <w:rPr>
          <w:rFonts w:ascii="Ping LCG Regular" w:hAnsi="Ping LCG Regular" w:cs="Arial"/>
          <w:spacing w:val="-14"/>
        </w:rPr>
        <w:t>% σε σχέση με το 2021 στα €</w:t>
      </w:r>
      <w:r w:rsidR="00E97DBC" w:rsidRPr="00872A1E">
        <w:rPr>
          <w:rFonts w:ascii="Ping LCG Regular" w:hAnsi="Ping LCG Regular" w:cs="Arial"/>
          <w:spacing w:val="-14"/>
        </w:rPr>
        <w:t>853</w:t>
      </w:r>
      <w:r w:rsidR="00712437" w:rsidRPr="00872A1E">
        <w:rPr>
          <w:rFonts w:ascii="Ping LCG Regular" w:hAnsi="Ping LCG Regular" w:cs="Arial"/>
          <w:spacing w:val="-14"/>
        </w:rPr>
        <w:t>,2</w:t>
      </w:r>
      <w:r w:rsidRPr="00872A1E">
        <w:rPr>
          <w:rFonts w:ascii="Ping LCG Regular" w:hAnsi="Ping LCG Regular" w:cs="Arial"/>
          <w:spacing w:val="-14"/>
        </w:rPr>
        <w:t xml:space="preserve"> εκατ., λόγω της αύξησης των τιμών του μαζούτ (κατά </w:t>
      </w:r>
      <w:r w:rsidR="0072575F" w:rsidRPr="00872A1E">
        <w:rPr>
          <w:rFonts w:ascii="Ping LCG Regular" w:hAnsi="Ping LCG Regular" w:cs="Arial"/>
          <w:spacing w:val="-14"/>
        </w:rPr>
        <w:t>48,4</w:t>
      </w:r>
      <w:r w:rsidRPr="00872A1E">
        <w:rPr>
          <w:rFonts w:ascii="Ping LCG Regular" w:hAnsi="Ping LCG Regular" w:cs="Arial"/>
          <w:spacing w:val="-14"/>
        </w:rPr>
        <w:t xml:space="preserve">%) και του </w:t>
      </w:r>
      <w:r w:rsidRPr="00872A1E">
        <w:rPr>
          <w:rFonts w:ascii="Ping LCG Regular" w:hAnsi="Ping LCG Regular" w:cs="Arial"/>
          <w:spacing w:val="-14"/>
          <w:lang w:val="en-US"/>
        </w:rPr>
        <w:t>diesel</w:t>
      </w:r>
      <w:r w:rsidRPr="00872A1E">
        <w:rPr>
          <w:rFonts w:ascii="Ping LCG Regular" w:hAnsi="Ping LCG Regular" w:cs="Arial"/>
          <w:spacing w:val="-14"/>
        </w:rPr>
        <w:t xml:space="preserve"> (κατά </w:t>
      </w:r>
      <w:r w:rsidR="00B5519D" w:rsidRPr="00872A1E">
        <w:rPr>
          <w:rFonts w:ascii="Ping LCG Regular" w:hAnsi="Ping LCG Regular" w:cs="Arial"/>
          <w:spacing w:val="-14"/>
        </w:rPr>
        <w:t>65,8</w:t>
      </w:r>
      <w:r w:rsidRPr="00872A1E">
        <w:rPr>
          <w:rFonts w:ascii="Ping LCG Regular" w:hAnsi="Ping LCG Regular" w:cs="Arial"/>
          <w:spacing w:val="-14"/>
        </w:rPr>
        <w:t>%).</w:t>
      </w:r>
    </w:p>
    <w:p w14:paraId="0778009D" w14:textId="77777777" w:rsidR="000D4DE1" w:rsidRPr="00872A1E" w:rsidRDefault="000D4DE1" w:rsidP="000D4DE1">
      <w:pPr>
        <w:widowControl w:val="0"/>
        <w:autoSpaceDE w:val="0"/>
        <w:autoSpaceDN w:val="0"/>
        <w:adjustRightInd w:val="0"/>
        <w:ind w:left="284" w:right="22" w:hanging="142"/>
        <w:jc w:val="both"/>
        <w:rPr>
          <w:rFonts w:ascii="Ping LCG Regular" w:hAnsi="Ping LCG Regular" w:cs="Arial"/>
          <w:strike/>
          <w:spacing w:val="-14"/>
          <w:lang w:val="el-GR"/>
        </w:rPr>
      </w:pPr>
      <w:r w:rsidRPr="00872A1E">
        <w:rPr>
          <w:rFonts w:ascii="Ping LCG Regular" w:hAnsi="Ping LCG Regular" w:cs="Arial"/>
          <w:spacing w:val="-14"/>
          <w:highlight w:val="yellow"/>
          <w:lang w:val="el-GR"/>
        </w:rPr>
        <w:t xml:space="preserve"> </w:t>
      </w:r>
    </w:p>
    <w:p w14:paraId="21BC3F89" w14:textId="624AD6CB" w:rsidR="000D4DE1" w:rsidRPr="00872A1E" w:rsidRDefault="000D4DE1" w:rsidP="000D4DE1">
      <w:pPr>
        <w:widowControl w:val="0"/>
        <w:numPr>
          <w:ilvl w:val="0"/>
          <w:numId w:val="3"/>
        </w:numPr>
        <w:autoSpaceDE w:val="0"/>
        <w:autoSpaceDN w:val="0"/>
        <w:adjustRightInd w:val="0"/>
        <w:ind w:left="284" w:right="22" w:hanging="142"/>
        <w:jc w:val="both"/>
        <w:rPr>
          <w:rFonts w:ascii="Ping LCG Regular" w:hAnsi="Ping LCG Regular" w:cs="Arial"/>
          <w:spacing w:val="-14"/>
          <w:lang w:val="el-GR"/>
        </w:rPr>
      </w:pPr>
      <w:r w:rsidRPr="00872A1E">
        <w:rPr>
          <w:rFonts w:ascii="Ping LCG Regular" w:hAnsi="Ping LCG Regular" w:cs="Arial"/>
          <w:spacing w:val="-14"/>
          <w:lang w:val="el-GR"/>
        </w:rPr>
        <w:t xml:space="preserve">Η δαπάνη για φυσικό αέριο, αυξήθηκε σημαντικά κατά </w:t>
      </w:r>
      <w:r w:rsidR="0022751F" w:rsidRPr="00872A1E">
        <w:rPr>
          <w:rFonts w:ascii="Ping LCG Regular" w:hAnsi="Ping LCG Regular" w:cs="Arial"/>
          <w:spacing w:val="-14"/>
          <w:lang w:val="el-GR"/>
        </w:rPr>
        <w:t>93,2</w:t>
      </w:r>
      <w:r w:rsidRPr="00872A1E">
        <w:rPr>
          <w:rFonts w:ascii="Ping LCG Regular" w:hAnsi="Ping LCG Regular" w:cs="Arial"/>
          <w:spacing w:val="-14"/>
          <w:lang w:val="el-GR"/>
        </w:rPr>
        <w:t>% σε €1.</w:t>
      </w:r>
      <w:r w:rsidR="0022751F" w:rsidRPr="00872A1E">
        <w:rPr>
          <w:rFonts w:ascii="Ping LCG Regular" w:hAnsi="Ping LCG Regular" w:cs="Arial"/>
          <w:spacing w:val="-14"/>
          <w:lang w:val="el-GR"/>
        </w:rPr>
        <w:t>758,2</w:t>
      </w:r>
      <w:r w:rsidRPr="00872A1E">
        <w:rPr>
          <w:rFonts w:ascii="Ping LCG Regular" w:hAnsi="Ping LCG Regular" w:cs="Arial"/>
          <w:spacing w:val="-14"/>
          <w:lang w:val="el-GR"/>
        </w:rPr>
        <w:t xml:space="preserve"> εκατ. έναντι €</w:t>
      </w:r>
      <w:r w:rsidR="0022751F" w:rsidRPr="00872A1E">
        <w:rPr>
          <w:rFonts w:ascii="Ping LCG Regular" w:hAnsi="Ping LCG Regular" w:cs="Arial"/>
          <w:spacing w:val="-14"/>
          <w:lang w:val="el-GR"/>
        </w:rPr>
        <w:t>910,1</w:t>
      </w:r>
      <w:r w:rsidRPr="00872A1E">
        <w:rPr>
          <w:rFonts w:ascii="Ping LCG Regular" w:hAnsi="Ping LCG Regular" w:cs="Arial"/>
          <w:spacing w:val="-14"/>
          <w:lang w:val="el-GR"/>
        </w:rPr>
        <w:t xml:space="preserve"> εκατ. λόγω της μεγάλης αύξησης της τιμής του φυσικού αερίου κατά</w:t>
      </w:r>
      <w:r w:rsidR="00A1459D" w:rsidRPr="00872A1E">
        <w:rPr>
          <w:rFonts w:ascii="Ping LCG Regular" w:hAnsi="Ping LCG Regular" w:cs="Arial"/>
          <w:spacing w:val="-14"/>
          <w:lang w:val="el-GR"/>
        </w:rPr>
        <w:t xml:space="preserve"> </w:t>
      </w:r>
      <w:r w:rsidR="004465F5" w:rsidRPr="00872A1E">
        <w:rPr>
          <w:rFonts w:ascii="Ping LCG Regular" w:hAnsi="Ping LCG Regular" w:cs="Arial"/>
          <w:spacing w:val="-14"/>
          <w:lang w:val="el-GR"/>
        </w:rPr>
        <w:t>146,9</w:t>
      </w:r>
      <w:r w:rsidRPr="00872A1E">
        <w:rPr>
          <w:rFonts w:ascii="Ping LCG Regular" w:hAnsi="Ping LCG Regular" w:cs="Arial"/>
          <w:spacing w:val="-14"/>
          <w:lang w:val="el-GR"/>
        </w:rPr>
        <w:t xml:space="preserve">% παρά τη μειωμένη κατά </w:t>
      </w:r>
      <w:r w:rsidR="00E06E19" w:rsidRPr="00872A1E">
        <w:rPr>
          <w:rFonts w:ascii="Ping LCG Regular" w:hAnsi="Ping LCG Regular" w:cs="Arial"/>
          <w:spacing w:val="-14"/>
          <w:lang w:val="el-GR"/>
        </w:rPr>
        <w:t>21,4</w:t>
      </w:r>
      <w:r w:rsidRPr="00872A1E">
        <w:rPr>
          <w:rFonts w:ascii="Ping LCG Regular" w:hAnsi="Ping LCG Regular" w:cs="Arial"/>
          <w:spacing w:val="-14"/>
          <w:lang w:val="el-GR"/>
        </w:rPr>
        <w:t xml:space="preserve">% παραγωγή ηλεκτρικής ενέργειας από φυσικό αέριο. </w:t>
      </w:r>
    </w:p>
    <w:p w14:paraId="4DDE1C99" w14:textId="77777777" w:rsidR="000D4DE1" w:rsidRPr="00872A1E" w:rsidRDefault="000D4DE1" w:rsidP="000D4DE1">
      <w:pPr>
        <w:widowControl w:val="0"/>
        <w:autoSpaceDE w:val="0"/>
        <w:autoSpaceDN w:val="0"/>
        <w:adjustRightInd w:val="0"/>
        <w:ind w:left="284" w:right="22"/>
        <w:jc w:val="both"/>
        <w:rPr>
          <w:rFonts w:ascii="Ping LCG Regular" w:hAnsi="Ping LCG Regular" w:cs="Arial"/>
          <w:spacing w:val="-14"/>
          <w:lang w:val="el-GR"/>
        </w:rPr>
      </w:pPr>
    </w:p>
    <w:p w14:paraId="5CFBEB67" w14:textId="5EAC505D" w:rsidR="000D4DE1" w:rsidRPr="00872A1E" w:rsidRDefault="000D4DE1" w:rsidP="000D4DE1">
      <w:pPr>
        <w:widowControl w:val="0"/>
        <w:numPr>
          <w:ilvl w:val="0"/>
          <w:numId w:val="3"/>
        </w:numPr>
        <w:autoSpaceDE w:val="0"/>
        <w:autoSpaceDN w:val="0"/>
        <w:adjustRightInd w:val="0"/>
        <w:ind w:left="284" w:right="22" w:hanging="142"/>
        <w:jc w:val="both"/>
        <w:rPr>
          <w:rFonts w:ascii="Ping LCG Regular" w:hAnsi="Ping LCG Regular" w:cs="Arial"/>
          <w:spacing w:val="-14"/>
          <w:lang w:val="el-GR"/>
        </w:rPr>
      </w:pPr>
      <w:r w:rsidRPr="00872A1E">
        <w:rPr>
          <w:rFonts w:ascii="Ping LCG Regular" w:hAnsi="Ping LCG Regular" w:cs="Arial"/>
          <w:spacing w:val="-14"/>
          <w:lang w:val="el-GR"/>
        </w:rPr>
        <w:t>Η δαπάνη για αγορές ενέργειας, αυξήθηκε κατά €</w:t>
      </w:r>
      <w:r w:rsidR="00AC6B9A" w:rsidRPr="00872A1E">
        <w:rPr>
          <w:rFonts w:ascii="Ping LCG Regular" w:hAnsi="Ping LCG Regular" w:cs="Arial"/>
          <w:spacing w:val="-14"/>
          <w:lang w:val="el-GR"/>
        </w:rPr>
        <w:t>3</w:t>
      </w:r>
      <w:r w:rsidRPr="00872A1E">
        <w:rPr>
          <w:rFonts w:ascii="Ping LCG Regular" w:hAnsi="Ping LCG Regular" w:cs="Arial"/>
          <w:spacing w:val="-14"/>
          <w:lang w:val="el-GR"/>
        </w:rPr>
        <w:t>.</w:t>
      </w:r>
      <w:r w:rsidR="00AC6B9A" w:rsidRPr="00872A1E">
        <w:rPr>
          <w:rFonts w:ascii="Ping LCG Regular" w:hAnsi="Ping LCG Regular" w:cs="Arial"/>
          <w:spacing w:val="-14"/>
          <w:lang w:val="el-GR"/>
        </w:rPr>
        <w:t>433</w:t>
      </w:r>
      <w:r w:rsidRPr="00872A1E">
        <w:rPr>
          <w:rFonts w:ascii="Ping LCG Regular" w:hAnsi="Ping LCG Regular" w:cs="Arial"/>
          <w:spacing w:val="-14"/>
          <w:lang w:val="el-GR"/>
        </w:rPr>
        <w:t>,</w:t>
      </w:r>
      <w:r w:rsidR="00AC6B9A" w:rsidRPr="00872A1E">
        <w:rPr>
          <w:rFonts w:ascii="Ping LCG Regular" w:hAnsi="Ping LCG Regular" w:cs="Arial"/>
          <w:spacing w:val="-14"/>
          <w:lang w:val="el-GR"/>
        </w:rPr>
        <w:t>3</w:t>
      </w:r>
      <w:r w:rsidRPr="00872A1E">
        <w:rPr>
          <w:rFonts w:ascii="Ping LCG Regular" w:hAnsi="Ping LCG Regular" w:cs="Arial"/>
          <w:spacing w:val="-14"/>
          <w:lang w:val="el-GR"/>
        </w:rPr>
        <w:t xml:space="preserve"> εκατ. (</w:t>
      </w:r>
      <w:r w:rsidR="00AC6B9A" w:rsidRPr="00872A1E">
        <w:rPr>
          <w:rFonts w:ascii="Ping LCG Regular" w:hAnsi="Ping LCG Regular" w:cs="Arial"/>
          <w:spacing w:val="-14"/>
          <w:lang w:val="el-GR"/>
        </w:rPr>
        <w:t>266,8</w:t>
      </w:r>
      <w:r w:rsidRPr="00872A1E">
        <w:rPr>
          <w:rFonts w:ascii="Ping LCG Regular" w:hAnsi="Ping LCG Regular" w:cs="Arial"/>
          <w:spacing w:val="-14"/>
          <w:lang w:val="el-GR"/>
        </w:rPr>
        <w:t>%) λόγω της αυξημένης Τιμής Εκκαθάρισης Αγοράς (ΤΕΑ) (από €</w:t>
      </w:r>
      <w:r w:rsidR="00260704" w:rsidRPr="00872A1E">
        <w:rPr>
          <w:rFonts w:ascii="Ping LCG Regular" w:hAnsi="Ping LCG Regular" w:cs="Arial"/>
          <w:spacing w:val="-14"/>
          <w:lang w:val="el-GR"/>
        </w:rPr>
        <w:t>116</w:t>
      </w:r>
      <w:r w:rsidR="006C2C7A" w:rsidRPr="00872A1E">
        <w:rPr>
          <w:rFonts w:ascii="Ping LCG Regular" w:hAnsi="Ping LCG Regular" w:cs="Arial"/>
          <w:spacing w:val="-14"/>
          <w:lang w:val="el-GR"/>
        </w:rPr>
        <w:t>,</w:t>
      </w:r>
      <w:r w:rsidR="00260704" w:rsidRPr="00872A1E">
        <w:rPr>
          <w:rFonts w:ascii="Ping LCG Regular" w:hAnsi="Ping LCG Regular" w:cs="Arial"/>
          <w:spacing w:val="-14"/>
          <w:lang w:val="el-GR"/>
        </w:rPr>
        <w:t>4</w:t>
      </w:r>
      <w:r w:rsidRPr="00872A1E">
        <w:rPr>
          <w:rFonts w:ascii="Ping LCG Regular" w:hAnsi="Ping LCG Regular" w:cs="Arial"/>
          <w:spacing w:val="-14"/>
          <w:lang w:val="el-GR"/>
        </w:rPr>
        <w:t>/</w:t>
      </w:r>
      <w:proofErr w:type="spellStart"/>
      <w:r w:rsidRPr="00872A1E">
        <w:rPr>
          <w:rFonts w:ascii="Ping LCG Regular" w:hAnsi="Ping LCG Regular" w:cs="Arial"/>
          <w:spacing w:val="-14"/>
          <w:lang w:val="el-GR"/>
        </w:rPr>
        <w:t>MWh</w:t>
      </w:r>
      <w:proofErr w:type="spellEnd"/>
      <w:r w:rsidRPr="00872A1E">
        <w:rPr>
          <w:rFonts w:ascii="Ping LCG Regular" w:hAnsi="Ping LCG Regular" w:cs="Arial"/>
          <w:spacing w:val="-14"/>
          <w:lang w:val="el-GR"/>
        </w:rPr>
        <w:t xml:space="preserve"> το 2021 σε €</w:t>
      </w:r>
      <w:r w:rsidR="006C2C7A" w:rsidRPr="00872A1E">
        <w:rPr>
          <w:rFonts w:ascii="Ping LCG Regular" w:hAnsi="Ping LCG Regular" w:cs="Arial"/>
          <w:spacing w:val="-14"/>
          <w:lang w:val="el-GR"/>
        </w:rPr>
        <w:t>280</w:t>
      </w:r>
      <w:r w:rsidRPr="00872A1E">
        <w:rPr>
          <w:rFonts w:ascii="Ping LCG Regular" w:hAnsi="Ping LCG Regular" w:cs="Arial"/>
          <w:spacing w:val="-14"/>
          <w:lang w:val="el-GR"/>
        </w:rPr>
        <w:t>/</w:t>
      </w:r>
      <w:proofErr w:type="spellStart"/>
      <w:r w:rsidRPr="00872A1E">
        <w:rPr>
          <w:rFonts w:ascii="Ping LCG Regular" w:hAnsi="Ping LCG Regular" w:cs="Arial"/>
          <w:spacing w:val="-14"/>
          <w:lang w:val="el-GR"/>
        </w:rPr>
        <w:t>MWh</w:t>
      </w:r>
      <w:proofErr w:type="spellEnd"/>
      <w:r w:rsidRPr="00872A1E">
        <w:rPr>
          <w:rFonts w:ascii="Ping LCG Regular" w:hAnsi="Ping LCG Regular" w:cs="Arial"/>
          <w:spacing w:val="-14"/>
          <w:lang w:val="el-GR"/>
        </w:rPr>
        <w:t xml:space="preserve"> το 2022) και των αυξημένων ποσοτήτων αγορών ενέργειας.    </w:t>
      </w:r>
      <w:r w:rsidRPr="00872A1E">
        <w:rPr>
          <w:rFonts w:ascii="Ping LCG Regular" w:hAnsi="Ping LCG Regular" w:cs="Arial"/>
          <w:b/>
          <w:bCs/>
          <w:spacing w:val="-14"/>
          <w:lang w:val="el-GR"/>
        </w:rPr>
        <w:t xml:space="preserve"> </w:t>
      </w:r>
    </w:p>
    <w:p w14:paraId="4782B5BE" w14:textId="77777777" w:rsidR="000D4DE1" w:rsidRPr="00872A1E" w:rsidRDefault="000D4DE1" w:rsidP="000D4DE1">
      <w:pPr>
        <w:widowControl w:val="0"/>
        <w:autoSpaceDE w:val="0"/>
        <w:autoSpaceDN w:val="0"/>
        <w:adjustRightInd w:val="0"/>
        <w:ind w:right="22"/>
        <w:jc w:val="both"/>
        <w:rPr>
          <w:rFonts w:ascii="Ping LCG Regular" w:hAnsi="Ping LCG Regular" w:cs="Arial"/>
          <w:spacing w:val="-14"/>
          <w:lang w:val="el-GR"/>
        </w:rPr>
      </w:pPr>
    </w:p>
    <w:p w14:paraId="7C83265E" w14:textId="6B13680D" w:rsidR="000D4DE1" w:rsidRPr="00872A1E" w:rsidRDefault="000D4DE1" w:rsidP="000D4DE1">
      <w:pPr>
        <w:widowControl w:val="0"/>
        <w:numPr>
          <w:ilvl w:val="0"/>
          <w:numId w:val="3"/>
        </w:numPr>
        <w:autoSpaceDE w:val="0"/>
        <w:autoSpaceDN w:val="0"/>
        <w:adjustRightInd w:val="0"/>
        <w:ind w:left="284" w:right="22" w:hanging="142"/>
        <w:jc w:val="both"/>
        <w:rPr>
          <w:rFonts w:ascii="Ping LCG Regular" w:hAnsi="Ping LCG Regular" w:cs="Arial"/>
          <w:spacing w:val="-14"/>
          <w:lang w:val="el-GR"/>
        </w:rPr>
      </w:pPr>
      <w:r w:rsidRPr="00872A1E">
        <w:rPr>
          <w:rFonts w:ascii="Ping LCG Regular" w:hAnsi="Ping LCG Regular" w:cs="Arial"/>
          <w:spacing w:val="-14"/>
          <w:lang w:val="el-GR"/>
        </w:rPr>
        <w:t>Η δαπάνη για δικαιώματα εκπομπών CO</w:t>
      </w:r>
      <w:r w:rsidRPr="00872A1E">
        <w:rPr>
          <w:rFonts w:ascii="Ping LCG Regular" w:hAnsi="Ping LCG Regular" w:cs="Arial"/>
          <w:spacing w:val="-14"/>
          <w:vertAlign w:val="subscript"/>
          <w:lang w:val="el-GR"/>
        </w:rPr>
        <w:t>2</w:t>
      </w:r>
      <w:r w:rsidRPr="00872A1E">
        <w:rPr>
          <w:rFonts w:ascii="Ping LCG Regular" w:hAnsi="Ping LCG Regular" w:cs="Arial"/>
          <w:spacing w:val="-14"/>
          <w:lang w:val="el-GR"/>
        </w:rPr>
        <w:t xml:space="preserve"> αυξήθηκε σε €</w:t>
      </w:r>
      <w:r w:rsidR="002432CF" w:rsidRPr="00872A1E">
        <w:rPr>
          <w:rFonts w:ascii="Ping LCG Regular" w:hAnsi="Ping LCG Regular" w:cs="Arial"/>
          <w:spacing w:val="-14"/>
          <w:lang w:val="el-GR"/>
        </w:rPr>
        <w:t>1.037,5</w:t>
      </w:r>
      <w:r w:rsidRPr="00872A1E">
        <w:rPr>
          <w:rFonts w:ascii="Ping LCG Regular" w:hAnsi="Ping LCG Regular" w:cs="Arial"/>
          <w:spacing w:val="-14"/>
          <w:lang w:val="el-GR"/>
        </w:rPr>
        <w:t xml:space="preserve"> εκατ. το 2022 από €</w:t>
      </w:r>
      <w:r w:rsidR="002432CF" w:rsidRPr="00872A1E">
        <w:rPr>
          <w:rFonts w:ascii="Ping LCG Regular" w:hAnsi="Ping LCG Regular" w:cs="Arial"/>
          <w:spacing w:val="-14"/>
          <w:lang w:val="el-GR"/>
        </w:rPr>
        <w:t xml:space="preserve">699,2 </w:t>
      </w:r>
      <w:r w:rsidRPr="00872A1E">
        <w:rPr>
          <w:rFonts w:ascii="Ping LCG Regular" w:hAnsi="Ping LCG Regular" w:cs="Arial"/>
          <w:spacing w:val="-14"/>
          <w:lang w:val="el-GR"/>
        </w:rPr>
        <w:t>εκατ. το 2021, λόγω της αύξησης  της μέσης τιμής προμήθειας δικαιωμάτων εκπομπών CO</w:t>
      </w:r>
      <w:r w:rsidRPr="00872A1E">
        <w:rPr>
          <w:rFonts w:ascii="Ping LCG Regular" w:hAnsi="Ping LCG Regular" w:cs="Arial"/>
          <w:spacing w:val="-14"/>
          <w:vertAlign w:val="subscript"/>
          <w:lang w:val="el-GR"/>
        </w:rPr>
        <w:t>2</w:t>
      </w:r>
      <w:r w:rsidRPr="00872A1E">
        <w:rPr>
          <w:rFonts w:ascii="Ping LCG Regular" w:hAnsi="Ping LCG Regular" w:cs="Arial"/>
          <w:spacing w:val="-14"/>
          <w:lang w:val="el-GR"/>
        </w:rPr>
        <w:t xml:space="preserve"> από τη ΔΕΗ σε €</w:t>
      </w:r>
      <w:r w:rsidR="00B00218" w:rsidRPr="00872A1E">
        <w:rPr>
          <w:rFonts w:ascii="Ping LCG Regular" w:hAnsi="Ping LCG Regular" w:cs="Arial"/>
          <w:spacing w:val="-14"/>
          <w:lang w:val="el-GR"/>
        </w:rPr>
        <w:t>72,7</w:t>
      </w:r>
      <w:r w:rsidRPr="00872A1E">
        <w:rPr>
          <w:rFonts w:ascii="Ping LCG Regular" w:hAnsi="Ping LCG Regular" w:cs="Arial"/>
          <w:spacing w:val="-14"/>
          <w:lang w:val="el-GR"/>
        </w:rPr>
        <w:t>/τόνο από €</w:t>
      </w:r>
      <w:r w:rsidR="009E171B" w:rsidRPr="00872A1E">
        <w:rPr>
          <w:rFonts w:ascii="Ping LCG Regular" w:hAnsi="Ping LCG Regular" w:cs="Arial"/>
          <w:spacing w:val="-14"/>
          <w:lang w:val="el-GR"/>
        </w:rPr>
        <w:t>44,9</w:t>
      </w:r>
      <w:r w:rsidRPr="00872A1E">
        <w:rPr>
          <w:rFonts w:ascii="Ping LCG Regular" w:hAnsi="Ping LCG Regular" w:cs="Arial"/>
          <w:spacing w:val="-14"/>
          <w:lang w:val="el-GR"/>
        </w:rPr>
        <w:t>/τόνο παρά τη μείωση των ποσοτήτων CO</w:t>
      </w:r>
      <w:r w:rsidRPr="00872A1E">
        <w:rPr>
          <w:rFonts w:ascii="Ping LCG Regular" w:hAnsi="Ping LCG Regular" w:cs="Arial"/>
          <w:spacing w:val="-14"/>
          <w:vertAlign w:val="subscript"/>
          <w:lang w:val="el-GR"/>
        </w:rPr>
        <w:t>2</w:t>
      </w:r>
      <w:r w:rsidRPr="00872A1E">
        <w:rPr>
          <w:rFonts w:ascii="Ping LCG Regular" w:hAnsi="Ping LCG Regular" w:cs="Arial"/>
          <w:spacing w:val="-14"/>
          <w:lang w:val="el-GR"/>
        </w:rPr>
        <w:t xml:space="preserve">  κατά </w:t>
      </w:r>
      <w:r w:rsidR="009E171B" w:rsidRPr="00872A1E">
        <w:rPr>
          <w:rFonts w:ascii="Ping LCG Regular" w:hAnsi="Ping LCG Regular" w:cs="Arial"/>
          <w:spacing w:val="-14"/>
          <w:lang w:val="el-GR"/>
        </w:rPr>
        <w:t>6,3</w:t>
      </w:r>
      <w:r w:rsidRPr="00872A1E">
        <w:rPr>
          <w:rFonts w:ascii="Ping LCG Regular" w:hAnsi="Ping LCG Regular" w:cs="Arial"/>
          <w:spacing w:val="-14"/>
          <w:lang w:val="el-GR"/>
        </w:rPr>
        <w:t xml:space="preserve">% σε </w:t>
      </w:r>
      <w:r w:rsidR="009E171B" w:rsidRPr="00872A1E">
        <w:rPr>
          <w:rFonts w:ascii="Ping LCG Regular" w:hAnsi="Ping LCG Regular" w:cs="Arial"/>
          <w:spacing w:val="-14"/>
          <w:lang w:val="el-GR"/>
        </w:rPr>
        <w:t>14,8</w:t>
      </w:r>
      <w:r w:rsidRPr="00872A1E">
        <w:rPr>
          <w:rFonts w:ascii="Ping LCG Regular" w:hAnsi="Ping LCG Regular" w:cs="Arial"/>
          <w:spacing w:val="-14"/>
          <w:lang w:val="el-GR"/>
        </w:rPr>
        <w:t xml:space="preserve"> εκατ. τόνους</w:t>
      </w:r>
      <w:r w:rsidR="007653A3" w:rsidRPr="00872A1E">
        <w:rPr>
          <w:rStyle w:val="af9"/>
          <w:rFonts w:ascii="Ping LCG Regular" w:hAnsi="Ping LCG Regular" w:cs="Arial"/>
          <w:spacing w:val="-14"/>
          <w:lang w:val="el-GR"/>
        </w:rPr>
        <w:footnoteReference w:id="2"/>
      </w:r>
      <w:r w:rsidRPr="00872A1E">
        <w:rPr>
          <w:rFonts w:ascii="Ping LCG Regular" w:hAnsi="Ping LCG Regular" w:cs="Arial"/>
          <w:spacing w:val="-14"/>
          <w:lang w:val="el-GR"/>
        </w:rPr>
        <w:t xml:space="preserve">. </w:t>
      </w:r>
    </w:p>
    <w:p w14:paraId="4E63D703" w14:textId="77777777" w:rsidR="000D4DE1" w:rsidRPr="00872A1E" w:rsidRDefault="000D4DE1" w:rsidP="000D4DE1">
      <w:pPr>
        <w:widowControl w:val="0"/>
        <w:autoSpaceDE w:val="0"/>
        <w:autoSpaceDN w:val="0"/>
        <w:adjustRightInd w:val="0"/>
        <w:ind w:right="22"/>
        <w:jc w:val="both"/>
        <w:rPr>
          <w:rFonts w:ascii="Ping LCG Regular" w:hAnsi="Ping LCG Regular" w:cs="Arial"/>
          <w:spacing w:val="-14"/>
          <w:highlight w:val="yellow"/>
          <w:lang w:val="el-GR"/>
        </w:rPr>
      </w:pPr>
    </w:p>
    <w:p w14:paraId="06998FA8" w14:textId="77777777" w:rsidR="00CA1A99" w:rsidRPr="00872A1E" w:rsidRDefault="00CA1A99" w:rsidP="000D4DE1">
      <w:pPr>
        <w:widowControl w:val="0"/>
        <w:autoSpaceDE w:val="0"/>
        <w:autoSpaceDN w:val="0"/>
        <w:adjustRightInd w:val="0"/>
        <w:ind w:right="22"/>
        <w:jc w:val="both"/>
        <w:rPr>
          <w:rFonts w:ascii="Ping LCG Regular" w:hAnsi="Ping LCG Regular" w:cs="Arial"/>
          <w:spacing w:val="-14"/>
          <w:highlight w:val="yellow"/>
          <w:lang w:val="el-GR"/>
        </w:rPr>
      </w:pPr>
    </w:p>
    <w:p w14:paraId="673C7976" w14:textId="62DCCD0E" w:rsidR="000D4DE1" w:rsidRPr="00872A1E" w:rsidRDefault="000D4DE1" w:rsidP="000D4DE1">
      <w:pPr>
        <w:widowControl w:val="0"/>
        <w:autoSpaceDE w:val="0"/>
        <w:autoSpaceDN w:val="0"/>
        <w:adjustRightInd w:val="0"/>
        <w:ind w:left="1" w:right="18"/>
        <w:rPr>
          <w:rFonts w:ascii="Ping LCG Regular" w:hAnsi="Ping LCG Regular" w:cs="Arial"/>
          <w:bCs/>
          <w:spacing w:val="-14"/>
          <w:u w:val="single"/>
          <w:lang w:val="el-GR"/>
        </w:rPr>
      </w:pPr>
      <w:bookmarkStart w:id="8" w:name="_Hlk81171604"/>
      <w:r w:rsidRPr="00872A1E">
        <w:rPr>
          <w:rFonts w:ascii="Ping LCG Regular" w:hAnsi="Ping LCG Regular" w:cs="Arial"/>
          <w:bCs/>
          <w:spacing w:val="-14"/>
          <w:u w:val="single"/>
          <w:lang w:val="el-GR"/>
        </w:rPr>
        <w:t xml:space="preserve">Δαπάνες Μισθοδοσίας </w:t>
      </w:r>
    </w:p>
    <w:p w14:paraId="160C88E0" w14:textId="77777777" w:rsidR="000D4DE1" w:rsidRPr="00872A1E" w:rsidRDefault="000D4DE1" w:rsidP="000D4DE1">
      <w:pPr>
        <w:widowControl w:val="0"/>
        <w:autoSpaceDE w:val="0"/>
        <w:autoSpaceDN w:val="0"/>
        <w:adjustRightInd w:val="0"/>
        <w:ind w:left="1" w:right="18"/>
        <w:rPr>
          <w:rFonts w:ascii="Ping LCG Regular" w:hAnsi="Ping LCG Regular" w:cs="Arial"/>
          <w:bCs/>
          <w:spacing w:val="-14"/>
          <w:u w:val="single"/>
          <w:lang w:val="el-GR"/>
        </w:rPr>
      </w:pPr>
    </w:p>
    <w:p w14:paraId="37D983F8" w14:textId="1F8EF46B" w:rsidR="00CA1A99" w:rsidRPr="00872A1E" w:rsidRDefault="00CA1A99" w:rsidP="00CA1A99">
      <w:pPr>
        <w:widowControl w:val="0"/>
        <w:autoSpaceDE w:val="0"/>
        <w:autoSpaceDN w:val="0"/>
        <w:adjustRightInd w:val="0"/>
        <w:ind w:left="1" w:right="18"/>
        <w:jc w:val="both"/>
        <w:rPr>
          <w:rFonts w:ascii="Ping LCG Regular" w:hAnsi="Ping LCG Regular" w:cs="Arial"/>
          <w:bCs/>
          <w:spacing w:val="-14"/>
          <w:lang w:val="el-GR"/>
        </w:rPr>
      </w:pPr>
      <w:r w:rsidRPr="00872A1E">
        <w:rPr>
          <w:rFonts w:ascii="Ping LCG Regular" w:hAnsi="Ping LCG Regular" w:cs="Arial"/>
          <w:bCs/>
          <w:spacing w:val="-14"/>
          <w:lang w:val="el-GR"/>
        </w:rPr>
        <w:t>Η δαπάνη μισθοδοσίας χωρίς τις εφάπαξ επιπτώσεις, αυξήθηκε κατά €3</w:t>
      </w:r>
      <w:r w:rsidR="004D3B96" w:rsidRPr="00872A1E">
        <w:rPr>
          <w:rFonts w:ascii="Ping LCG Regular" w:hAnsi="Ping LCG Regular" w:cs="Arial"/>
          <w:bCs/>
          <w:spacing w:val="-14"/>
          <w:lang w:val="el-GR"/>
        </w:rPr>
        <w:t>1</w:t>
      </w:r>
      <w:r w:rsidR="00B30591" w:rsidRPr="00872A1E">
        <w:rPr>
          <w:rFonts w:ascii="Ping LCG Regular" w:hAnsi="Ping LCG Regular" w:cs="Arial"/>
          <w:bCs/>
          <w:spacing w:val="-14"/>
          <w:lang w:val="el-GR"/>
        </w:rPr>
        <w:t>,</w:t>
      </w:r>
      <w:r w:rsidR="008A4A80" w:rsidRPr="00872A1E">
        <w:rPr>
          <w:rFonts w:ascii="Ping LCG Regular" w:hAnsi="Ping LCG Regular" w:cs="Arial"/>
          <w:bCs/>
          <w:spacing w:val="-14"/>
          <w:lang w:val="el-GR"/>
        </w:rPr>
        <w:t>8</w:t>
      </w:r>
      <w:r w:rsidRPr="00872A1E">
        <w:rPr>
          <w:rFonts w:ascii="Ping LCG Regular" w:hAnsi="Ping LCG Regular" w:cs="Arial"/>
          <w:bCs/>
          <w:spacing w:val="-14"/>
          <w:lang w:val="el-GR"/>
        </w:rPr>
        <w:t xml:space="preserve"> εκατ. σε €71</w:t>
      </w:r>
      <w:r w:rsidR="0089174D" w:rsidRPr="00872A1E">
        <w:rPr>
          <w:rFonts w:ascii="Ping LCG Regular" w:hAnsi="Ping LCG Regular" w:cs="Arial"/>
          <w:bCs/>
          <w:spacing w:val="-14"/>
          <w:lang w:val="el-GR"/>
        </w:rPr>
        <w:t>1</w:t>
      </w:r>
      <w:r w:rsidRPr="00872A1E">
        <w:rPr>
          <w:rFonts w:ascii="Ping LCG Regular" w:hAnsi="Ping LCG Regular" w:cs="Arial"/>
          <w:bCs/>
          <w:spacing w:val="-14"/>
          <w:lang w:val="el-GR"/>
        </w:rPr>
        <w:t>,</w:t>
      </w:r>
      <w:r w:rsidR="0089174D" w:rsidRPr="00872A1E">
        <w:rPr>
          <w:rFonts w:ascii="Ping LCG Regular" w:hAnsi="Ping LCG Regular" w:cs="Arial"/>
          <w:bCs/>
          <w:spacing w:val="-14"/>
          <w:lang w:val="el-GR"/>
        </w:rPr>
        <w:t>5</w:t>
      </w:r>
      <w:r w:rsidRPr="00872A1E">
        <w:rPr>
          <w:rFonts w:ascii="Ping LCG Regular" w:hAnsi="Ping LCG Regular" w:cs="Arial"/>
          <w:bCs/>
          <w:spacing w:val="-14"/>
          <w:lang w:val="el-GR"/>
        </w:rPr>
        <w:t xml:space="preserve"> εκατ. το  2022 από €679,7 εκατ. το 2021 λόγω της άρσης του πλαφόν στη μισθοδοσία του προσωπικού του Ομίλου καθώς και της </w:t>
      </w:r>
      <w:proofErr w:type="spellStart"/>
      <w:r w:rsidRPr="00872A1E">
        <w:rPr>
          <w:rFonts w:ascii="Ping LCG Regular" w:hAnsi="Ping LCG Regular" w:cs="Arial"/>
          <w:bCs/>
          <w:spacing w:val="-14"/>
          <w:lang w:val="el-GR"/>
        </w:rPr>
        <w:t>επαναχορήγησης</w:t>
      </w:r>
      <w:proofErr w:type="spellEnd"/>
      <w:r w:rsidRPr="00872A1E">
        <w:rPr>
          <w:rFonts w:ascii="Ping LCG Regular" w:hAnsi="Ping LCG Regular" w:cs="Arial"/>
          <w:bCs/>
          <w:spacing w:val="-14"/>
          <w:lang w:val="el-GR"/>
        </w:rPr>
        <w:t xml:space="preserve"> δώρων Χριστουγέννων και Πάσχα. </w:t>
      </w:r>
    </w:p>
    <w:p w14:paraId="0A3AC680" w14:textId="3C82C282" w:rsidR="000D4DE1" w:rsidRPr="00872A1E" w:rsidRDefault="00CA1A99" w:rsidP="00CA1A99">
      <w:pPr>
        <w:widowControl w:val="0"/>
        <w:autoSpaceDE w:val="0"/>
        <w:autoSpaceDN w:val="0"/>
        <w:adjustRightInd w:val="0"/>
        <w:ind w:left="1" w:right="18"/>
        <w:jc w:val="both"/>
        <w:rPr>
          <w:rFonts w:ascii="Ping LCG Regular" w:hAnsi="Ping LCG Regular" w:cs="Arial"/>
          <w:bCs/>
          <w:spacing w:val="-14"/>
          <w:lang w:val="el-GR"/>
        </w:rPr>
      </w:pPr>
      <w:r w:rsidRPr="00872A1E">
        <w:rPr>
          <w:rFonts w:ascii="Ping LCG Regular" w:hAnsi="Ping LCG Regular" w:cs="Arial"/>
          <w:bCs/>
          <w:spacing w:val="-14"/>
          <w:lang w:val="el-GR"/>
        </w:rPr>
        <w:t>Το μισθοδοτούμενο τακτικό προσωπικό μειώθηκε κατά 154 εργαζόμενους (από 12.909 εργαζόμενους στο τέλος του 2021 σε 12.755 εργαζομένους στο τέλος του 2022).</w:t>
      </w:r>
    </w:p>
    <w:p w14:paraId="3C740140" w14:textId="77777777" w:rsidR="000D34D6" w:rsidRPr="00872A1E" w:rsidRDefault="000D34D6" w:rsidP="00CA1A99">
      <w:pPr>
        <w:widowControl w:val="0"/>
        <w:autoSpaceDE w:val="0"/>
        <w:autoSpaceDN w:val="0"/>
        <w:adjustRightInd w:val="0"/>
        <w:ind w:left="1" w:right="18"/>
        <w:jc w:val="both"/>
        <w:rPr>
          <w:rFonts w:ascii="Ping LCG Regular" w:hAnsi="Ping LCG Regular" w:cs="Arial"/>
          <w:bCs/>
          <w:spacing w:val="-14"/>
          <w:lang w:val="el-GR"/>
        </w:rPr>
      </w:pPr>
    </w:p>
    <w:p w14:paraId="3F7C3B09" w14:textId="77777777" w:rsidR="00A74668" w:rsidRPr="00872A1E" w:rsidRDefault="00A74668" w:rsidP="00CA1A99">
      <w:pPr>
        <w:widowControl w:val="0"/>
        <w:autoSpaceDE w:val="0"/>
        <w:autoSpaceDN w:val="0"/>
        <w:adjustRightInd w:val="0"/>
        <w:ind w:left="1" w:right="18"/>
        <w:jc w:val="both"/>
        <w:rPr>
          <w:rFonts w:ascii="Ping LCG Regular" w:hAnsi="Ping LCG Regular" w:cs="Arial"/>
          <w:bCs/>
          <w:spacing w:val="-14"/>
          <w:lang w:val="el-GR"/>
        </w:rPr>
      </w:pPr>
    </w:p>
    <w:p w14:paraId="0BDDDC31" w14:textId="77777777" w:rsidR="000D4DE1" w:rsidRPr="00872A1E" w:rsidRDefault="000D4DE1" w:rsidP="000D4DE1">
      <w:pPr>
        <w:rPr>
          <w:rFonts w:ascii="Ping LCG Regular" w:hAnsi="Ping LCG Regular" w:cs="Arial"/>
          <w:bCs/>
          <w:spacing w:val="-14"/>
          <w:u w:val="single"/>
          <w:lang w:val="el-GR"/>
        </w:rPr>
      </w:pPr>
      <w:r w:rsidRPr="00872A1E">
        <w:rPr>
          <w:rFonts w:ascii="Ping LCG Regular" w:hAnsi="Ping LCG Regular" w:cs="Arial"/>
          <w:bCs/>
          <w:spacing w:val="-14"/>
          <w:u w:val="single"/>
          <w:lang w:val="el-GR"/>
        </w:rPr>
        <w:t>Προβλέψεις</w:t>
      </w:r>
    </w:p>
    <w:p w14:paraId="59550669" w14:textId="77777777" w:rsidR="000D4DE1" w:rsidRPr="00872A1E" w:rsidRDefault="000D4DE1" w:rsidP="000D4DE1">
      <w:pPr>
        <w:rPr>
          <w:rFonts w:ascii="Ping LCG Regular" w:hAnsi="Ping LCG Regular" w:cs="Arial"/>
          <w:bCs/>
          <w:spacing w:val="-14"/>
          <w:lang w:val="el-GR"/>
        </w:rPr>
      </w:pPr>
    </w:p>
    <w:p w14:paraId="2DE3D658" w14:textId="172B5F4B" w:rsidR="000D4DE1" w:rsidRPr="00872A1E" w:rsidRDefault="000D4DE1" w:rsidP="00802F0D">
      <w:pPr>
        <w:jc w:val="both"/>
        <w:rPr>
          <w:rFonts w:ascii="Ping LCG Regular" w:hAnsi="Ping LCG Regular" w:cs="Arial"/>
          <w:b/>
          <w:spacing w:val="-14"/>
          <w:lang w:val="el-GR"/>
        </w:rPr>
      </w:pPr>
      <w:r w:rsidRPr="00872A1E">
        <w:rPr>
          <w:rFonts w:ascii="Ping LCG Regular" w:hAnsi="Ping LCG Regular" w:cs="Arial"/>
          <w:bCs/>
          <w:spacing w:val="-14"/>
          <w:lang w:val="el-GR"/>
        </w:rPr>
        <w:lastRenderedPageBreak/>
        <w:t>Το 2022  καταγράφηκε αύξηση των προβλέψεων για επισφαλείς απαιτήσεις πελατών κατά €</w:t>
      </w:r>
      <w:r w:rsidR="00902DB4" w:rsidRPr="00872A1E">
        <w:rPr>
          <w:rFonts w:ascii="Ping LCG Regular" w:hAnsi="Ping LCG Regular" w:cs="Arial"/>
          <w:bCs/>
          <w:spacing w:val="-14"/>
          <w:lang w:val="el-GR"/>
        </w:rPr>
        <w:t>207,5</w:t>
      </w:r>
      <w:r w:rsidRPr="00872A1E">
        <w:rPr>
          <w:rFonts w:ascii="Ping LCG Regular" w:hAnsi="Ping LCG Regular" w:cs="Arial"/>
          <w:bCs/>
          <w:spacing w:val="-14"/>
          <w:lang w:val="el-GR"/>
        </w:rPr>
        <w:t xml:space="preserve"> εκατ. έναντι αντιστροφής προβλέψεων το 2021 ύψους €</w:t>
      </w:r>
      <w:r w:rsidR="00902DB4" w:rsidRPr="00872A1E">
        <w:rPr>
          <w:rFonts w:ascii="Ping LCG Regular" w:hAnsi="Ping LCG Regular" w:cs="Arial"/>
          <w:bCs/>
          <w:spacing w:val="-14"/>
          <w:lang w:val="el-GR"/>
        </w:rPr>
        <w:t>59</w:t>
      </w:r>
      <w:r w:rsidR="00802F0D" w:rsidRPr="00872A1E">
        <w:rPr>
          <w:rFonts w:ascii="Ping LCG Regular" w:hAnsi="Ping LCG Regular" w:cs="Arial"/>
          <w:bCs/>
          <w:spacing w:val="-14"/>
          <w:lang w:val="el-GR"/>
        </w:rPr>
        <w:t>,7</w:t>
      </w:r>
      <w:r w:rsidRPr="00872A1E">
        <w:rPr>
          <w:rFonts w:ascii="Ping LCG Regular" w:hAnsi="Ping LCG Regular" w:cs="Arial"/>
          <w:bCs/>
          <w:spacing w:val="-14"/>
          <w:lang w:val="el-GR"/>
        </w:rPr>
        <w:t xml:space="preserve"> εκατ. </w:t>
      </w:r>
      <w:bookmarkEnd w:id="8"/>
      <w:r w:rsidRPr="00872A1E">
        <w:rPr>
          <w:rFonts w:ascii="Ping LCG Regular" w:hAnsi="Ping LCG Regular" w:cs="Arial"/>
          <w:b/>
          <w:bCs/>
          <w:spacing w:val="-14"/>
          <w:lang w:val="el-GR"/>
        </w:rPr>
        <w:t xml:space="preserve"> </w:t>
      </w:r>
    </w:p>
    <w:p w14:paraId="18A2AC89" w14:textId="77777777" w:rsidR="000D4DE1" w:rsidRPr="00872A1E" w:rsidRDefault="000D4DE1" w:rsidP="000D4DE1">
      <w:pPr>
        <w:rPr>
          <w:rFonts w:ascii="Ping LCG Regular" w:hAnsi="Ping LCG Regular" w:cs="Arial"/>
          <w:b/>
          <w:spacing w:val="-14"/>
          <w:lang w:val="el-GR"/>
        </w:rPr>
      </w:pPr>
    </w:p>
    <w:p w14:paraId="33C1D0F2" w14:textId="77777777" w:rsidR="000D4DE1" w:rsidRPr="00872A1E" w:rsidRDefault="000D4DE1" w:rsidP="000D4DE1">
      <w:pPr>
        <w:rPr>
          <w:rFonts w:ascii="Ping LCG Regular" w:hAnsi="Ping LCG Regular" w:cs="Arial"/>
          <w:b/>
          <w:spacing w:val="-14"/>
          <w:lang w:val="el-GR"/>
        </w:rPr>
      </w:pPr>
      <w:r w:rsidRPr="00872A1E">
        <w:rPr>
          <w:rFonts w:ascii="Ping LCG Regular" w:hAnsi="Ping LCG Regular" w:cs="Arial"/>
          <w:b/>
          <w:spacing w:val="-14"/>
          <w:lang w:val="el-GR"/>
        </w:rPr>
        <w:t>Εφάπαξ επιπτώσεις στο EBITDA</w:t>
      </w:r>
    </w:p>
    <w:p w14:paraId="2D79B134" w14:textId="77777777" w:rsidR="000D4DE1" w:rsidRPr="00872A1E" w:rsidRDefault="000D4DE1" w:rsidP="000D4DE1">
      <w:pPr>
        <w:jc w:val="both"/>
        <w:rPr>
          <w:rFonts w:ascii="Ping LCG Regular" w:hAnsi="Ping LCG Regular" w:cs="Arial"/>
          <w:spacing w:val="-14"/>
          <w:lang w:val="el-GR"/>
        </w:rPr>
      </w:pPr>
    </w:p>
    <w:p w14:paraId="251E440E" w14:textId="77777777" w:rsidR="008E41E5" w:rsidRPr="00872A1E" w:rsidRDefault="008E41E5" w:rsidP="008E41E5">
      <w:pPr>
        <w:jc w:val="both"/>
        <w:rPr>
          <w:rFonts w:ascii="Ping LCG Regular" w:hAnsi="Ping LCG Regular" w:cs="Arial"/>
          <w:spacing w:val="-14"/>
          <w:lang w:val="el-GR"/>
        </w:rPr>
      </w:pPr>
      <w:r w:rsidRPr="00872A1E">
        <w:rPr>
          <w:rFonts w:ascii="Ping LCG Regular" w:hAnsi="Ping LCG Regular" w:cs="Arial"/>
          <w:spacing w:val="-14"/>
          <w:lang w:val="el-GR"/>
        </w:rPr>
        <w:t xml:space="preserve">Το </w:t>
      </w:r>
      <w:r w:rsidRPr="00872A1E">
        <w:rPr>
          <w:rFonts w:ascii="Ping LCG Regular" w:hAnsi="Ping LCG Regular" w:cs="Arial"/>
          <w:spacing w:val="-14"/>
        </w:rPr>
        <w:t>EBITDA</w:t>
      </w:r>
      <w:r w:rsidRPr="00872A1E">
        <w:rPr>
          <w:rFonts w:ascii="Ping LCG Regular" w:hAnsi="Ping LCG Regular" w:cs="Arial"/>
          <w:spacing w:val="-14"/>
          <w:lang w:val="el-GR"/>
        </w:rPr>
        <w:t xml:space="preserve"> του 2022, επηρεάστηκε αρνητικά: </w:t>
      </w:r>
    </w:p>
    <w:p w14:paraId="152597CB" w14:textId="6EC87125" w:rsidR="008E41E5" w:rsidRPr="00872A1E" w:rsidRDefault="008E41E5" w:rsidP="008E41E5">
      <w:pPr>
        <w:pStyle w:val="af1"/>
        <w:numPr>
          <w:ilvl w:val="0"/>
          <w:numId w:val="15"/>
        </w:numPr>
        <w:jc w:val="both"/>
        <w:rPr>
          <w:rFonts w:ascii="Ping LCG Regular" w:hAnsi="Ping LCG Regular" w:cs="Arial"/>
          <w:spacing w:val="-14"/>
        </w:rPr>
      </w:pPr>
      <w:r w:rsidRPr="00872A1E">
        <w:rPr>
          <w:rFonts w:ascii="Ping LCG Regular" w:hAnsi="Ping LCG Regular" w:cs="Arial"/>
          <w:spacing w:val="-14"/>
        </w:rPr>
        <w:t xml:space="preserve">από το ποσό έκτακτης εισφοράς που επιβλήθηκε στους παραγωγούς ηλεκτρικής ενέργειας  για την περίοδο Οκτωβρίου 2021 – Ιουνίου 2022 και το οποίο για τη ΔΕΗ αρχικά προσδιορίστηκε σε €276 εκατ. και μετά την τελική εκκαθάριση μειώθηκε σε €245,3 εκατ. </w:t>
      </w:r>
    </w:p>
    <w:p w14:paraId="5E3CFDE4" w14:textId="2A6B8A7E" w:rsidR="008E41E5" w:rsidRPr="00872A1E" w:rsidRDefault="008E41E5" w:rsidP="008E41E5">
      <w:pPr>
        <w:pStyle w:val="af1"/>
        <w:numPr>
          <w:ilvl w:val="0"/>
          <w:numId w:val="15"/>
        </w:numPr>
        <w:jc w:val="both"/>
        <w:rPr>
          <w:rFonts w:ascii="Ping LCG Regular" w:hAnsi="Ping LCG Regular" w:cs="Arial"/>
          <w:spacing w:val="-14"/>
        </w:rPr>
      </w:pPr>
      <w:r w:rsidRPr="00872A1E">
        <w:rPr>
          <w:rFonts w:ascii="Ping LCG Regular" w:hAnsi="Ping LCG Regular" w:cs="Arial"/>
          <w:spacing w:val="-14"/>
        </w:rPr>
        <w:t xml:space="preserve">από την πρόβλεψη για αποζημιώσεις προσωπικού ύψους €50,5 εκατ. η οποία καταγράφηκε  στο δ’ τρίμηνο 2022 </w:t>
      </w:r>
      <w:r w:rsidR="00FF6D28" w:rsidRPr="00872A1E">
        <w:rPr>
          <w:rFonts w:ascii="Ping LCG Regular" w:hAnsi="Ping LCG Regular" w:cs="Arial"/>
          <w:spacing w:val="-14"/>
        </w:rPr>
        <w:t>καθώς επίσης και</w:t>
      </w:r>
    </w:p>
    <w:p w14:paraId="26AEB9C4" w14:textId="5930D14C" w:rsidR="007428C6" w:rsidRPr="00872A1E" w:rsidRDefault="007428C6" w:rsidP="008E41E5">
      <w:pPr>
        <w:pStyle w:val="af1"/>
        <w:numPr>
          <w:ilvl w:val="0"/>
          <w:numId w:val="15"/>
        </w:numPr>
        <w:jc w:val="both"/>
        <w:rPr>
          <w:rFonts w:ascii="Ping LCG Regular" w:hAnsi="Ping LCG Regular" w:cs="Arial"/>
          <w:spacing w:val="-14"/>
        </w:rPr>
      </w:pPr>
      <w:bookmarkStart w:id="9" w:name="_Hlk129884150"/>
      <w:r w:rsidRPr="00872A1E">
        <w:rPr>
          <w:rFonts w:ascii="Ping LCG Regular" w:hAnsi="Ping LCG Regular" w:cs="Arial"/>
          <w:spacing w:val="-14"/>
        </w:rPr>
        <w:t>από την αναδρομική χρέωση ύψους €6,6 εκατ.  λόγω ανάκτησης ειδικών επιδομάτων από την εφαρμογή της ΕΣΣΕ 2021-2024</w:t>
      </w:r>
    </w:p>
    <w:bookmarkEnd w:id="9"/>
    <w:p w14:paraId="64E5080A" w14:textId="77777777" w:rsidR="008E41E5" w:rsidRPr="00872A1E" w:rsidRDefault="008E41E5" w:rsidP="008E41E5">
      <w:pPr>
        <w:jc w:val="both"/>
        <w:rPr>
          <w:rFonts w:ascii="Ping LCG Regular" w:hAnsi="Ping LCG Regular" w:cs="Arial"/>
          <w:spacing w:val="-14"/>
          <w:lang w:val="el-GR"/>
        </w:rPr>
      </w:pPr>
      <w:r w:rsidRPr="00872A1E">
        <w:rPr>
          <w:rFonts w:ascii="Ping LCG Regular" w:hAnsi="Ping LCG Regular" w:cs="Arial"/>
          <w:spacing w:val="-14"/>
          <w:lang w:val="el-GR"/>
        </w:rPr>
        <w:t xml:space="preserve">Αντίστοιχα, το </w:t>
      </w:r>
      <w:r w:rsidRPr="00872A1E">
        <w:rPr>
          <w:rFonts w:ascii="Ping LCG Regular" w:hAnsi="Ping LCG Regular" w:cs="Arial"/>
          <w:spacing w:val="-14"/>
        </w:rPr>
        <w:t>EBITDA</w:t>
      </w:r>
      <w:r w:rsidRPr="00872A1E">
        <w:rPr>
          <w:rFonts w:ascii="Ping LCG Regular" w:hAnsi="Ping LCG Regular" w:cs="Arial"/>
          <w:spacing w:val="-14"/>
          <w:lang w:val="el-GR"/>
        </w:rPr>
        <w:t xml:space="preserve"> του 2021, επηρεάστηκε αρνητικά: </w:t>
      </w:r>
    </w:p>
    <w:p w14:paraId="41725D45" w14:textId="77777777" w:rsidR="008E41E5" w:rsidRPr="00872A1E" w:rsidRDefault="008E41E5" w:rsidP="008E41E5">
      <w:pPr>
        <w:pStyle w:val="af1"/>
        <w:numPr>
          <w:ilvl w:val="0"/>
          <w:numId w:val="16"/>
        </w:numPr>
        <w:jc w:val="both"/>
        <w:rPr>
          <w:rFonts w:ascii="Ping LCG Regular" w:hAnsi="Ping LCG Regular" w:cs="Arial"/>
          <w:spacing w:val="-14"/>
        </w:rPr>
      </w:pPr>
      <w:r w:rsidRPr="00872A1E">
        <w:rPr>
          <w:rFonts w:ascii="Ping LCG Regular" w:hAnsi="Ping LCG Regular" w:cs="Arial"/>
          <w:spacing w:val="-14"/>
        </w:rPr>
        <w:t xml:space="preserve">από την αναδρομική χρέωση ύψους €34,6 εκατ.  λόγω ανάκτησης ειδικών επιδομάτων από την εφαρμογή της ΕΣΣΕ 2021-2024 και </w:t>
      </w:r>
    </w:p>
    <w:p w14:paraId="5B7100A6" w14:textId="77777777" w:rsidR="008E41E5" w:rsidRPr="00872A1E" w:rsidRDefault="008E41E5" w:rsidP="008E41E5">
      <w:pPr>
        <w:pStyle w:val="af1"/>
        <w:numPr>
          <w:ilvl w:val="0"/>
          <w:numId w:val="16"/>
        </w:numPr>
        <w:jc w:val="both"/>
        <w:rPr>
          <w:rFonts w:ascii="Ping LCG Regular" w:hAnsi="Ping LCG Regular" w:cs="Arial"/>
          <w:spacing w:val="-14"/>
        </w:rPr>
      </w:pPr>
      <w:r w:rsidRPr="00872A1E">
        <w:rPr>
          <w:rFonts w:ascii="Ping LCG Regular" w:hAnsi="Ping LCG Regular" w:cs="Arial"/>
          <w:spacing w:val="-14"/>
        </w:rPr>
        <w:t xml:space="preserve">από την πρόβλεψη για αποζημιώσεις προσωπικού ύψους €16,1 εκατ. </w:t>
      </w:r>
      <w:r w:rsidRPr="00872A1E">
        <w:rPr>
          <w:rFonts w:ascii="Ping LCG Regular" w:hAnsi="Ping LCG Regular" w:cs="Arial"/>
          <w:strike/>
          <w:spacing w:val="-14"/>
        </w:rPr>
        <w:t xml:space="preserve"> </w:t>
      </w:r>
    </w:p>
    <w:p w14:paraId="2315D1B3" w14:textId="77777777" w:rsidR="000D4DE1" w:rsidRPr="00872A1E" w:rsidRDefault="000D4DE1" w:rsidP="000D4DE1">
      <w:pPr>
        <w:widowControl w:val="0"/>
        <w:autoSpaceDE w:val="0"/>
        <w:autoSpaceDN w:val="0"/>
        <w:adjustRightInd w:val="0"/>
        <w:ind w:right="20"/>
        <w:jc w:val="both"/>
        <w:rPr>
          <w:rFonts w:ascii="Ping LCG Regular" w:hAnsi="Ping LCG Regular" w:cs="Arial"/>
          <w:b/>
          <w:spacing w:val="-14"/>
          <w:lang w:val="el-GR"/>
        </w:rPr>
      </w:pPr>
    </w:p>
    <w:p w14:paraId="171A833E" w14:textId="77777777" w:rsidR="000D4DE1" w:rsidRPr="00872A1E" w:rsidRDefault="000D4DE1" w:rsidP="000D4DE1">
      <w:pPr>
        <w:widowControl w:val="0"/>
        <w:autoSpaceDE w:val="0"/>
        <w:autoSpaceDN w:val="0"/>
        <w:adjustRightInd w:val="0"/>
        <w:ind w:right="20"/>
        <w:jc w:val="both"/>
        <w:rPr>
          <w:rFonts w:ascii="Ping LCG Regular" w:hAnsi="Ping LCG Regular" w:cs="Arial"/>
          <w:b/>
          <w:spacing w:val="-14"/>
          <w:lang w:val="el-GR"/>
        </w:rPr>
      </w:pPr>
      <w:bookmarkStart w:id="10" w:name="_Hlk81171663"/>
      <w:r w:rsidRPr="00872A1E">
        <w:rPr>
          <w:rFonts w:ascii="Ping LCG Regular" w:hAnsi="Ping LCG Regular" w:cs="Arial"/>
          <w:b/>
          <w:spacing w:val="-14"/>
          <w:lang w:val="el-GR"/>
        </w:rPr>
        <w:t>Επενδύσεις</w:t>
      </w:r>
    </w:p>
    <w:p w14:paraId="6F299260" w14:textId="77777777" w:rsidR="000D4DE1" w:rsidRPr="00872A1E" w:rsidRDefault="000D4DE1" w:rsidP="000D4DE1">
      <w:pPr>
        <w:widowControl w:val="0"/>
        <w:autoSpaceDE w:val="0"/>
        <w:autoSpaceDN w:val="0"/>
        <w:adjustRightInd w:val="0"/>
        <w:ind w:right="18"/>
        <w:jc w:val="both"/>
        <w:rPr>
          <w:rFonts w:ascii="Ping LCG Regular" w:hAnsi="Ping LCG Regular" w:cs="Arial"/>
          <w:spacing w:val="-14"/>
          <w:lang w:val="el-GR"/>
        </w:rPr>
      </w:pPr>
    </w:p>
    <w:p w14:paraId="28E15733" w14:textId="19AA2568" w:rsidR="000D4DE1" w:rsidRPr="00872A1E" w:rsidRDefault="000D4DE1" w:rsidP="000D4DE1">
      <w:pPr>
        <w:widowControl w:val="0"/>
        <w:autoSpaceDE w:val="0"/>
        <w:autoSpaceDN w:val="0"/>
        <w:adjustRightInd w:val="0"/>
        <w:ind w:right="18"/>
        <w:jc w:val="both"/>
        <w:rPr>
          <w:rFonts w:ascii="Ping LCG Regular" w:hAnsi="Ping LCG Regular" w:cs="Arial"/>
          <w:spacing w:val="-14"/>
          <w:lang w:val="el-GR"/>
        </w:rPr>
      </w:pPr>
      <w:r w:rsidRPr="00872A1E">
        <w:rPr>
          <w:rFonts w:ascii="Ping LCG Regular" w:hAnsi="Ping LCG Regular" w:cs="Arial"/>
          <w:spacing w:val="-14"/>
          <w:lang w:val="el-GR"/>
        </w:rPr>
        <w:t>Οι συνολικές επενδύσεις το 2022 διαμορφώθηκαν σε €</w:t>
      </w:r>
      <w:r w:rsidR="00F44646" w:rsidRPr="00872A1E">
        <w:rPr>
          <w:rFonts w:ascii="Ping LCG Regular" w:hAnsi="Ping LCG Regular" w:cs="Arial"/>
          <w:spacing w:val="-14"/>
          <w:lang w:val="el-GR"/>
        </w:rPr>
        <w:t>686,2</w:t>
      </w:r>
      <w:r w:rsidRPr="00872A1E">
        <w:rPr>
          <w:rFonts w:ascii="Ping LCG Regular" w:hAnsi="Ping LCG Regular" w:cs="Arial"/>
          <w:spacing w:val="-14"/>
          <w:lang w:val="el-GR"/>
        </w:rPr>
        <w:t xml:space="preserve"> εκατ. έναντι €</w:t>
      </w:r>
      <w:r w:rsidR="00F44646" w:rsidRPr="00872A1E">
        <w:rPr>
          <w:rFonts w:ascii="Ping LCG Regular" w:hAnsi="Ping LCG Regular" w:cs="Arial"/>
          <w:spacing w:val="-14"/>
          <w:lang w:val="el-GR"/>
        </w:rPr>
        <w:t>437,</w:t>
      </w:r>
      <w:r w:rsidR="0092405C" w:rsidRPr="00872A1E">
        <w:rPr>
          <w:rFonts w:ascii="Ping LCG Regular" w:hAnsi="Ping LCG Regular" w:cs="Arial"/>
          <w:spacing w:val="-14"/>
          <w:lang w:val="el-GR"/>
        </w:rPr>
        <w:t>9</w:t>
      </w:r>
      <w:r w:rsidRPr="00872A1E">
        <w:rPr>
          <w:rFonts w:ascii="Ping LCG Regular" w:hAnsi="Ping LCG Regular" w:cs="Arial"/>
          <w:spacing w:val="-14"/>
          <w:lang w:val="el-GR"/>
        </w:rPr>
        <w:t xml:space="preserve"> εκατ. το 2021. </w:t>
      </w:r>
    </w:p>
    <w:p w14:paraId="67DB0FC6" w14:textId="77777777" w:rsidR="000D4DE1" w:rsidRPr="00872A1E" w:rsidRDefault="000D4DE1" w:rsidP="000D4DE1">
      <w:pPr>
        <w:widowControl w:val="0"/>
        <w:autoSpaceDE w:val="0"/>
        <w:autoSpaceDN w:val="0"/>
        <w:adjustRightInd w:val="0"/>
        <w:ind w:right="18"/>
        <w:jc w:val="both"/>
        <w:rPr>
          <w:rFonts w:ascii="Ping LCG Regular" w:hAnsi="Ping LCG Regular" w:cs="Arial"/>
          <w:spacing w:val="-14"/>
          <w:lang w:val="el-GR"/>
        </w:rPr>
      </w:pPr>
      <w:r w:rsidRPr="00872A1E">
        <w:rPr>
          <w:rFonts w:ascii="Ping LCG Regular" w:hAnsi="Ping LCG Regular" w:cs="Arial"/>
          <w:spacing w:val="-14"/>
          <w:lang w:val="el-GR"/>
        </w:rPr>
        <w:t xml:space="preserve">Όπως φαίνεται και στον παρακάτω πίνακα, μεγάλο μέρος της αύξησης οφείλεται στις αυξημένες επενδύσεις σε έργα για το Δίκτυο Διανομής, καθώς και σε έργα ΑΠΕ. </w:t>
      </w:r>
    </w:p>
    <w:p w14:paraId="59F90D5F" w14:textId="77777777" w:rsidR="000D4DE1" w:rsidRPr="00872A1E" w:rsidRDefault="000D4DE1" w:rsidP="000D4DE1">
      <w:pPr>
        <w:autoSpaceDE w:val="0"/>
        <w:autoSpaceDN w:val="0"/>
        <w:ind w:right="18"/>
        <w:jc w:val="both"/>
        <w:rPr>
          <w:rFonts w:ascii="Ping LCG Regular" w:hAnsi="Ping LCG Regular" w:cs="Arial"/>
          <w:spacing w:val="-14"/>
          <w:lang w:val="el-GR"/>
        </w:rPr>
      </w:pPr>
      <w:bookmarkStart w:id="11" w:name="_Hlk68249913"/>
      <w:r w:rsidRPr="00872A1E">
        <w:rPr>
          <w:rFonts w:ascii="Ping LCG Regular" w:hAnsi="Ping LCG Regular" w:cs="Arial"/>
          <w:spacing w:val="-14"/>
          <w:lang w:val="el-GR"/>
        </w:rPr>
        <w:t>Η σύνθεση των κύριων επενδύσεων έχει ως εξής :</w:t>
      </w:r>
    </w:p>
    <w:p w14:paraId="4282EBAC" w14:textId="77777777" w:rsidR="000D4DE1" w:rsidRPr="00872A1E" w:rsidRDefault="000D4DE1" w:rsidP="000D4DE1">
      <w:pPr>
        <w:autoSpaceDE w:val="0"/>
        <w:autoSpaceDN w:val="0"/>
        <w:ind w:right="18"/>
        <w:jc w:val="both"/>
        <w:rPr>
          <w:rFonts w:ascii="Ping LCG Regular" w:hAnsi="Ping LCG Regular" w:cs="Arial"/>
          <w:spacing w:val="-14"/>
          <w:lang w:val="el-GR"/>
        </w:rPr>
      </w:pPr>
    </w:p>
    <w:p w14:paraId="238F6B74" w14:textId="44635CE7" w:rsidR="006C3C0B" w:rsidRPr="00872A1E" w:rsidRDefault="00FA3185" w:rsidP="000D4DE1">
      <w:pPr>
        <w:autoSpaceDE w:val="0"/>
        <w:autoSpaceDN w:val="0"/>
        <w:ind w:right="18"/>
        <w:jc w:val="both"/>
        <w:rPr>
          <w:rFonts w:ascii="Ping LCG Regular" w:hAnsi="Ping LCG Regular" w:cs="Arial"/>
          <w:spacing w:val="-14"/>
          <w:lang w:val="el-GR"/>
        </w:rPr>
      </w:pPr>
      <w:r w:rsidRPr="00FA3185">
        <w:rPr>
          <w:noProof/>
        </w:rPr>
        <w:drawing>
          <wp:inline distT="0" distB="0" distL="0" distR="0" wp14:anchorId="6D45F13D" wp14:editId="545C2F71">
            <wp:extent cx="6210935" cy="19443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10935" cy="1944370"/>
                    </a:xfrm>
                    <a:prstGeom prst="rect">
                      <a:avLst/>
                    </a:prstGeom>
                    <a:noFill/>
                    <a:ln>
                      <a:noFill/>
                    </a:ln>
                  </pic:spPr>
                </pic:pic>
              </a:graphicData>
            </a:graphic>
          </wp:inline>
        </w:drawing>
      </w:r>
      <w:r w:rsidR="00015585" w:rsidRPr="00015585">
        <w:rPr>
          <w:rFonts w:ascii="Ping LCG Regular" w:hAnsi="Ping LCG Regular" w:cs="Arial"/>
          <w:spacing w:val="-14"/>
          <w:lang w:val="el-GR"/>
        </w:rPr>
        <w:t xml:space="preserve"> </w:t>
      </w:r>
    </w:p>
    <w:p w14:paraId="267CC08D" w14:textId="77777777" w:rsidR="006C3C0B" w:rsidRPr="00872A1E" w:rsidRDefault="006C3C0B" w:rsidP="000D4DE1">
      <w:pPr>
        <w:autoSpaceDE w:val="0"/>
        <w:autoSpaceDN w:val="0"/>
        <w:ind w:right="18"/>
        <w:jc w:val="both"/>
        <w:rPr>
          <w:rFonts w:ascii="Ping LCG Regular" w:hAnsi="Ping LCG Regular" w:cs="Arial"/>
          <w:spacing w:val="-14"/>
          <w:lang w:val="el-GR"/>
        </w:rPr>
      </w:pPr>
    </w:p>
    <w:p w14:paraId="2FEA02E8" w14:textId="77777777" w:rsidR="005B2296" w:rsidRPr="00872A1E" w:rsidRDefault="005B2296" w:rsidP="000D4DE1">
      <w:pPr>
        <w:rPr>
          <w:rFonts w:ascii="Ping LCG Regular" w:hAnsi="Ping LCG Regular" w:cs="Arial"/>
          <w:b/>
          <w:bCs/>
          <w:spacing w:val="-14"/>
          <w:lang w:val="el-GR"/>
        </w:rPr>
      </w:pPr>
      <w:bookmarkStart w:id="12" w:name="_Hlk88923084"/>
      <w:bookmarkStart w:id="13" w:name="_Hlk88922774"/>
      <w:bookmarkStart w:id="14" w:name="_Hlk68249947"/>
      <w:bookmarkStart w:id="15" w:name="_Hlk88594727"/>
      <w:bookmarkEnd w:id="11"/>
    </w:p>
    <w:p w14:paraId="69139C74" w14:textId="566CA5B8" w:rsidR="00B96453" w:rsidRDefault="00B96453">
      <w:pPr>
        <w:rPr>
          <w:rFonts w:ascii="Ping LCG Regular" w:hAnsi="Ping LCG Regular" w:cs="Arial"/>
          <w:b/>
          <w:bCs/>
          <w:spacing w:val="-14"/>
          <w:lang w:val="el-GR"/>
        </w:rPr>
      </w:pPr>
      <w:r>
        <w:rPr>
          <w:rFonts w:ascii="Ping LCG Regular" w:hAnsi="Ping LCG Regular" w:cs="Arial"/>
          <w:b/>
          <w:bCs/>
          <w:spacing w:val="-14"/>
          <w:lang w:val="el-GR"/>
        </w:rPr>
        <w:br w:type="page"/>
      </w:r>
    </w:p>
    <w:p w14:paraId="604ACECE" w14:textId="724503C5" w:rsidR="000D4DE1" w:rsidRPr="00872A1E" w:rsidRDefault="000D4DE1" w:rsidP="000D4DE1">
      <w:pPr>
        <w:rPr>
          <w:rFonts w:ascii="Ping LCG Regular" w:hAnsi="Ping LCG Regular" w:cs="Arial"/>
          <w:b/>
          <w:bCs/>
          <w:spacing w:val="-14"/>
          <w:lang w:val="el-GR"/>
        </w:rPr>
      </w:pPr>
      <w:r w:rsidRPr="00872A1E">
        <w:rPr>
          <w:rFonts w:ascii="Ping LCG Regular" w:hAnsi="Ping LCG Regular" w:cs="Arial"/>
          <w:b/>
          <w:bCs/>
          <w:spacing w:val="-14"/>
          <w:lang w:val="el-GR"/>
        </w:rPr>
        <w:lastRenderedPageBreak/>
        <w:t>Καθαρό Χρέος</w:t>
      </w:r>
    </w:p>
    <w:p w14:paraId="30EC8DB4" w14:textId="77777777" w:rsidR="000D4DE1" w:rsidRPr="00872A1E" w:rsidRDefault="000D4DE1" w:rsidP="000D4DE1">
      <w:pPr>
        <w:jc w:val="both"/>
        <w:rPr>
          <w:rFonts w:ascii="Ping LCG Regular" w:hAnsi="Ping LCG Regular"/>
          <w:spacing w:val="-14"/>
          <w:lang w:val="el-GR"/>
        </w:rPr>
      </w:pPr>
      <w:bookmarkStart w:id="16" w:name="_Hlk81172011"/>
    </w:p>
    <w:p w14:paraId="7E04F633" w14:textId="68B0A570" w:rsidR="000D4DE1" w:rsidRPr="00872A1E" w:rsidRDefault="00645E3E" w:rsidP="000D4DE1">
      <w:pPr>
        <w:jc w:val="both"/>
        <w:rPr>
          <w:rFonts w:ascii="Ping LCG Regular" w:hAnsi="Ping LCG Regular"/>
          <w:spacing w:val="-14"/>
          <w:lang w:val="el-GR"/>
        </w:rPr>
      </w:pPr>
      <w:r w:rsidRPr="00645E3E">
        <w:rPr>
          <w:rFonts w:ascii="Ping LCG Regular" w:hAnsi="Ping LCG Regular"/>
          <w:spacing w:val="-14"/>
          <w:lang w:val="el-GR"/>
        </w:rPr>
        <w:t>Το καθαρό χρέος στις 31.12.2022 ήταν €1.388,1 εκατ., μειωμένο κατά €501,7 εκατ. σε σχέση με την 31.12.2021 (€1.889,8 εκατ.), καθώς η επίπτωση από το αρνητικό κεφάλαιο κίνησης στο α΄ τρίμηνο του</w:t>
      </w:r>
      <w:r w:rsidR="009C0505" w:rsidRPr="009C0505">
        <w:rPr>
          <w:rFonts w:ascii="Ping LCG Regular" w:hAnsi="Ping LCG Regular"/>
          <w:spacing w:val="-14"/>
          <w:lang w:val="el-GR"/>
        </w:rPr>
        <w:t xml:space="preserve"> </w:t>
      </w:r>
      <w:r w:rsidRPr="00645E3E">
        <w:rPr>
          <w:rFonts w:ascii="Ping LCG Regular" w:hAnsi="Ping LCG Regular"/>
          <w:spacing w:val="-14"/>
          <w:lang w:val="el-GR"/>
        </w:rPr>
        <w:t xml:space="preserve">2022, λόγω της αυξημένης μεταβλητότητας στις παγκόσμιες αγορές εμπορευμάτων αντιστράφηκε πλήρως στο τέλος του έτους.  </w:t>
      </w:r>
      <w:r w:rsidR="00B60BD9">
        <w:rPr>
          <w:rFonts w:ascii="Ping LCG Regular" w:hAnsi="Ping LCG Regular"/>
          <w:spacing w:val="-14"/>
          <w:lang w:val="el-GR"/>
        </w:rPr>
        <w:t>Επιπλέον</w:t>
      </w:r>
      <w:r w:rsidR="007E33ED">
        <w:rPr>
          <w:rFonts w:ascii="Ping LCG Regular" w:hAnsi="Ping LCG Regular"/>
          <w:spacing w:val="-14"/>
          <w:lang w:val="el-GR"/>
        </w:rPr>
        <w:t>, σ</w:t>
      </w:r>
      <w:r w:rsidR="000D4DE1" w:rsidRPr="00872A1E">
        <w:rPr>
          <w:rFonts w:ascii="Ping LCG Regular" w:hAnsi="Ping LCG Regular"/>
          <w:spacing w:val="-14"/>
          <w:lang w:val="el-GR"/>
        </w:rPr>
        <w:t>τον υπολογισμό του καθαρού χρέους έχει ληφθεί υπόψη και το τίμημα των €1.323,3 εκατ.</w:t>
      </w:r>
      <w:r w:rsidR="000D4DE1" w:rsidRPr="00872A1E">
        <w:rPr>
          <w:rStyle w:val="af9"/>
          <w:rFonts w:ascii="Ping LCG Regular" w:hAnsi="Ping LCG Regular"/>
          <w:spacing w:val="-14"/>
          <w:lang w:val="el-GR"/>
        </w:rPr>
        <w:footnoteReference w:id="3"/>
      </w:r>
      <w:r w:rsidR="000D4DE1" w:rsidRPr="00872A1E">
        <w:rPr>
          <w:rFonts w:ascii="Ping LCG Regular" w:hAnsi="Ping LCG Regular"/>
          <w:spacing w:val="-14"/>
          <w:lang w:val="el-GR"/>
        </w:rPr>
        <w:t xml:space="preserve"> που κατέβαλε η </w:t>
      </w:r>
      <w:r w:rsidR="000D4DE1" w:rsidRPr="00872A1E">
        <w:rPr>
          <w:rFonts w:ascii="Ping LCG Regular" w:hAnsi="Ping LCG Regular"/>
          <w:spacing w:val="-14"/>
        </w:rPr>
        <w:t>Macquarie</w:t>
      </w:r>
      <w:r w:rsidR="000D4DE1" w:rsidRPr="00872A1E">
        <w:rPr>
          <w:rFonts w:ascii="Ping LCG Regular" w:hAnsi="Ping LCG Regular"/>
          <w:spacing w:val="-14"/>
          <w:lang w:val="el-GR"/>
        </w:rPr>
        <w:t xml:space="preserve"> </w:t>
      </w:r>
      <w:r w:rsidR="000D4DE1" w:rsidRPr="00872A1E">
        <w:rPr>
          <w:rFonts w:ascii="Ping LCG Regular" w:hAnsi="Ping LCG Regular"/>
          <w:spacing w:val="-14"/>
        </w:rPr>
        <w:t>Asset</w:t>
      </w:r>
      <w:r w:rsidR="000D4DE1" w:rsidRPr="00872A1E">
        <w:rPr>
          <w:rFonts w:ascii="Ping LCG Regular" w:hAnsi="Ping LCG Regular"/>
          <w:spacing w:val="-14"/>
          <w:lang w:val="el-GR"/>
        </w:rPr>
        <w:t xml:space="preserve"> </w:t>
      </w:r>
      <w:r w:rsidR="000D4DE1" w:rsidRPr="00872A1E">
        <w:rPr>
          <w:rFonts w:ascii="Ping LCG Regular" w:hAnsi="Ping LCG Regular"/>
          <w:spacing w:val="-14"/>
        </w:rPr>
        <w:t>Management</w:t>
      </w:r>
      <w:r w:rsidR="000D4DE1" w:rsidRPr="00872A1E">
        <w:rPr>
          <w:rFonts w:ascii="Ping LCG Regular" w:hAnsi="Ping LCG Regular"/>
          <w:spacing w:val="-14"/>
          <w:lang w:val="el-GR"/>
        </w:rPr>
        <w:t xml:space="preserve"> εντός του α΄ τριμήνου 2022 για την απόκτηση του 49% της ΔΕΔΔΗΕ Α.Ε. </w:t>
      </w:r>
      <w:r w:rsidR="000D4DE1" w:rsidRPr="00872A1E">
        <w:rPr>
          <w:rFonts w:ascii="Ping LCG Regular" w:hAnsi="Ping LCG Regular"/>
          <w:spacing w:val="-14"/>
        </w:rPr>
        <w:t> </w:t>
      </w:r>
      <w:r w:rsidR="000D4DE1" w:rsidRPr="00872A1E">
        <w:rPr>
          <w:rFonts w:ascii="Ping LCG Regular" w:hAnsi="Ping LCG Regular" w:cs="Arial"/>
          <w:b/>
          <w:bCs/>
          <w:color w:val="FF0000"/>
          <w:spacing w:val="-14"/>
          <w:lang w:val="el-GR"/>
        </w:rPr>
        <w:t xml:space="preserve"> </w:t>
      </w:r>
    </w:p>
    <w:bookmarkEnd w:id="12"/>
    <w:p w14:paraId="1F65EB21" w14:textId="77777777" w:rsidR="000D4DE1" w:rsidRPr="00872A1E" w:rsidRDefault="000D4DE1" w:rsidP="000D4DE1">
      <w:pPr>
        <w:rPr>
          <w:rFonts w:ascii="Ping LCG Regular" w:hAnsi="Ping LCG Regular" w:cs="Arial"/>
          <w:spacing w:val="-14"/>
          <w:lang w:val="el-GR"/>
        </w:rPr>
      </w:pPr>
    </w:p>
    <w:p w14:paraId="23FA1A58" w14:textId="77777777" w:rsidR="000D4DE1" w:rsidRPr="00872A1E" w:rsidRDefault="000D4DE1" w:rsidP="000D4DE1">
      <w:pPr>
        <w:rPr>
          <w:rFonts w:ascii="Ping LCG Regular" w:hAnsi="Ping LCG Regular" w:cs="Arial"/>
          <w:spacing w:val="-14"/>
          <w:lang w:val="el-GR"/>
        </w:rPr>
      </w:pPr>
      <w:r w:rsidRPr="00872A1E">
        <w:rPr>
          <w:rFonts w:ascii="Ping LCG Regular" w:hAnsi="Ping LCG Regular" w:cs="Arial"/>
          <w:spacing w:val="-14"/>
          <w:lang w:val="el-GR"/>
        </w:rPr>
        <w:t>Ακολουθεί η εξέλιξη του Καθαρού Χρέους:</w:t>
      </w:r>
    </w:p>
    <w:bookmarkEnd w:id="13"/>
    <w:bookmarkEnd w:id="16"/>
    <w:p w14:paraId="4CD17524" w14:textId="77777777" w:rsidR="000D4DE1" w:rsidRPr="00872A1E" w:rsidRDefault="000D4DE1" w:rsidP="000D4DE1">
      <w:pPr>
        <w:rPr>
          <w:rFonts w:ascii="Ping LCG Regular" w:hAnsi="Ping LCG Regular" w:cs="Arial"/>
          <w:spacing w:val="-14"/>
          <w:highlight w:val="yellow"/>
          <w:lang w:val="el-GR"/>
        </w:rPr>
      </w:pPr>
    </w:p>
    <w:bookmarkEnd w:id="10"/>
    <w:bookmarkEnd w:id="14"/>
    <w:bookmarkEnd w:id="15"/>
    <w:p w14:paraId="1A87B162" w14:textId="166987EA" w:rsidR="000D4DE1" w:rsidRPr="00872A1E" w:rsidRDefault="00FA3185" w:rsidP="000D4DE1">
      <w:pPr>
        <w:rPr>
          <w:rFonts w:ascii="Ping LCG Regular" w:hAnsi="Ping LCG Regular" w:cs="Arial"/>
          <w:spacing w:val="-14"/>
          <w:lang w:val="el-GR"/>
        </w:rPr>
      </w:pPr>
      <w:r w:rsidRPr="00FA3185">
        <w:rPr>
          <w:noProof/>
        </w:rPr>
        <w:drawing>
          <wp:inline distT="0" distB="0" distL="0" distR="0" wp14:anchorId="47CF1914" wp14:editId="709DD572">
            <wp:extent cx="6210935" cy="2106930"/>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10935" cy="2106930"/>
                    </a:xfrm>
                    <a:prstGeom prst="rect">
                      <a:avLst/>
                    </a:prstGeom>
                    <a:noFill/>
                    <a:ln>
                      <a:noFill/>
                    </a:ln>
                  </pic:spPr>
                </pic:pic>
              </a:graphicData>
            </a:graphic>
          </wp:inline>
        </w:drawing>
      </w:r>
      <w:r w:rsidR="005D442C" w:rsidRPr="005D442C">
        <w:rPr>
          <w:rFonts w:ascii="Ping LCG Regular" w:hAnsi="Ping LCG Regular" w:cs="Arial"/>
          <w:spacing w:val="-14"/>
          <w:lang w:val="el-GR"/>
        </w:rPr>
        <w:t xml:space="preserve"> </w:t>
      </w:r>
    </w:p>
    <w:p w14:paraId="62ACC521" w14:textId="355C4885" w:rsidR="000D4DE1" w:rsidRPr="00872A1E" w:rsidRDefault="000D4DE1" w:rsidP="000D4DE1">
      <w:pPr>
        <w:rPr>
          <w:rFonts w:ascii="Ping LCG Regular" w:hAnsi="Ping LCG Regular" w:cs="Arial"/>
          <w:spacing w:val="-14"/>
          <w:lang w:val="el-GR"/>
        </w:rPr>
      </w:pPr>
    </w:p>
    <w:p w14:paraId="31160E05" w14:textId="43A83252" w:rsidR="00C07698" w:rsidRPr="00872A1E" w:rsidRDefault="00C07698" w:rsidP="00B707BB">
      <w:pPr>
        <w:widowControl w:val="0"/>
        <w:autoSpaceDE w:val="0"/>
        <w:autoSpaceDN w:val="0"/>
        <w:adjustRightInd w:val="0"/>
        <w:ind w:left="284" w:right="18" w:hanging="284"/>
        <w:jc w:val="both"/>
        <w:rPr>
          <w:rFonts w:ascii="Ping LCG Regular" w:hAnsi="Ping LCG Regular" w:cs="Arial"/>
          <w:iCs/>
          <w:color w:val="FF0000"/>
          <w:spacing w:val="-14"/>
          <w:sz w:val="22"/>
          <w:highlight w:val="yellow"/>
          <w:lang w:val="el-GR"/>
        </w:rPr>
      </w:pPr>
    </w:p>
    <w:p w14:paraId="27165A7E" w14:textId="77777777" w:rsidR="00CE3797" w:rsidRPr="00872A1E" w:rsidRDefault="00CE3797" w:rsidP="00D86811">
      <w:pPr>
        <w:widowControl w:val="0"/>
        <w:autoSpaceDE w:val="0"/>
        <w:autoSpaceDN w:val="0"/>
        <w:adjustRightInd w:val="0"/>
        <w:ind w:left="284" w:right="18" w:hanging="284"/>
        <w:jc w:val="both"/>
        <w:rPr>
          <w:rFonts w:ascii="Ping LCG Regular" w:hAnsi="Ping LCG Regular" w:cs="Arial"/>
          <w:iCs/>
          <w:spacing w:val="-14"/>
          <w:sz w:val="22"/>
          <w:highlight w:val="yellow"/>
          <w:lang w:val="el-GR"/>
        </w:rPr>
      </w:pPr>
    </w:p>
    <w:p w14:paraId="455902F6" w14:textId="77777777" w:rsidR="00B478D0" w:rsidRPr="00872A1E" w:rsidRDefault="00B478D0" w:rsidP="00C07698">
      <w:pPr>
        <w:spacing w:line="276" w:lineRule="auto"/>
        <w:rPr>
          <w:rFonts w:ascii="Ping LCG Regular" w:hAnsi="Ping LCG Regular" w:cs="Arial"/>
          <w:b/>
          <w:bCs/>
          <w:highlight w:val="yellow"/>
          <w:lang w:val="el-GR"/>
        </w:rPr>
      </w:pPr>
    </w:p>
    <w:p w14:paraId="35A1F27E" w14:textId="77777777" w:rsidR="00B707BB" w:rsidRPr="00872A1E" w:rsidRDefault="00B707BB">
      <w:pPr>
        <w:rPr>
          <w:rFonts w:ascii="Ping LCG Regular" w:hAnsi="Ping LCG Regular" w:cs="Arial"/>
          <w:b/>
          <w:bCs/>
          <w:highlight w:val="yellow"/>
          <w:lang w:val="el-GR"/>
        </w:rPr>
      </w:pPr>
      <w:r w:rsidRPr="00872A1E">
        <w:rPr>
          <w:rFonts w:ascii="Ping LCG Regular" w:hAnsi="Ping LCG Regular" w:cs="Arial"/>
          <w:b/>
          <w:bCs/>
          <w:highlight w:val="yellow"/>
          <w:lang w:val="el-GR"/>
        </w:rPr>
        <w:br w:type="page"/>
      </w:r>
    </w:p>
    <w:p w14:paraId="35C14896" w14:textId="08258617" w:rsidR="00C07698" w:rsidRPr="00872A1E" w:rsidRDefault="00C07698" w:rsidP="00C07698">
      <w:pPr>
        <w:spacing w:line="276" w:lineRule="auto"/>
        <w:rPr>
          <w:rFonts w:ascii="Ping LCG Regular" w:hAnsi="Ping LCG Regular" w:cs="Arial"/>
          <w:b/>
          <w:lang w:val="el-GR"/>
        </w:rPr>
      </w:pPr>
      <w:r w:rsidRPr="00872A1E">
        <w:rPr>
          <w:rFonts w:ascii="Ping LCG Regular" w:hAnsi="Ping LCG Regular" w:cs="Arial"/>
          <w:b/>
          <w:bCs/>
          <w:lang w:val="el-GR"/>
        </w:rPr>
        <w:lastRenderedPageBreak/>
        <w:t>Πρόσφατες</w:t>
      </w:r>
      <w:r w:rsidRPr="00872A1E">
        <w:rPr>
          <w:rFonts w:ascii="Ping LCG Regular" w:hAnsi="Ping LCG Regular" w:cs="Arial"/>
          <w:b/>
          <w:lang w:val="el-GR"/>
        </w:rPr>
        <w:t xml:space="preserve"> </w:t>
      </w:r>
      <w:r w:rsidRPr="00872A1E">
        <w:rPr>
          <w:rFonts w:ascii="Ping LCG Regular" w:hAnsi="Ping LCG Regular" w:cs="Arial"/>
          <w:b/>
          <w:bCs/>
          <w:lang w:val="el-GR"/>
        </w:rPr>
        <w:t>εξελίξεις</w:t>
      </w:r>
    </w:p>
    <w:p w14:paraId="530A7DC1" w14:textId="77777777" w:rsidR="00C07698" w:rsidRPr="00872A1E" w:rsidRDefault="00C07698" w:rsidP="00C07698">
      <w:pPr>
        <w:rPr>
          <w:rFonts w:ascii="Ping LCG Regular" w:hAnsi="Ping LCG Regular" w:cs="Arial"/>
          <w:b/>
          <w:highlight w:val="yellow"/>
          <w:lang w:val="el-GR"/>
        </w:rPr>
      </w:pPr>
    </w:p>
    <w:p w14:paraId="62741297" w14:textId="2CDB0F2F" w:rsidR="00D07614" w:rsidRPr="00872A1E" w:rsidRDefault="00F16082" w:rsidP="00D07614">
      <w:pPr>
        <w:jc w:val="both"/>
        <w:rPr>
          <w:rFonts w:ascii="Ping LCG Regular" w:hAnsi="Ping LCG Regular" w:cs="Arial"/>
          <w:b/>
          <w:bCs/>
          <w:i/>
          <w:iCs/>
          <w:lang w:val="el-GR"/>
        </w:rPr>
      </w:pPr>
      <w:r w:rsidRPr="00872A1E">
        <w:rPr>
          <w:rFonts w:ascii="Ping LCG Regular" w:hAnsi="Ping LCG Regular" w:cs="Arial"/>
          <w:b/>
          <w:bCs/>
          <w:i/>
          <w:iCs/>
          <w:lang w:val="el-GR"/>
        </w:rPr>
        <w:t>18.01.2023</w:t>
      </w:r>
      <w:r w:rsidR="00707756" w:rsidRPr="00872A1E">
        <w:rPr>
          <w:rFonts w:ascii="Ping LCG Regular" w:hAnsi="Ping LCG Regular" w:cs="Arial"/>
          <w:b/>
          <w:bCs/>
          <w:i/>
          <w:iCs/>
          <w:lang w:val="el-GR"/>
        </w:rPr>
        <w:t xml:space="preserve">: </w:t>
      </w:r>
      <w:r w:rsidR="00D07614" w:rsidRPr="00872A1E">
        <w:rPr>
          <w:rFonts w:ascii="Ping LCG Regular" w:hAnsi="Ping LCG Regular" w:cs="Arial"/>
          <w:b/>
          <w:bCs/>
          <w:i/>
          <w:iCs/>
          <w:lang w:val="el-GR"/>
        </w:rPr>
        <w:t xml:space="preserve">Παροχή χρηματοδότησης από την </w:t>
      </w:r>
      <w:proofErr w:type="spellStart"/>
      <w:r w:rsidR="00D07614" w:rsidRPr="00872A1E">
        <w:rPr>
          <w:rFonts w:ascii="Ping LCG Regular" w:hAnsi="Ping LCG Regular" w:cs="Arial"/>
          <w:b/>
          <w:bCs/>
          <w:i/>
          <w:iCs/>
          <w:lang w:val="el-GR"/>
        </w:rPr>
        <w:t>ΕΤΕπ</w:t>
      </w:r>
      <w:proofErr w:type="spellEnd"/>
      <w:r w:rsidR="00D07614" w:rsidRPr="00872A1E">
        <w:rPr>
          <w:rFonts w:ascii="Ping LCG Regular" w:hAnsi="Ping LCG Regular" w:cs="Arial"/>
          <w:b/>
          <w:bCs/>
          <w:i/>
          <w:iCs/>
          <w:lang w:val="el-GR"/>
        </w:rPr>
        <w:t xml:space="preserve"> στη ΔΕΗ Ανανεώσιμες για Φωτοβολταϊκά Πάρκα ισχύος 230 MW</w:t>
      </w:r>
    </w:p>
    <w:p w14:paraId="19FA079F" w14:textId="314120A6" w:rsidR="00D07614" w:rsidRPr="00872A1E" w:rsidRDefault="00872A1E" w:rsidP="00D07614">
      <w:pPr>
        <w:jc w:val="both"/>
        <w:rPr>
          <w:rFonts w:ascii="Ping LCG Regular" w:hAnsi="Ping LCG Regular" w:cs="Arial"/>
          <w:lang w:val="el-GR"/>
        </w:rPr>
      </w:pPr>
      <w:r>
        <w:rPr>
          <w:rFonts w:ascii="Ping LCG Regular" w:hAnsi="Ping LCG Regular" w:cs="Arial"/>
          <w:lang w:val="el-GR"/>
        </w:rPr>
        <w:t>Συ</w:t>
      </w:r>
      <w:r w:rsidR="00BF34F0">
        <w:rPr>
          <w:rFonts w:ascii="Ping LCG Regular" w:hAnsi="Ping LCG Regular" w:cs="Arial"/>
          <w:lang w:val="el-GR"/>
        </w:rPr>
        <w:t xml:space="preserve">μφωνία με την </w:t>
      </w:r>
      <w:proofErr w:type="spellStart"/>
      <w:r w:rsidR="00D07614" w:rsidRPr="00872A1E">
        <w:rPr>
          <w:rFonts w:ascii="Ping LCG Regular" w:hAnsi="Ping LCG Regular" w:cs="Arial"/>
          <w:lang w:val="el-GR"/>
        </w:rPr>
        <w:t>ΕΤΕπ</w:t>
      </w:r>
      <w:proofErr w:type="spellEnd"/>
      <w:r w:rsidR="00D07614" w:rsidRPr="00872A1E">
        <w:rPr>
          <w:rFonts w:ascii="Ping LCG Regular" w:hAnsi="Ping LCG Regular" w:cs="Arial"/>
          <w:lang w:val="el-GR"/>
        </w:rPr>
        <w:t xml:space="preserve"> </w:t>
      </w:r>
      <w:r w:rsidR="00BF34F0">
        <w:rPr>
          <w:rFonts w:ascii="Ping LCG Regular" w:hAnsi="Ping LCG Regular" w:cs="Arial"/>
          <w:lang w:val="el-GR"/>
        </w:rPr>
        <w:t>για την παροχή</w:t>
      </w:r>
      <w:r w:rsidR="00D07614" w:rsidRPr="00872A1E">
        <w:rPr>
          <w:rFonts w:ascii="Ping LCG Regular" w:hAnsi="Ping LCG Regular" w:cs="Arial"/>
          <w:lang w:val="el-GR"/>
        </w:rPr>
        <w:t xml:space="preserve"> χρηματοδότηση</w:t>
      </w:r>
      <w:r w:rsidR="00BF34F0">
        <w:rPr>
          <w:rFonts w:ascii="Ping LCG Regular" w:hAnsi="Ping LCG Regular" w:cs="Arial"/>
          <w:lang w:val="el-GR"/>
        </w:rPr>
        <w:t>ς</w:t>
      </w:r>
      <w:r w:rsidR="00D07614" w:rsidRPr="00872A1E">
        <w:rPr>
          <w:rFonts w:ascii="Ping LCG Regular" w:hAnsi="Ping LCG Regular" w:cs="Arial"/>
          <w:lang w:val="el-GR"/>
        </w:rPr>
        <w:t xml:space="preserve"> </w:t>
      </w:r>
      <w:r w:rsidR="00BF34F0">
        <w:rPr>
          <w:rFonts w:ascii="Ping LCG Regular" w:hAnsi="Ping LCG Regular" w:cs="Arial"/>
          <w:lang w:val="el-GR"/>
        </w:rPr>
        <w:t xml:space="preserve">ύψους </w:t>
      </w:r>
      <w:r w:rsidR="00D07614" w:rsidRPr="00872A1E">
        <w:rPr>
          <w:rFonts w:ascii="Ping LCG Regular" w:hAnsi="Ping LCG Regular" w:cs="Arial"/>
          <w:lang w:val="el-GR"/>
        </w:rPr>
        <w:t xml:space="preserve">€28,5 εκατ. για την κατασκευή τριών Φωτοβολταϊκών Πάρκων στην Κοζάνη στη Δυτική Μακεδονία συνολικής ισχύος 230 MW. Η χρηματοδότηση της </w:t>
      </w:r>
      <w:proofErr w:type="spellStart"/>
      <w:r w:rsidR="00D07614" w:rsidRPr="00872A1E">
        <w:rPr>
          <w:rFonts w:ascii="Ping LCG Regular" w:hAnsi="Ping LCG Regular" w:cs="Arial"/>
          <w:lang w:val="el-GR"/>
        </w:rPr>
        <w:t>ΕΤΕπ</w:t>
      </w:r>
      <w:proofErr w:type="spellEnd"/>
      <w:r w:rsidR="00D07614" w:rsidRPr="00872A1E">
        <w:rPr>
          <w:rFonts w:ascii="Ping LCG Regular" w:hAnsi="Ping LCG Regular" w:cs="Arial"/>
          <w:lang w:val="el-GR"/>
        </w:rPr>
        <w:t xml:space="preserve"> θα ανέλθει έως το μέγιστο ποσό των  € 35 εκατ. τους επόμενους μήνες. Το δάνειο της </w:t>
      </w:r>
      <w:proofErr w:type="spellStart"/>
      <w:r w:rsidR="00D07614" w:rsidRPr="00872A1E">
        <w:rPr>
          <w:rFonts w:ascii="Ping LCG Regular" w:hAnsi="Ping LCG Regular" w:cs="Arial"/>
          <w:lang w:val="el-GR"/>
        </w:rPr>
        <w:t>ΕΤΕπ</w:t>
      </w:r>
      <w:proofErr w:type="spellEnd"/>
      <w:r w:rsidR="00D07614" w:rsidRPr="00872A1E">
        <w:rPr>
          <w:rFonts w:ascii="Ping LCG Regular" w:hAnsi="Ping LCG Regular" w:cs="Arial"/>
          <w:lang w:val="el-GR"/>
        </w:rPr>
        <w:t xml:space="preserve"> καλύπτεται με εγγύηση από τον προϋπολογισμό της Ευρωπαϊκής Ένωσης στο πλαίσιο του ταμείου </w:t>
      </w:r>
      <w:proofErr w:type="spellStart"/>
      <w:r w:rsidR="00D07614" w:rsidRPr="00872A1E">
        <w:rPr>
          <w:rFonts w:ascii="Ping LCG Regular" w:hAnsi="Ping LCG Regular" w:cs="Arial"/>
          <w:lang w:val="el-GR"/>
        </w:rPr>
        <w:t>InvestEU</w:t>
      </w:r>
      <w:proofErr w:type="spellEnd"/>
      <w:r w:rsidR="00D07614" w:rsidRPr="00872A1E">
        <w:rPr>
          <w:rFonts w:ascii="Ping LCG Regular" w:hAnsi="Ping LCG Regular" w:cs="Arial"/>
          <w:lang w:val="el-GR"/>
        </w:rPr>
        <w:t>.</w:t>
      </w:r>
    </w:p>
    <w:p w14:paraId="28030D4B" w14:textId="5B01E9B7" w:rsidR="00D07614" w:rsidRPr="00872A1E" w:rsidRDefault="00D07614" w:rsidP="00D07614">
      <w:pPr>
        <w:jc w:val="both"/>
        <w:rPr>
          <w:rFonts w:ascii="Ping LCG Regular" w:hAnsi="Ping LCG Regular" w:cs="Arial"/>
          <w:lang w:val="el-GR"/>
        </w:rPr>
      </w:pPr>
      <w:r w:rsidRPr="00872A1E">
        <w:rPr>
          <w:rFonts w:ascii="Ping LCG Regular" w:hAnsi="Ping LCG Regular" w:cs="Arial"/>
          <w:lang w:val="el-GR"/>
        </w:rPr>
        <w:t xml:space="preserve">Η χρηματοδότηση της </w:t>
      </w:r>
      <w:proofErr w:type="spellStart"/>
      <w:r w:rsidRPr="00872A1E">
        <w:rPr>
          <w:rFonts w:ascii="Ping LCG Regular" w:hAnsi="Ping LCG Regular" w:cs="Arial"/>
          <w:lang w:val="el-GR"/>
        </w:rPr>
        <w:t>ΕΤΕπ</w:t>
      </w:r>
      <w:proofErr w:type="spellEnd"/>
      <w:r w:rsidRPr="00872A1E">
        <w:rPr>
          <w:rFonts w:ascii="Ping LCG Regular" w:hAnsi="Ping LCG Regular" w:cs="Arial"/>
          <w:lang w:val="el-GR"/>
        </w:rPr>
        <w:t xml:space="preserve"> ύψους € 28,5 εκατ. αποτελεί μέρος μίας κοινοπρακτικής δομής χρηματοδότησης τύπου «Project </w:t>
      </w:r>
      <w:proofErr w:type="spellStart"/>
      <w:r w:rsidRPr="00872A1E">
        <w:rPr>
          <w:rFonts w:ascii="Ping LCG Regular" w:hAnsi="Ping LCG Regular" w:cs="Arial"/>
          <w:lang w:val="el-GR"/>
        </w:rPr>
        <w:t>Finance</w:t>
      </w:r>
      <w:proofErr w:type="spellEnd"/>
      <w:r w:rsidRPr="00872A1E">
        <w:rPr>
          <w:rFonts w:ascii="Ping LCG Regular" w:hAnsi="Ping LCG Regular" w:cs="Arial"/>
          <w:lang w:val="el-GR"/>
        </w:rPr>
        <w:t>» συνολικού ύψους €102,4 εκατ</w:t>
      </w:r>
      <w:r w:rsidR="008D67FF">
        <w:rPr>
          <w:rFonts w:ascii="Ping LCG Regular" w:hAnsi="Ping LCG Regular" w:cs="Arial"/>
          <w:lang w:val="el-GR"/>
        </w:rPr>
        <w:t>.</w:t>
      </w:r>
      <w:r w:rsidRPr="00872A1E">
        <w:rPr>
          <w:rFonts w:ascii="Ping LCG Regular" w:hAnsi="Ping LCG Regular" w:cs="Arial"/>
          <w:lang w:val="el-GR"/>
        </w:rPr>
        <w:t>, η οποία περιλαμβάνει μακροπρόθεσμες δανειακές γραμμές ύψους €95,1 εκατ</w:t>
      </w:r>
      <w:r w:rsidR="008D67FF">
        <w:rPr>
          <w:rFonts w:ascii="Ping LCG Regular" w:hAnsi="Ping LCG Regular" w:cs="Arial"/>
          <w:lang w:val="el-GR"/>
        </w:rPr>
        <w:t>.</w:t>
      </w:r>
      <w:r w:rsidRPr="00872A1E">
        <w:rPr>
          <w:rFonts w:ascii="Ping LCG Regular" w:hAnsi="Ping LCG Regular" w:cs="Arial"/>
          <w:lang w:val="el-GR"/>
        </w:rPr>
        <w:t xml:space="preserve"> και μεσοπρόθεσμες δανειακές γραμμές χρηματοδότησης κατασκευαστικού ΦΠΑ ύψους €7,3 εκατ. Η </w:t>
      </w:r>
      <w:proofErr w:type="spellStart"/>
      <w:r w:rsidRPr="00872A1E">
        <w:rPr>
          <w:rFonts w:ascii="Ping LCG Regular" w:hAnsi="Ping LCG Regular" w:cs="Arial"/>
          <w:lang w:val="el-GR"/>
        </w:rPr>
        <w:t>ΕΤΕπ</w:t>
      </w:r>
      <w:proofErr w:type="spellEnd"/>
      <w:r w:rsidRPr="00872A1E">
        <w:rPr>
          <w:rFonts w:ascii="Ping LCG Regular" w:hAnsi="Ping LCG Regular" w:cs="Arial"/>
          <w:lang w:val="el-GR"/>
        </w:rPr>
        <w:t xml:space="preserve"> συνεργάστηκε με την </w:t>
      </w:r>
      <w:proofErr w:type="spellStart"/>
      <w:r w:rsidRPr="00872A1E">
        <w:rPr>
          <w:rFonts w:ascii="Ping LCG Regular" w:hAnsi="Ping LCG Regular" w:cs="Arial"/>
          <w:lang w:val="el-GR"/>
        </w:rPr>
        <w:t>Eurobank</w:t>
      </w:r>
      <w:proofErr w:type="spellEnd"/>
      <w:r w:rsidRPr="00872A1E">
        <w:rPr>
          <w:rFonts w:ascii="Ping LCG Regular" w:hAnsi="Ping LCG Regular" w:cs="Arial"/>
          <w:lang w:val="el-GR"/>
        </w:rPr>
        <w:t xml:space="preserve"> και την Εθνική Τράπεζα της Ελλάδος οι οποίες κάλυψαν, κατ' </w:t>
      </w:r>
      <w:proofErr w:type="spellStart"/>
      <w:r w:rsidRPr="00872A1E">
        <w:rPr>
          <w:rFonts w:ascii="Ping LCG Regular" w:hAnsi="Ping LCG Regular" w:cs="Arial"/>
          <w:lang w:val="el-GR"/>
        </w:rPr>
        <w:t>ισομοιρίαν</w:t>
      </w:r>
      <w:proofErr w:type="spellEnd"/>
      <w:r w:rsidRPr="00872A1E">
        <w:rPr>
          <w:rFonts w:ascii="Ping LCG Regular" w:hAnsi="Ping LCG Regular" w:cs="Arial"/>
          <w:lang w:val="el-GR"/>
        </w:rPr>
        <w:t>, το 70% των μακροπρόθεσμων δανειακών γραμμών και το 100% της μεσοπρόθεσμης χρηματοδότησης ΦΠΑ.</w:t>
      </w:r>
    </w:p>
    <w:p w14:paraId="57C98989" w14:textId="77777777" w:rsidR="00D07614" w:rsidRPr="00872A1E" w:rsidRDefault="00D07614" w:rsidP="00D07614">
      <w:pPr>
        <w:jc w:val="both"/>
        <w:rPr>
          <w:rFonts w:ascii="Ping LCG Regular" w:hAnsi="Ping LCG Regular" w:cs="Arial"/>
          <w:strike/>
          <w:highlight w:val="cyan"/>
          <w:lang w:val="el-GR"/>
        </w:rPr>
      </w:pPr>
    </w:p>
    <w:p w14:paraId="7EAC2CC8" w14:textId="10A69E35" w:rsidR="001C2EB7" w:rsidRPr="004B46E6" w:rsidRDefault="00403CA0" w:rsidP="001C2EB7">
      <w:pPr>
        <w:jc w:val="both"/>
        <w:rPr>
          <w:rFonts w:ascii="Ping LCG Regular" w:hAnsi="Ping LCG Regular" w:cs="Arial"/>
          <w:b/>
          <w:bCs/>
          <w:i/>
          <w:iCs/>
          <w:lang w:val="el-GR"/>
        </w:rPr>
      </w:pPr>
      <w:r w:rsidRPr="004B46E6">
        <w:rPr>
          <w:rFonts w:ascii="Ping LCG Regular" w:hAnsi="Ping LCG Regular" w:cs="Arial"/>
          <w:b/>
          <w:bCs/>
          <w:i/>
          <w:iCs/>
          <w:lang w:val="el-GR"/>
        </w:rPr>
        <w:t>26.01.2023</w:t>
      </w:r>
      <w:r w:rsidR="004B46E6" w:rsidRPr="004B46E6">
        <w:rPr>
          <w:rFonts w:ascii="Ping LCG Regular" w:hAnsi="Ping LCG Regular" w:cs="Arial"/>
          <w:b/>
          <w:bCs/>
          <w:i/>
          <w:iCs/>
          <w:lang w:val="el-GR"/>
        </w:rPr>
        <w:t>:</w:t>
      </w:r>
      <w:r w:rsidR="004B46E6" w:rsidRPr="004B46E6">
        <w:rPr>
          <w:rFonts w:ascii="Ping LCG Regular" w:hAnsi="Ping LCG Regular" w:cs="Arial"/>
          <w:b/>
          <w:bCs/>
          <w:i/>
          <w:iCs/>
          <w:lang w:val="el-GR"/>
        </w:rPr>
        <w:tab/>
      </w:r>
      <w:r w:rsidR="001C2EB7" w:rsidRPr="004B46E6">
        <w:rPr>
          <w:rFonts w:ascii="Ping LCG Regular" w:hAnsi="Ping LCG Regular" w:cs="Arial"/>
          <w:b/>
          <w:bCs/>
          <w:i/>
          <w:iCs/>
          <w:lang w:val="el-GR"/>
        </w:rPr>
        <w:t>Η RWE και η ΔΕΗ ξεκινούν την κατασκευή 5 φωτοβολταϊκών έργων άνω των 200 MW στη Δυτική Μακεδονία</w:t>
      </w:r>
    </w:p>
    <w:p w14:paraId="2E3EE6A0" w14:textId="4FD79FF9" w:rsidR="001C2EB7" w:rsidRPr="00AD039F" w:rsidRDefault="00181618" w:rsidP="001C2EB7">
      <w:pPr>
        <w:jc w:val="both"/>
        <w:rPr>
          <w:rFonts w:ascii="Ping LCG Regular" w:hAnsi="Ping LCG Regular" w:cs="Arial"/>
          <w:lang w:val="el-GR"/>
        </w:rPr>
      </w:pPr>
      <w:r w:rsidRPr="00414EC3">
        <w:rPr>
          <w:rFonts w:ascii="Ping LCG Regular" w:hAnsi="Ping LCG Regular" w:cs="Arial"/>
          <w:lang w:val="el-GR"/>
        </w:rPr>
        <w:t>Λήψη της</w:t>
      </w:r>
      <w:r w:rsidR="00D379D0" w:rsidRPr="00414EC3">
        <w:rPr>
          <w:rFonts w:ascii="Ping LCG Regular" w:hAnsi="Ping LCG Regular" w:cs="Arial"/>
          <w:lang w:val="el-GR"/>
        </w:rPr>
        <w:t xml:space="preserve"> τελικής επενδυτικής απόφασης για </w:t>
      </w:r>
      <w:r w:rsidR="00D379D0" w:rsidRPr="00AD039F">
        <w:rPr>
          <w:rFonts w:ascii="Ping LCG Regular" w:hAnsi="Ping LCG Regular" w:cs="Arial"/>
          <w:lang w:val="el-GR"/>
        </w:rPr>
        <w:t>την κατασκευή πέντε φωτοβολταϊκών έργων</w:t>
      </w:r>
      <w:r w:rsidRPr="00AD039F">
        <w:rPr>
          <w:rFonts w:ascii="Ping LCG Regular" w:hAnsi="Ping LCG Regular" w:cs="Arial"/>
          <w:lang w:val="el-GR"/>
        </w:rPr>
        <w:t xml:space="preserve"> </w:t>
      </w:r>
      <w:r w:rsidR="001C2EB7" w:rsidRPr="00AD039F">
        <w:rPr>
          <w:rFonts w:ascii="Ping LCG Regular" w:hAnsi="Ping LCG Regular" w:cs="Arial"/>
          <w:lang w:val="el-GR"/>
        </w:rPr>
        <w:t>μέσω της κοινοπραξίας ΜΕΤΩΝ ΕΝΕΡΓΕΙΑΚΗ Α.Ε.</w:t>
      </w:r>
      <w:r w:rsidR="00AE02B9" w:rsidRPr="00AD039F">
        <w:rPr>
          <w:rFonts w:ascii="Ping LCG Regular" w:hAnsi="Ping LCG Regular" w:cs="Arial"/>
          <w:lang w:val="el-GR"/>
        </w:rPr>
        <w:t xml:space="preserve"> στην οποία συμμετέχουν </w:t>
      </w:r>
      <w:r w:rsidR="001C2EB7" w:rsidRPr="00AD039F">
        <w:rPr>
          <w:rFonts w:ascii="Ping LCG Regular" w:hAnsi="Ping LCG Regular" w:cs="Arial"/>
          <w:lang w:val="el-GR"/>
        </w:rPr>
        <w:t xml:space="preserve">η RWE </w:t>
      </w:r>
      <w:proofErr w:type="spellStart"/>
      <w:r w:rsidR="001C2EB7" w:rsidRPr="00AD039F">
        <w:rPr>
          <w:rFonts w:ascii="Ping LCG Regular" w:hAnsi="Ping LCG Regular" w:cs="Arial"/>
          <w:lang w:val="el-GR"/>
        </w:rPr>
        <w:t>Renewables</w:t>
      </w:r>
      <w:proofErr w:type="spellEnd"/>
      <w:r w:rsidR="001C2EB7" w:rsidRPr="00AD039F">
        <w:rPr>
          <w:rFonts w:ascii="Ping LCG Regular" w:hAnsi="Ping LCG Regular" w:cs="Arial"/>
          <w:lang w:val="el-GR"/>
        </w:rPr>
        <w:t xml:space="preserve"> </w:t>
      </w:r>
      <w:proofErr w:type="spellStart"/>
      <w:r w:rsidR="001C2EB7" w:rsidRPr="00AD039F">
        <w:rPr>
          <w:rFonts w:ascii="Ping LCG Regular" w:hAnsi="Ping LCG Regular" w:cs="Arial"/>
          <w:lang w:val="el-GR"/>
        </w:rPr>
        <w:t>GmbH</w:t>
      </w:r>
      <w:proofErr w:type="spellEnd"/>
      <w:r w:rsidR="001C2EB7" w:rsidRPr="00AD039F">
        <w:rPr>
          <w:rFonts w:ascii="Ping LCG Regular" w:hAnsi="Ping LCG Regular" w:cs="Arial"/>
          <w:lang w:val="el-GR"/>
        </w:rPr>
        <w:t>, με ποσοστό 51% και η ΔΕΗ Ανανεώσιμες Α.Ε., με ποσοστό 49%.</w:t>
      </w:r>
    </w:p>
    <w:p w14:paraId="3E22463E" w14:textId="77777777" w:rsidR="001C2EB7" w:rsidRPr="00872A1E" w:rsidRDefault="001C2EB7" w:rsidP="001C2EB7">
      <w:pPr>
        <w:jc w:val="both"/>
        <w:rPr>
          <w:rFonts w:ascii="Ping LCG Regular" w:hAnsi="Ping LCG Regular" w:cs="Arial"/>
          <w:lang w:val="el-GR"/>
        </w:rPr>
      </w:pPr>
      <w:r w:rsidRPr="00AD039F">
        <w:rPr>
          <w:rFonts w:ascii="Ping LCG Regular" w:hAnsi="Ping LCG Regular" w:cs="Arial"/>
          <w:lang w:val="el-GR"/>
        </w:rPr>
        <w:t>Τα φωτοβολταϊκά έργα, συνολικής εγκατεστημένης ισχύος περίπου 210 MW, βρίσκονται στην περιοχή της Δυτικής Μακεδονίας, στη Β. Ελλάδα, εντός των ορίων του πρώην υπαίθριου λιγνιτωρυχείου του Αμυνταίου. Οι εργασίες</w:t>
      </w:r>
      <w:r w:rsidRPr="00872A1E">
        <w:rPr>
          <w:rFonts w:ascii="Ping LCG Regular" w:hAnsi="Ping LCG Regular" w:cs="Arial"/>
          <w:lang w:val="el-GR"/>
        </w:rPr>
        <w:t xml:space="preserve"> κατασκευής έχουν προγραμματιστεί να ξεκινήσουν την άνοιξη του τρέχοντος έτους. Τα πέντε έργα προβλέπεται να είναι πλήρως λειτουργικά έως το τέλος του πρώτου τριμήνου του 2024.</w:t>
      </w:r>
    </w:p>
    <w:p w14:paraId="43ED8241" w14:textId="77777777" w:rsidR="001C2EB7" w:rsidRPr="00872A1E" w:rsidRDefault="001C2EB7" w:rsidP="001C2EB7">
      <w:pPr>
        <w:jc w:val="both"/>
        <w:rPr>
          <w:rFonts w:ascii="Ping LCG Regular" w:hAnsi="Ping LCG Regular" w:cs="Arial"/>
          <w:lang w:val="el-GR"/>
        </w:rPr>
      </w:pPr>
      <w:r w:rsidRPr="00872A1E">
        <w:rPr>
          <w:rFonts w:ascii="Ping LCG Regular" w:hAnsi="Ping LCG Regular" w:cs="Arial"/>
          <w:lang w:val="el-GR"/>
        </w:rPr>
        <w:t>Η ΜΕΤΩΝ Ενεργειακή Α.Ε. έχει υπογράψει διμερείς επιχειρηματικές συμφωνίες αγοραπωλησίας ηλεκτρικής ενέργειας (</w:t>
      </w:r>
      <w:proofErr w:type="spellStart"/>
      <w:r w:rsidRPr="00872A1E">
        <w:rPr>
          <w:rFonts w:ascii="Ping LCG Regular" w:hAnsi="Ping LCG Regular" w:cs="Arial"/>
          <w:lang w:val="el-GR"/>
        </w:rPr>
        <w:t>PPAs</w:t>
      </w:r>
      <w:proofErr w:type="spellEnd"/>
      <w:r w:rsidRPr="00872A1E">
        <w:rPr>
          <w:rFonts w:ascii="Ping LCG Regular" w:hAnsi="Ping LCG Regular" w:cs="Arial"/>
          <w:lang w:val="el-GR"/>
        </w:rPr>
        <w:t>), διάρκειας μεταξύ 10 και 15 ετών με τρίτους, οι οποίοι θα αγοράζουν την πράσινη ηλεκτρική ενέργεια, που παράγεται από τα φωτοβολταϊκά έργα.</w:t>
      </w:r>
    </w:p>
    <w:p w14:paraId="09AAC744" w14:textId="77777777" w:rsidR="001C2EB7" w:rsidRPr="00872A1E" w:rsidRDefault="001C2EB7" w:rsidP="001C2EB7">
      <w:pPr>
        <w:jc w:val="both"/>
        <w:rPr>
          <w:rFonts w:ascii="Ping LCG Regular" w:hAnsi="Ping LCG Regular" w:cs="Arial"/>
          <w:lang w:val="el-GR"/>
        </w:rPr>
      </w:pPr>
      <w:r w:rsidRPr="00872A1E">
        <w:rPr>
          <w:rFonts w:ascii="Ping LCG Regular" w:hAnsi="Ping LCG Regular" w:cs="Arial"/>
          <w:lang w:val="el-GR"/>
        </w:rPr>
        <w:t xml:space="preserve">Για την εν λόγω επένδυση, με συνολικό προϋπολογισμό €180 εκατ., έχουν εξασφαλιστεί, στο πλαίσιο του δανειακού σκέλους του Εθνικού Σχεδίου Ανάκαμψης και Ανθεκτικότητας «Ελλάδα 2.0», €90 εκατ.  από το Ταμείο Ανάκαμψης και Ανθεκτικότητας (ΤΑΑ) και €54 εκατ. από τις τράπεζες </w:t>
      </w:r>
      <w:proofErr w:type="spellStart"/>
      <w:r w:rsidRPr="00872A1E">
        <w:rPr>
          <w:rFonts w:ascii="Ping LCG Regular" w:hAnsi="Ping LCG Regular" w:cs="Arial"/>
          <w:lang w:val="el-GR"/>
        </w:rPr>
        <w:t>Eurobank</w:t>
      </w:r>
      <w:proofErr w:type="spellEnd"/>
      <w:r w:rsidRPr="00872A1E">
        <w:rPr>
          <w:rFonts w:ascii="Ping LCG Regular" w:hAnsi="Ping LCG Regular" w:cs="Arial"/>
          <w:lang w:val="el-GR"/>
        </w:rPr>
        <w:t xml:space="preserve"> Α.Ε. και Alpha Bank Α.Ε., ενώ τα υπόλοιπα €36 εκατ.  αφορούν σε ίδια συμμετοχή. Η χρηματοδότηση βρίσκεται στο τελικό στάδιο του οικονομικού κλεισίματος.</w:t>
      </w:r>
    </w:p>
    <w:p w14:paraId="77AB3266" w14:textId="77777777" w:rsidR="001C2EB7" w:rsidRPr="00D379D0" w:rsidRDefault="001C2EB7" w:rsidP="001C2EB7">
      <w:pPr>
        <w:jc w:val="both"/>
        <w:rPr>
          <w:rFonts w:ascii="Ping LCG Regular" w:hAnsi="Ping LCG Regular" w:cs="Arial"/>
          <w:lang w:val="el-GR"/>
        </w:rPr>
      </w:pPr>
      <w:r w:rsidRPr="00D379D0">
        <w:rPr>
          <w:rFonts w:ascii="Ping LCG Regular" w:hAnsi="Ping LCG Regular" w:cs="Arial"/>
          <w:lang w:val="el-GR"/>
        </w:rPr>
        <w:t xml:space="preserve">Μέσω της κοινοπραξίας τους, η RWE </w:t>
      </w:r>
      <w:proofErr w:type="spellStart"/>
      <w:r w:rsidRPr="00D379D0">
        <w:rPr>
          <w:rFonts w:ascii="Ping LCG Regular" w:hAnsi="Ping LCG Regular" w:cs="Arial"/>
          <w:lang w:val="el-GR"/>
        </w:rPr>
        <w:t>Renewables</w:t>
      </w:r>
      <w:proofErr w:type="spellEnd"/>
      <w:r w:rsidRPr="00D379D0">
        <w:rPr>
          <w:rFonts w:ascii="Ping LCG Regular" w:hAnsi="Ping LCG Regular" w:cs="Arial"/>
          <w:lang w:val="el-GR"/>
        </w:rPr>
        <w:t xml:space="preserve"> και η ΔΕΗ Ανανεώσιμες αναπτύσσουν μεγάλης κλίμακας φωτοβολταϊκά έργα συνολικής δυναμικότητας έως 2.000 MW στην Ελλάδα. Η ΔΕΗ Ανανεώσιμες έχει συνεισφέρει στην κοινοπραξία εννέα φωτοβολταϊκά έργα συνολικής ισχύος έως 940 MW. Η RWE </w:t>
      </w:r>
      <w:proofErr w:type="spellStart"/>
      <w:r w:rsidRPr="00D379D0">
        <w:rPr>
          <w:rFonts w:ascii="Ping LCG Regular" w:hAnsi="Ping LCG Regular" w:cs="Arial"/>
          <w:lang w:val="el-GR"/>
        </w:rPr>
        <w:t>Renewables</w:t>
      </w:r>
      <w:proofErr w:type="spellEnd"/>
      <w:r w:rsidRPr="00D379D0">
        <w:rPr>
          <w:rFonts w:ascii="Ping LCG Regular" w:hAnsi="Ping LCG Regular" w:cs="Arial"/>
          <w:lang w:val="el-GR"/>
        </w:rPr>
        <w:t xml:space="preserve"> έχει συνεισφέρει στην κοινοπραξία ένα αντίστοιχου μεγέθους χαρτοφυλάκιο φωτοβολταϊκών έργων.</w:t>
      </w:r>
    </w:p>
    <w:p w14:paraId="7D0DFAFF" w14:textId="77777777" w:rsidR="001C2EB7" w:rsidRPr="00872A1E" w:rsidRDefault="001C2EB7" w:rsidP="00AF6553">
      <w:pPr>
        <w:jc w:val="both"/>
        <w:rPr>
          <w:rFonts w:ascii="Ping LCG Regular" w:hAnsi="Ping LCG Regular" w:cs="Arial"/>
          <w:highlight w:val="cyan"/>
          <w:lang w:val="el-GR"/>
        </w:rPr>
      </w:pPr>
    </w:p>
    <w:p w14:paraId="2B2B4E56" w14:textId="05A04F67" w:rsidR="00853E40" w:rsidRPr="004B46E6" w:rsidRDefault="004B46E6" w:rsidP="00853E40">
      <w:pPr>
        <w:jc w:val="both"/>
        <w:rPr>
          <w:rFonts w:ascii="Ping LCG Regular" w:hAnsi="Ping LCG Regular" w:cs="Arial"/>
          <w:b/>
          <w:bCs/>
          <w:i/>
          <w:iCs/>
          <w:lang w:val="el-GR"/>
        </w:rPr>
      </w:pPr>
      <w:r w:rsidRPr="004B46E6">
        <w:rPr>
          <w:rFonts w:ascii="Ping LCG Regular" w:hAnsi="Ping LCG Regular" w:cs="Arial"/>
          <w:b/>
          <w:bCs/>
          <w:i/>
          <w:iCs/>
          <w:lang w:val="el-GR"/>
        </w:rPr>
        <w:t>15.02.2023:</w:t>
      </w:r>
      <w:r w:rsidRPr="004B46E6">
        <w:rPr>
          <w:rFonts w:ascii="Ping LCG Regular" w:hAnsi="Ping LCG Regular" w:cs="Arial"/>
          <w:b/>
          <w:bCs/>
          <w:i/>
          <w:iCs/>
          <w:lang w:val="el-GR"/>
        </w:rPr>
        <w:tab/>
      </w:r>
      <w:r w:rsidR="00853E40" w:rsidRPr="004B46E6">
        <w:rPr>
          <w:rFonts w:ascii="Ping LCG Regular" w:hAnsi="Ping LCG Regular" w:cs="Arial"/>
          <w:b/>
          <w:bCs/>
          <w:i/>
          <w:iCs/>
          <w:lang w:val="el-GR"/>
        </w:rPr>
        <w:t>Ολοκλήρωση εξαγοράς αιολικών σταθμών παραγωγής ενέργειας, συνολικής ισχύος 44 MW και φωτοβολταϊκών σταθμών ισχύος 2 MW</w:t>
      </w:r>
    </w:p>
    <w:p w14:paraId="37690093" w14:textId="3F99ABBF" w:rsidR="00853E40" w:rsidRPr="00872A1E" w:rsidRDefault="00853E40" w:rsidP="00853E40">
      <w:pPr>
        <w:jc w:val="both"/>
        <w:rPr>
          <w:rFonts w:ascii="Ping LCG Regular" w:hAnsi="Ping LCG Regular" w:cs="Arial"/>
          <w:lang w:val="el-GR"/>
        </w:rPr>
      </w:pPr>
      <w:r w:rsidRPr="00456DBB">
        <w:rPr>
          <w:rFonts w:ascii="Ping LCG Regular" w:hAnsi="Ping LCG Regular" w:cs="Arial"/>
          <w:lang w:val="el-GR"/>
        </w:rPr>
        <w:t>Ολοκλήρωση της εξαγο</w:t>
      </w:r>
      <w:r w:rsidR="00456DBB" w:rsidRPr="00456DBB">
        <w:rPr>
          <w:rFonts w:ascii="Ping LCG Regular" w:hAnsi="Ping LCG Regular" w:cs="Arial"/>
          <w:lang w:val="el-GR"/>
        </w:rPr>
        <w:t xml:space="preserve">ράς </w:t>
      </w:r>
      <w:r w:rsidRPr="00456DBB">
        <w:rPr>
          <w:rFonts w:ascii="Ping LCG Regular" w:hAnsi="Ping LCG Regular" w:cs="Arial"/>
          <w:lang w:val="el-GR"/>
        </w:rPr>
        <w:t>αιολικών σταθμών παραγωγής ενέργειας συνολικής</w:t>
      </w:r>
      <w:r w:rsidRPr="00872A1E">
        <w:rPr>
          <w:rFonts w:ascii="Ping LCG Regular" w:hAnsi="Ping LCG Regular" w:cs="Arial"/>
          <w:lang w:val="el-GR"/>
        </w:rPr>
        <w:t xml:space="preserve"> ισχύος 44 MW στην Λακωνία και φωτοβολταϊκών πάρκων ισχύος 2 MW στην Θεσσαλία από τη</w:t>
      </w:r>
      <w:r w:rsidR="00456DBB">
        <w:rPr>
          <w:rFonts w:ascii="Ping LCG Regular" w:hAnsi="Ping LCG Regular" w:cs="Arial"/>
          <w:lang w:val="el-GR"/>
        </w:rPr>
        <w:t xml:space="preserve">ν </w:t>
      </w:r>
      <w:r w:rsidRPr="00872A1E">
        <w:rPr>
          <w:rFonts w:ascii="Ping LCG Regular" w:hAnsi="Ping LCG Regular" w:cs="Arial"/>
          <w:lang w:val="el-GR"/>
        </w:rPr>
        <w:t xml:space="preserve">ΔΕΗ Ανανεώσιμες, στο </w:t>
      </w:r>
      <w:r w:rsidRPr="00872A1E">
        <w:rPr>
          <w:rFonts w:ascii="Ping LCG Regular" w:hAnsi="Ping LCG Regular" w:cs="Arial"/>
          <w:lang w:val="el-GR"/>
        </w:rPr>
        <w:lastRenderedPageBreak/>
        <w:t xml:space="preserve">πλαίσιο της υπογεγραμμένης συμφωνίας πώλησης των μετοχών (SPA) με την </w:t>
      </w:r>
      <w:proofErr w:type="spellStart"/>
      <w:r w:rsidRPr="00872A1E">
        <w:rPr>
          <w:rFonts w:ascii="Ping LCG Regular" w:hAnsi="Ping LCG Regular" w:cs="Arial"/>
          <w:lang w:val="el-GR"/>
        </w:rPr>
        <w:t>Piraeus</w:t>
      </w:r>
      <w:proofErr w:type="spellEnd"/>
      <w:r w:rsidRPr="00872A1E">
        <w:rPr>
          <w:rFonts w:ascii="Ping LCG Regular" w:hAnsi="Ping LCG Regular" w:cs="Arial"/>
          <w:lang w:val="el-GR"/>
        </w:rPr>
        <w:t xml:space="preserve"> </w:t>
      </w:r>
      <w:proofErr w:type="spellStart"/>
      <w:r w:rsidRPr="00872A1E">
        <w:rPr>
          <w:rFonts w:ascii="Ping LCG Regular" w:hAnsi="Ping LCG Regular" w:cs="Arial"/>
          <w:lang w:val="el-GR"/>
        </w:rPr>
        <w:t>Equity</w:t>
      </w:r>
      <w:proofErr w:type="spellEnd"/>
      <w:r w:rsidRPr="00872A1E">
        <w:rPr>
          <w:rFonts w:ascii="Ping LCG Regular" w:hAnsi="Ping LCG Regular" w:cs="Arial"/>
          <w:lang w:val="el-GR"/>
        </w:rPr>
        <w:t xml:space="preserve"> </w:t>
      </w:r>
      <w:proofErr w:type="spellStart"/>
      <w:r w:rsidRPr="00872A1E">
        <w:rPr>
          <w:rFonts w:ascii="Ping LCG Regular" w:hAnsi="Ping LCG Regular" w:cs="Arial"/>
          <w:lang w:val="el-GR"/>
        </w:rPr>
        <w:t>Partners</w:t>
      </w:r>
      <w:proofErr w:type="spellEnd"/>
      <w:r w:rsidRPr="00872A1E">
        <w:rPr>
          <w:rFonts w:ascii="Ping LCG Regular" w:hAnsi="Ping LCG Regular" w:cs="Arial"/>
          <w:lang w:val="el-GR"/>
        </w:rPr>
        <w:t>.</w:t>
      </w:r>
    </w:p>
    <w:p w14:paraId="1E820FFD" w14:textId="77777777" w:rsidR="001C2EB7" w:rsidRPr="00872A1E" w:rsidRDefault="001C2EB7" w:rsidP="00AF6553">
      <w:pPr>
        <w:jc w:val="both"/>
        <w:rPr>
          <w:rFonts w:ascii="Ping LCG Regular" w:hAnsi="Ping LCG Regular" w:cs="Arial"/>
          <w:highlight w:val="cyan"/>
          <w:lang w:val="el-GR"/>
        </w:rPr>
      </w:pPr>
    </w:p>
    <w:p w14:paraId="5E218908" w14:textId="32C41A60" w:rsidR="00AF6553" w:rsidRPr="00193197" w:rsidRDefault="004B46E6" w:rsidP="00AF6553">
      <w:pPr>
        <w:jc w:val="both"/>
        <w:rPr>
          <w:rFonts w:ascii="Ping LCG Regular" w:hAnsi="Ping LCG Regular" w:cs="Arial"/>
          <w:b/>
          <w:bCs/>
          <w:i/>
          <w:iCs/>
          <w:lang w:val="el-GR"/>
        </w:rPr>
      </w:pPr>
      <w:r w:rsidRPr="00193197">
        <w:rPr>
          <w:rFonts w:ascii="Ping LCG Regular" w:hAnsi="Ping LCG Regular" w:cs="Arial"/>
          <w:b/>
          <w:bCs/>
          <w:i/>
          <w:iCs/>
          <w:lang w:val="el-GR"/>
        </w:rPr>
        <w:t>09.03.2023:</w:t>
      </w:r>
      <w:r w:rsidRPr="00193197">
        <w:rPr>
          <w:rFonts w:ascii="Ping LCG Regular" w:hAnsi="Ping LCG Regular" w:cs="Arial"/>
          <w:b/>
          <w:bCs/>
          <w:i/>
          <w:iCs/>
          <w:lang w:val="el-GR"/>
        </w:rPr>
        <w:tab/>
      </w:r>
      <w:r w:rsidR="00AF6553" w:rsidRPr="00193197">
        <w:rPr>
          <w:rFonts w:ascii="Ping LCG Regular" w:hAnsi="Ping LCG Regular" w:cs="Arial"/>
          <w:b/>
          <w:bCs/>
          <w:i/>
          <w:iCs/>
          <w:lang w:val="el-GR"/>
        </w:rPr>
        <w:t>Υπογραφή δεσμευτικής συμφωνίας για την εξαγορά των Δραστηριοτήτων της E</w:t>
      </w:r>
      <w:proofErr w:type="spellStart"/>
      <w:r w:rsidR="00005A30" w:rsidRPr="00193197">
        <w:rPr>
          <w:rFonts w:ascii="Ping LCG Regular" w:hAnsi="Ping LCG Regular" w:cs="Arial"/>
          <w:b/>
          <w:bCs/>
          <w:i/>
          <w:iCs/>
        </w:rPr>
        <w:t>nel</w:t>
      </w:r>
      <w:proofErr w:type="spellEnd"/>
      <w:r w:rsidR="00AF6553" w:rsidRPr="00193197">
        <w:rPr>
          <w:rFonts w:ascii="Ping LCG Regular" w:hAnsi="Ping LCG Regular" w:cs="Arial"/>
          <w:b/>
          <w:bCs/>
          <w:i/>
          <w:iCs/>
          <w:lang w:val="el-GR"/>
        </w:rPr>
        <w:t xml:space="preserve"> στην Ρουμανία</w:t>
      </w:r>
    </w:p>
    <w:p w14:paraId="69AA39D8" w14:textId="7CEB53AC" w:rsidR="00AF6553" w:rsidRPr="00193197" w:rsidRDefault="004B46E6" w:rsidP="00AF6553">
      <w:pPr>
        <w:jc w:val="both"/>
        <w:rPr>
          <w:rFonts w:ascii="Ping LCG Regular" w:hAnsi="Ping LCG Regular" w:cs="Arial"/>
          <w:lang w:val="el-GR"/>
        </w:rPr>
      </w:pPr>
      <w:r w:rsidRPr="00193197">
        <w:rPr>
          <w:rFonts w:ascii="Ping LCG Regular" w:hAnsi="Ping LCG Regular" w:cs="Arial"/>
          <w:lang w:val="el-GR"/>
        </w:rPr>
        <w:t xml:space="preserve">Υπογραφή δεσμευτικής συμφωνίας με την </w:t>
      </w:r>
      <w:r w:rsidRPr="00193197">
        <w:rPr>
          <w:rFonts w:ascii="Ping LCG Regular" w:hAnsi="Ping LCG Regular" w:cs="Arial"/>
        </w:rPr>
        <w:t>Enel</w:t>
      </w:r>
      <w:r w:rsidR="00AF6553" w:rsidRPr="00193197">
        <w:rPr>
          <w:rFonts w:ascii="Ping LCG Regular" w:hAnsi="Ping LCG Regular" w:cs="Arial"/>
          <w:lang w:val="el-GR"/>
        </w:rPr>
        <w:t xml:space="preserve"> </w:t>
      </w:r>
      <w:proofErr w:type="spellStart"/>
      <w:r w:rsidR="00AF6553" w:rsidRPr="00193197">
        <w:rPr>
          <w:rFonts w:ascii="Ping LCG Regular" w:hAnsi="Ping LCG Regular" w:cs="Arial"/>
          <w:lang w:val="el-GR"/>
        </w:rPr>
        <w:t>S.p.A</w:t>
      </w:r>
      <w:proofErr w:type="spellEnd"/>
      <w:r w:rsidR="00AF6553" w:rsidRPr="00193197">
        <w:rPr>
          <w:rFonts w:ascii="Ping LCG Regular" w:hAnsi="Ping LCG Regular" w:cs="Arial"/>
          <w:lang w:val="el-GR"/>
        </w:rPr>
        <w:t>. (“</w:t>
      </w:r>
      <w:proofErr w:type="spellStart"/>
      <w:r w:rsidR="00AF6553" w:rsidRPr="00193197">
        <w:rPr>
          <w:rFonts w:ascii="Ping LCG Regular" w:hAnsi="Ping LCG Regular" w:cs="Arial"/>
          <w:lang w:val="el-GR"/>
        </w:rPr>
        <w:t>Enel</w:t>
      </w:r>
      <w:proofErr w:type="spellEnd"/>
      <w:r w:rsidR="00AF6553" w:rsidRPr="00193197">
        <w:rPr>
          <w:rFonts w:ascii="Ping LCG Regular" w:hAnsi="Ping LCG Regular" w:cs="Arial"/>
          <w:lang w:val="el-GR"/>
        </w:rPr>
        <w:t xml:space="preserve">”) για την εξαγορά του συνόλου των συμμετοχών που κατέχονται από την </w:t>
      </w:r>
      <w:proofErr w:type="spellStart"/>
      <w:r w:rsidR="00AF6553" w:rsidRPr="00193197">
        <w:rPr>
          <w:rFonts w:ascii="Ping LCG Regular" w:hAnsi="Ping LCG Regular" w:cs="Arial"/>
          <w:lang w:val="el-GR"/>
        </w:rPr>
        <w:t>Enel</w:t>
      </w:r>
      <w:proofErr w:type="spellEnd"/>
      <w:r w:rsidR="00AF6553" w:rsidRPr="00193197">
        <w:rPr>
          <w:rFonts w:ascii="Ping LCG Regular" w:hAnsi="Ping LCG Regular" w:cs="Arial"/>
          <w:lang w:val="el-GR"/>
        </w:rPr>
        <w:t xml:space="preserve"> και τις θυγατρικές αυτής στη Ρουμανία έναντι συνολικού τιμήματος €1.260 εκατ</w:t>
      </w:r>
      <w:r w:rsidR="007055D9" w:rsidRPr="00193197">
        <w:rPr>
          <w:rFonts w:ascii="Ping LCG Regular" w:hAnsi="Ping LCG Regular" w:cs="Arial"/>
          <w:lang w:val="el-GR"/>
        </w:rPr>
        <w:t xml:space="preserve">. </w:t>
      </w:r>
      <w:r w:rsidR="00AF6553" w:rsidRPr="00193197">
        <w:rPr>
          <w:rFonts w:ascii="Ping LCG Regular" w:hAnsi="Ping LCG Regular" w:cs="Arial"/>
          <w:lang w:val="el-GR"/>
        </w:rPr>
        <w:t>περίπου (βάσει της συνολικής αξίας της επιχείρησης που προσδιορίστηκε σε €1.900 εκατ</w:t>
      </w:r>
      <w:r w:rsidR="007055D9" w:rsidRPr="00193197">
        <w:rPr>
          <w:rFonts w:ascii="Ping LCG Regular" w:hAnsi="Ping LCG Regular" w:cs="Arial"/>
          <w:lang w:val="el-GR"/>
        </w:rPr>
        <w:t xml:space="preserve">. </w:t>
      </w:r>
      <w:r w:rsidR="00AF6553" w:rsidRPr="00193197">
        <w:rPr>
          <w:rFonts w:ascii="Ping LCG Regular" w:hAnsi="Ping LCG Regular" w:cs="Arial"/>
          <w:lang w:val="el-GR"/>
        </w:rPr>
        <w:t xml:space="preserve">περίπου). Το τελικό τίμημα υπόκειται σε συνήθεις αναπροσαρμογές με βάσει την μελλοντική αύξηση της αξίας των δραστηριοτήτων της Εμπορίας στην Ρουμανία. Η ολοκλήρωση της Εξαγοράς αναμένεται να πραγματοποιηθεί μέχρι το τρίτο τρίμηνο του 2023 και θα υπόκειται σε ορισμένες προϋποθέσεις (συνήθεις σε τέτοιου είδους συναλλαγές), συμπεριλαμβανομένης μεταξύ άλλων της έγκρισης από τις αρμόδιες αρχές ανταγωνισμού. </w:t>
      </w:r>
    </w:p>
    <w:p w14:paraId="427A1039" w14:textId="77777777" w:rsidR="00AF6553" w:rsidRPr="00193197" w:rsidRDefault="00AF6553" w:rsidP="00AF6553">
      <w:pPr>
        <w:jc w:val="both"/>
        <w:rPr>
          <w:rFonts w:ascii="Ping LCG Regular" w:hAnsi="Ping LCG Regular" w:cs="Arial"/>
          <w:lang w:val="el-GR"/>
        </w:rPr>
      </w:pPr>
      <w:r w:rsidRPr="00193197">
        <w:rPr>
          <w:rFonts w:ascii="Ping LCG Regular" w:hAnsi="Ping LCG Regular" w:cs="Arial"/>
          <w:lang w:val="el-GR"/>
        </w:rPr>
        <w:t>Η Δ.Ε.Η. προτίθεται να χρηματοδοτήσει την εξαγορά μέσω συνδυασμού δανειακών και ιδίων κεφαλαίων της, εκ των οποίων ποσό ύψους €800 εκατ. θα προέλθει από ήδη εξασφαλισμένη δανειακή χρηματοδότηση διαθέσιμη με τη μορφή δανείου ύψους €485 εκατ. και διάρκειας 5 ετών από Ελληνικές τράπεζες, καθώς και δανείου-γέφυρας ύψους €315 εκατ. από διεθνείς τράπεζες.</w:t>
      </w:r>
    </w:p>
    <w:p w14:paraId="52F5C794" w14:textId="77777777" w:rsidR="00D40061" w:rsidRPr="00193197" w:rsidRDefault="00D40061" w:rsidP="00AF6553">
      <w:pPr>
        <w:jc w:val="both"/>
        <w:rPr>
          <w:rFonts w:ascii="Ping LCG Regular" w:hAnsi="Ping LCG Regular" w:cs="Arial"/>
          <w:lang w:val="el-GR"/>
        </w:rPr>
      </w:pPr>
    </w:p>
    <w:p w14:paraId="15EB8E8B" w14:textId="77777777" w:rsidR="00290F90" w:rsidRPr="00872A1E" w:rsidRDefault="00290F90" w:rsidP="00290F90">
      <w:pPr>
        <w:jc w:val="both"/>
        <w:rPr>
          <w:rFonts w:ascii="Ping LCG Regular" w:hAnsi="Ping LCG Regular" w:cs="Arial"/>
          <w:lang w:val="el-GR"/>
        </w:rPr>
      </w:pPr>
    </w:p>
    <w:p w14:paraId="6B316410" w14:textId="77777777" w:rsidR="000A32FC" w:rsidRPr="00872A1E" w:rsidRDefault="000A32FC">
      <w:pPr>
        <w:rPr>
          <w:rFonts w:ascii="Ping LCG Regular" w:hAnsi="Ping LCG Regular" w:cs="Arial"/>
          <w:spacing w:val="-14"/>
          <w:sz w:val="22"/>
          <w:szCs w:val="22"/>
          <w:lang w:val="el-GR"/>
        </w:rPr>
      </w:pPr>
      <w:r w:rsidRPr="00872A1E">
        <w:rPr>
          <w:rFonts w:ascii="Ping LCG Regular" w:hAnsi="Ping LCG Regular" w:cs="Arial"/>
          <w:spacing w:val="-14"/>
          <w:sz w:val="22"/>
          <w:szCs w:val="22"/>
          <w:lang w:val="el-GR"/>
        </w:rPr>
        <w:br w:type="page"/>
      </w:r>
    </w:p>
    <w:p w14:paraId="29334026" w14:textId="4BB7F4A6" w:rsidR="00454FD8" w:rsidRPr="00872A1E" w:rsidRDefault="00454FD8" w:rsidP="00454FD8">
      <w:pPr>
        <w:rPr>
          <w:rFonts w:ascii="Ping LCG Regular" w:hAnsi="Ping LCG Regular" w:cs="Arial"/>
          <w:spacing w:val="-14"/>
          <w:sz w:val="22"/>
          <w:szCs w:val="22"/>
          <w:lang w:val="el-GR"/>
        </w:rPr>
      </w:pPr>
      <w:r w:rsidRPr="00872A1E">
        <w:rPr>
          <w:rFonts w:ascii="Ping LCG Regular" w:hAnsi="Ping LCG Regular" w:cs="Arial"/>
          <w:spacing w:val="-14"/>
          <w:sz w:val="22"/>
          <w:szCs w:val="22"/>
          <w:lang w:val="el-GR"/>
        </w:rPr>
        <w:lastRenderedPageBreak/>
        <w:t>Για περισσότερες πληροφορίες παρακαλούμε απευθυνθείτε στη Διεύθυνση Επενδυτικών Σχέσεων (</w:t>
      </w:r>
      <w:proofErr w:type="spellStart"/>
      <w:r w:rsidRPr="00872A1E">
        <w:rPr>
          <w:rFonts w:ascii="Ping LCG Regular" w:hAnsi="Ping LCG Regular" w:cs="Arial"/>
          <w:spacing w:val="-14"/>
          <w:sz w:val="22"/>
          <w:szCs w:val="22"/>
        </w:rPr>
        <w:t>ir</w:t>
      </w:r>
      <w:proofErr w:type="spellEnd"/>
      <w:r w:rsidRPr="00872A1E">
        <w:rPr>
          <w:rFonts w:ascii="Ping LCG Regular" w:hAnsi="Ping LCG Regular" w:cs="Arial"/>
          <w:spacing w:val="-14"/>
          <w:sz w:val="22"/>
          <w:szCs w:val="22"/>
          <w:lang w:val="el-GR"/>
        </w:rPr>
        <w:t>@</w:t>
      </w:r>
      <w:proofErr w:type="spellStart"/>
      <w:r w:rsidRPr="00872A1E">
        <w:rPr>
          <w:rFonts w:ascii="Ping LCG Regular" w:hAnsi="Ping LCG Regular" w:cs="Arial"/>
          <w:spacing w:val="-14"/>
          <w:sz w:val="22"/>
          <w:szCs w:val="22"/>
        </w:rPr>
        <w:t>dei</w:t>
      </w:r>
      <w:proofErr w:type="spellEnd"/>
      <w:r w:rsidRPr="00872A1E">
        <w:rPr>
          <w:rFonts w:ascii="Ping LCG Regular" w:hAnsi="Ping LCG Regular" w:cs="Arial"/>
          <w:spacing w:val="-14"/>
          <w:sz w:val="22"/>
          <w:szCs w:val="22"/>
          <w:lang w:val="el-GR"/>
        </w:rPr>
        <w:t>.</w:t>
      </w:r>
      <w:r w:rsidRPr="00872A1E">
        <w:rPr>
          <w:rFonts w:ascii="Ping LCG Regular" w:hAnsi="Ping LCG Regular" w:cs="Arial"/>
          <w:spacing w:val="-14"/>
          <w:sz w:val="22"/>
          <w:szCs w:val="22"/>
        </w:rPr>
        <w:t>gr</w:t>
      </w:r>
      <w:r w:rsidRPr="00872A1E">
        <w:rPr>
          <w:rFonts w:ascii="Ping LCG Regular" w:hAnsi="Ping LCG Regular" w:cs="Arial"/>
          <w:spacing w:val="-14"/>
          <w:sz w:val="22"/>
          <w:szCs w:val="22"/>
          <w:lang w:val="el-GR"/>
        </w:rPr>
        <w:t>):</w:t>
      </w:r>
    </w:p>
    <w:p w14:paraId="2E30B34B" w14:textId="77777777" w:rsidR="00454FD8" w:rsidRPr="00872A1E" w:rsidRDefault="00454FD8" w:rsidP="00454FD8">
      <w:pPr>
        <w:pStyle w:val="af1"/>
        <w:numPr>
          <w:ilvl w:val="0"/>
          <w:numId w:val="2"/>
        </w:numPr>
        <w:autoSpaceDE w:val="0"/>
        <w:autoSpaceDN w:val="0"/>
        <w:adjustRightInd w:val="0"/>
        <w:jc w:val="both"/>
        <w:rPr>
          <w:rFonts w:ascii="Ping LCG Regular" w:hAnsi="Ping LCG Regular" w:cs="Arial"/>
          <w:bCs/>
          <w:i/>
          <w:spacing w:val="-14"/>
          <w:sz w:val="22"/>
          <w:szCs w:val="22"/>
        </w:rPr>
      </w:pPr>
      <w:r w:rsidRPr="00872A1E">
        <w:rPr>
          <w:rFonts w:ascii="Ping LCG Regular" w:hAnsi="Ping LCG Regular" w:cs="Arial"/>
          <w:spacing w:val="-14"/>
          <w:sz w:val="22"/>
          <w:szCs w:val="22"/>
        </w:rPr>
        <w:t xml:space="preserve">κ. Ιωάννη </w:t>
      </w:r>
      <w:proofErr w:type="spellStart"/>
      <w:r w:rsidRPr="00872A1E">
        <w:rPr>
          <w:rFonts w:ascii="Ping LCG Regular" w:hAnsi="Ping LCG Regular" w:cs="Arial"/>
          <w:spacing w:val="-14"/>
          <w:sz w:val="22"/>
          <w:szCs w:val="22"/>
        </w:rPr>
        <w:t>Στέφο</w:t>
      </w:r>
      <w:proofErr w:type="spellEnd"/>
      <w:r w:rsidRPr="00872A1E">
        <w:rPr>
          <w:rFonts w:ascii="Ping LCG Regular" w:hAnsi="Ping LCG Regular" w:cs="Arial"/>
          <w:spacing w:val="-14"/>
          <w:sz w:val="22"/>
          <w:szCs w:val="22"/>
        </w:rPr>
        <w:t xml:space="preserve">, Διευθυντή Επενδυτικών Σχέσεων, </w:t>
      </w:r>
    </w:p>
    <w:p w14:paraId="1D5B14A6" w14:textId="77777777" w:rsidR="00454FD8" w:rsidRPr="00872A1E" w:rsidRDefault="00454FD8" w:rsidP="00454FD8">
      <w:pPr>
        <w:pStyle w:val="af1"/>
        <w:autoSpaceDE w:val="0"/>
        <w:autoSpaceDN w:val="0"/>
        <w:adjustRightInd w:val="0"/>
        <w:ind w:left="540"/>
        <w:jc w:val="both"/>
        <w:rPr>
          <w:rFonts w:ascii="Ping LCG Regular" w:hAnsi="Ping LCG Regular" w:cs="Arial"/>
          <w:bCs/>
          <w:i/>
          <w:spacing w:val="-14"/>
          <w:sz w:val="22"/>
          <w:szCs w:val="22"/>
        </w:rPr>
      </w:pPr>
      <w:proofErr w:type="spellStart"/>
      <w:r w:rsidRPr="00872A1E">
        <w:rPr>
          <w:rFonts w:ascii="Ping LCG Regular" w:hAnsi="Ping LCG Regular" w:cs="Arial"/>
          <w:spacing w:val="-14"/>
          <w:sz w:val="22"/>
          <w:szCs w:val="22"/>
        </w:rPr>
        <w:t>τηλ</w:t>
      </w:r>
      <w:proofErr w:type="spellEnd"/>
      <w:r w:rsidRPr="00872A1E">
        <w:rPr>
          <w:rFonts w:ascii="Ping LCG Regular" w:hAnsi="Ping LCG Regular" w:cs="Arial"/>
          <w:spacing w:val="-14"/>
          <w:sz w:val="22"/>
          <w:szCs w:val="22"/>
          <w:lang w:val="en-US"/>
        </w:rPr>
        <w:t xml:space="preserve">. 210 5292153, e-mail: i.stefos@dei.gr, </w:t>
      </w:r>
      <w:r w:rsidRPr="00872A1E">
        <w:rPr>
          <w:rFonts w:ascii="Ping LCG Regular" w:hAnsi="Ping LCG Regular" w:cs="Arial"/>
          <w:spacing w:val="-14"/>
          <w:sz w:val="22"/>
          <w:szCs w:val="22"/>
        </w:rPr>
        <w:t xml:space="preserve"> και</w:t>
      </w:r>
    </w:p>
    <w:p w14:paraId="4A33D3F5" w14:textId="77777777" w:rsidR="00454FD8" w:rsidRPr="00872A1E" w:rsidRDefault="00454FD8" w:rsidP="00454FD8">
      <w:pPr>
        <w:pStyle w:val="af1"/>
        <w:numPr>
          <w:ilvl w:val="0"/>
          <w:numId w:val="2"/>
        </w:numPr>
        <w:autoSpaceDE w:val="0"/>
        <w:autoSpaceDN w:val="0"/>
        <w:adjustRightInd w:val="0"/>
        <w:jc w:val="both"/>
        <w:rPr>
          <w:rFonts w:ascii="Ping LCG Regular" w:hAnsi="Ping LCG Regular" w:cs="Arial"/>
          <w:bCs/>
          <w:i/>
          <w:spacing w:val="-14"/>
          <w:sz w:val="22"/>
          <w:szCs w:val="22"/>
        </w:rPr>
      </w:pPr>
      <w:r w:rsidRPr="00872A1E">
        <w:rPr>
          <w:rFonts w:ascii="Ping LCG Regular" w:hAnsi="Ping LCG Regular" w:cs="Arial"/>
          <w:spacing w:val="-14"/>
          <w:sz w:val="22"/>
          <w:szCs w:val="22"/>
        </w:rPr>
        <w:t xml:space="preserve">κ. Εμμανουήλ Χατζάκη, Διευθυντή Κλάδου Σχέσεων με Αγορές, </w:t>
      </w:r>
    </w:p>
    <w:p w14:paraId="41574BED" w14:textId="77777777" w:rsidR="00454FD8" w:rsidRPr="00872A1E" w:rsidRDefault="00454FD8" w:rsidP="00454FD8">
      <w:pPr>
        <w:ind w:firstLine="540"/>
        <w:rPr>
          <w:rFonts w:ascii="Ping LCG Regular" w:hAnsi="Ping LCG Regular" w:cs="Arial"/>
          <w:spacing w:val="-14"/>
          <w:sz w:val="22"/>
          <w:szCs w:val="22"/>
        </w:rPr>
      </w:pPr>
      <w:proofErr w:type="spellStart"/>
      <w:r w:rsidRPr="00872A1E">
        <w:rPr>
          <w:rFonts w:ascii="Ping LCG Regular" w:hAnsi="Ping LCG Regular" w:cs="Arial"/>
          <w:spacing w:val="-14"/>
          <w:sz w:val="22"/>
          <w:szCs w:val="22"/>
        </w:rPr>
        <w:t>τηλ</w:t>
      </w:r>
      <w:proofErr w:type="spellEnd"/>
      <w:r w:rsidRPr="00872A1E">
        <w:rPr>
          <w:rFonts w:ascii="Ping LCG Regular" w:hAnsi="Ping LCG Regular" w:cs="Arial"/>
          <w:spacing w:val="-14"/>
          <w:sz w:val="22"/>
          <w:szCs w:val="22"/>
        </w:rPr>
        <w:t xml:space="preserve">. 210 5235832, e-mail: </w:t>
      </w:r>
      <w:hyperlink r:id="rId15" w:history="1">
        <w:r w:rsidRPr="00872A1E">
          <w:rPr>
            <w:rFonts w:ascii="Ping LCG Regular" w:hAnsi="Ping LCG Regular" w:cs="Arial"/>
            <w:spacing w:val="-14"/>
            <w:sz w:val="22"/>
            <w:szCs w:val="22"/>
          </w:rPr>
          <w:t>e.hatzakis@dei.gr</w:t>
        </w:r>
      </w:hyperlink>
      <w:r w:rsidRPr="00872A1E">
        <w:rPr>
          <w:rFonts w:ascii="Ping LCG Regular" w:hAnsi="Ping LCG Regular" w:cs="Arial"/>
          <w:spacing w:val="-14"/>
          <w:sz w:val="22"/>
          <w:szCs w:val="22"/>
        </w:rPr>
        <w:t>.</w:t>
      </w:r>
    </w:p>
    <w:p w14:paraId="4D08887B" w14:textId="77777777" w:rsidR="00454FD8" w:rsidRPr="00872A1E" w:rsidRDefault="00454FD8" w:rsidP="00454FD8">
      <w:pPr>
        <w:spacing w:after="200" w:line="276" w:lineRule="auto"/>
        <w:rPr>
          <w:rFonts w:ascii="Ping LCG Regular" w:hAnsi="Ping LCG Regular" w:cs="Arial"/>
          <w:spacing w:val="-14"/>
          <w:sz w:val="22"/>
          <w:szCs w:val="22"/>
        </w:rPr>
      </w:pPr>
    </w:p>
    <w:p w14:paraId="5B68B82A" w14:textId="77777777" w:rsidR="00454FD8" w:rsidRPr="00872A1E" w:rsidRDefault="00454FD8" w:rsidP="00454FD8">
      <w:pPr>
        <w:spacing w:after="200" w:line="276" w:lineRule="auto"/>
        <w:jc w:val="both"/>
        <w:rPr>
          <w:rFonts w:ascii="Ping LCG Regular" w:hAnsi="Ping LCG Regular" w:cs="Arial"/>
          <w:spacing w:val="-14"/>
          <w:sz w:val="22"/>
          <w:szCs w:val="22"/>
          <w:lang w:val="el-GR"/>
        </w:rPr>
      </w:pPr>
      <w:r w:rsidRPr="00872A1E">
        <w:rPr>
          <w:rFonts w:ascii="Ping LCG Regular" w:hAnsi="Ping LCG Regular" w:cs="Arial"/>
          <w:spacing w:val="-14"/>
          <w:sz w:val="22"/>
          <w:szCs w:val="22"/>
          <w:lang w:val="el-GR"/>
        </w:rPr>
        <w:t>Το Δελτίο Τύπου είναι διαθέσιμο στον διαδικτυακό τόπο της ΔΕΗ Α.Ε (</w:t>
      </w:r>
      <w:hyperlink r:id="rId16" w:history="1">
        <w:r w:rsidRPr="00872A1E">
          <w:rPr>
            <w:rStyle w:val="-"/>
            <w:rFonts w:ascii="Ping LCG Regular" w:hAnsi="Ping LCG Regular" w:cs="Arial"/>
            <w:spacing w:val="-14"/>
            <w:sz w:val="22"/>
            <w:szCs w:val="22"/>
          </w:rPr>
          <w:t>www</w:t>
        </w:r>
        <w:r w:rsidRPr="00872A1E">
          <w:rPr>
            <w:rStyle w:val="-"/>
            <w:rFonts w:ascii="Ping LCG Regular" w:hAnsi="Ping LCG Regular"/>
            <w:sz w:val="22"/>
            <w:szCs w:val="22"/>
            <w:lang w:val="el-GR"/>
          </w:rPr>
          <w:t>.</w:t>
        </w:r>
        <w:proofErr w:type="spellStart"/>
        <w:r w:rsidRPr="00872A1E">
          <w:rPr>
            <w:rStyle w:val="-"/>
            <w:rFonts w:ascii="Ping LCG Regular" w:hAnsi="Ping LCG Regular" w:cs="Arial"/>
            <w:spacing w:val="-14"/>
            <w:sz w:val="22"/>
            <w:szCs w:val="22"/>
          </w:rPr>
          <w:t>dei</w:t>
        </w:r>
        <w:proofErr w:type="spellEnd"/>
        <w:r w:rsidRPr="00872A1E">
          <w:rPr>
            <w:rStyle w:val="-"/>
            <w:rFonts w:ascii="Ping LCG Regular" w:hAnsi="Ping LCG Regular"/>
            <w:sz w:val="22"/>
            <w:szCs w:val="22"/>
            <w:lang w:val="el-GR"/>
          </w:rPr>
          <w:t>.</w:t>
        </w:r>
        <w:r w:rsidRPr="00872A1E">
          <w:rPr>
            <w:rStyle w:val="-"/>
            <w:rFonts w:ascii="Ping LCG Regular" w:hAnsi="Ping LCG Regular" w:cs="Arial"/>
            <w:spacing w:val="-14"/>
            <w:sz w:val="22"/>
            <w:szCs w:val="22"/>
          </w:rPr>
          <w:t>gr</w:t>
        </w:r>
      </w:hyperlink>
      <w:r w:rsidRPr="00872A1E">
        <w:rPr>
          <w:rFonts w:ascii="Ping LCG Regular" w:hAnsi="Ping LCG Regular" w:cs="Arial"/>
          <w:spacing w:val="-14"/>
          <w:sz w:val="22"/>
          <w:szCs w:val="22"/>
          <w:lang w:val="el-GR"/>
        </w:rPr>
        <w:t xml:space="preserve">) στην ενότητα “Επενδυτικές Σχέσεις”. </w:t>
      </w:r>
    </w:p>
    <w:p w14:paraId="276244EF" w14:textId="77777777" w:rsidR="00454FD8" w:rsidRPr="00872A1E" w:rsidRDefault="00454FD8" w:rsidP="00454FD8">
      <w:pPr>
        <w:spacing w:after="200" w:line="276" w:lineRule="auto"/>
        <w:jc w:val="both"/>
        <w:rPr>
          <w:rFonts w:ascii="Ping LCG Regular" w:hAnsi="Ping LCG Regular" w:cs="Arial"/>
          <w:b/>
          <w:bCs/>
          <w:spacing w:val="-14"/>
          <w:sz w:val="22"/>
          <w:szCs w:val="22"/>
          <w:lang w:val="el-GR"/>
        </w:rPr>
      </w:pPr>
      <w:r w:rsidRPr="00872A1E">
        <w:rPr>
          <w:rFonts w:ascii="Ping LCG Regular" w:hAnsi="Ping LCG Regular" w:cs="Arial"/>
          <w:b/>
          <w:bCs/>
          <w:spacing w:val="-14"/>
          <w:sz w:val="22"/>
          <w:szCs w:val="22"/>
          <w:lang w:val="el-GR"/>
        </w:rPr>
        <w:t>Σχετικά με τη Δημόσια Επιχείρηση Ηλεκτρισμού Α.Ε.</w:t>
      </w:r>
    </w:p>
    <w:p w14:paraId="305E94F5" w14:textId="50386CB0" w:rsidR="00454FD8" w:rsidRPr="00E3706A" w:rsidRDefault="00D30637">
      <w:pPr>
        <w:spacing w:after="120"/>
        <w:jc w:val="both"/>
        <w:rPr>
          <w:rFonts w:ascii="Ping LCG Regular" w:hAnsi="Ping LCG Regular" w:cs="Arial"/>
          <w:spacing w:val="-14"/>
          <w:sz w:val="22"/>
          <w:szCs w:val="22"/>
          <w:lang w:val="el-GR"/>
        </w:rPr>
      </w:pPr>
      <w:r w:rsidRPr="00872A1E">
        <w:rPr>
          <w:rFonts w:ascii="Ping LCG Regular" w:hAnsi="Ping LCG Regular" w:cs="Arial"/>
          <w:spacing w:val="-14"/>
          <w:sz w:val="22"/>
          <w:szCs w:val="22"/>
          <w:lang w:val="el-GR"/>
        </w:rPr>
        <w:t xml:space="preserve">Η Δ.Ε.Η. είναι ο μεγαλύτερος παραγωγός και προμηθευτής ηλεκτρικής ενέργειας στην Ελλάδα </w:t>
      </w:r>
      <w:r w:rsidR="00243B31" w:rsidRPr="00872A1E">
        <w:rPr>
          <w:rFonts w:ascii="Ping LCG Regular" w:hAnsi="Ping LCG Regular" w:cs="Arial"/>
          <w:spacing w:val="-14"/>
          <w:sz w:val="22"/>
          <w:szCs w:val="22"/>
          <w:lang w:val="el-GR"/>
        </w:rPr>
        <w:t>με παραγωγικό δυναμικό 1</w:t>
      </w:r>
      <w:r w:rsidR="0001119C">
        <w:rPr>
          <w:rFonts w:ascii="Ping LCG Regular" w:hAnsi="Ping LCG Regular" w:cs="Arial"/>
          <w:spacing w:val="-14"/>
          <w:sz w:val="22"/>
          <w:szCs w:val="22"/>
          <w:lang w:val="el-GR"/>
        </w:rPr>
        <w:t>1</w:t>
      </w:r>
      <w:r w:rsidR="00243B31" w:rsidRPr="00872A1E">
        <w:rPr>
          <w:rFonts w:ascii="Ping LCG Regular" w:hAnsi="Ping LCG Regular" w:cs="Arial"/>
          <w:spacing w:val="-14"/>
          <w:sz w:val="22"/>
          <w:szCs w:val="22"/>
          <w:lang w:val="el-GR"/>
        </w:rPr>
        <w:t>,</w:t>
      </w:r>
      <w:r w:rsidR="0001119C">
        <w:rPr>
          <w:rFonts w:ascii="Ping LCG Regular" w:hAnsi="Ping LCG Regular" w:cs="Arial"/>
          <w:spacing w:val="-14"/>
          <w:sz w:val="22"/>
          <w:szCs w:val="22"/>
          <w:lang w:val="el-GR"/>
        </w:rPr>
        <w:t>1</w:t>
      </w:r>
      <w:r w:rsidR="00243B31" w:rsidRPr="00872A1E">
        <w:rPr>
          <w:rFonts w:ascii="Ping LCG Regular" w:hAnsi="Ping LCG Regular" w:cs="Arial"/>
          <w:spacing w:val="-14"/>
          <w:sz w:val="22"/>
          <w:szCs w:val="22"/>
          <w:lang w:val="el-GR"/>
        </w:rPr>
        <w:t xml:space="preserve"> GW, </w:t>
      </w:r>
      <w:r w:rsidRPr="00872A1E">
        <w:rPr>
          <w:rFonts w:ascii="Ping LCG Regular" w:hAnsi="Ping LCG Regular" w:cs="Arial"/>
          <w:spacing w:val="-14"/>
          <w:sz w:val="22"/>
          <w:szCs w:val="22"/>
          <w:lang w:val="el-GR"/>
        </w:rPr>
        <w:t>εξυπηρετώντας περίπου 5,</w:t>
      </w:r>
      <w:r w:rsidR="00DA1831">
        <w:rPr>
          <w:rFonts w:ascii="Ping LCG Regular" w:hAnsi="Ping LCG Regular" w:cs="Arial"/>
          <w:spacing w:val="-14"/>
          <w:sz w:val="22"/>
          <w:szCs w:val="22"/>
          <w:lang w:val="el-GR"/>
        </w:rPr>
        <w:t>6</w:t>
      </w:r>
      <w:r w:rsidRPr="00872A1E">
        <w:rPr>
          <w:rFonts w:ascii="Ping LCG Regular" w:hAnsi="Ping LCG Regular" w:cs="Arial"/>
          <w:spacing w:val="-14"/>
          <w:sz w:val="22"/>
          <w:szCs w:val="22"/>
          <w:lang w:val="el-GR"/>
        </w:rPr>
        <w:t xml:space="preserve"> εκατ</w:t>
      </w:r>
      <w:r w:rsidR="008D67FF">
        <w:rPr>
          <w:rFonts w:ascii="Ping LCG Regular" w:hAnsi="Ping LCG Regular" w:cs="Arial"/>
          <w:spacing w:val="-14"/>
          <w:sz w:val="22"/>
          <w:szCs w:val="22"/>
          <w:lang w:val="el-GR"/>
        </w:rPr>
        <w:t>.</w:t>
      </w:r>
      <w:r w:rsidRPr="00872A1E">
        <w:rPr>
          <w:rFonts w:ascii="Ping LCG Regular" w:hAnsi="Ping LCG Regular" w:cs="Arial"/>
          <w:spacing w:val="-14"/>
          <w:sz w:val="22"/>
          <w:szCs w:val="22"/>
          <w:lang w:val="el-GR"/>
        </w:rPr>
        <w:t xml:space="preserve"> καταναλωτές. Επιπλέον, η Δ.Ε.Η. κατέχει το 51% των μετοχών του Διαχειριστή Ελληνικού Δικτύου Διανομής </w:t>
      </w:r>
      <w:r w:rsidRPr="00E3706A">
        <w:rPr>
          <w:rFonts w:ascii="Ping LCG Regular" w:hAnsi="Ping LCG Regular" w:cs="Arial"/>
          <w:spacing w:val="-14"/>
          <w:sz w:val="22"/>
          <w:szCs w:val="22"/>
          <w:lang w:val="el-GR"/>
        </w:rPr>
        <w:t>Ηλεκτρικής Ενέργειας Α.Ε., που είναι ο αποκλειστικός κύριος και διαχειριστής του δικτύου διανομής ηλεκτρικής ενέργειας</w:t>
      </w:r>
      <w:r w:rsidR="003416E8" w:rsidRPr="00974763">
        <w:rPr>
          <w:rFonts w:ascii="Ping LCG Regular" w:hAnsi="Ping LCG Regular" w:cs="Arial"/>
          <w:spacing w:val="-14"/>
          <w:sz w:val="22"/>
          <w:szCs w:val="22"/>
          <w:lang w:val="el-GR"/>
        </w:rPr>
        <w:t xml:space="preserve"> </w:t>
      </w:r>
      <w:r w:rsidR="00691862" w:rsidRPr="00E3706A">
        <w:rPr>
          <w:rFonts w:ascii="Ping LCG Regular" w:hAnsi="Ping LCG Regular" w:cs="Arial"/>
          <w:spacing w:val="-14"/>
          <w:sz w:val="22"/>
          <w:szCs w:val="22"/>
          <w:lang w:val="el-GR"/>
        </w:rPr>
        <w:t xml:space="preserve">της </w:t>
      </w:r>
      <w:r w:rsidR="00550871" w:rsidRPr="00974763">
        <w:rPr>
          <w:rFonts w:ascii="Ping LCG Regular" w:hAnsi="Ping LCG Regular" w:cs="Arial"/>
          <w:spacing w:val="-14"/>
          <w:sz w:val="22"/>
          <w:szCs w:val="22"/>
          <w:lang w:val="el-GR"/>
        </w:rPr>
        <w:t>χ</w:t>
      </w:r>
      <w:r w:rsidR="00691862" w:rsidRPr="00E3706A">
        <w:rPr>
          <w:rFonts w:ascii="Ping LCG Regular" w:hAnsi="Ping LCG Regular" w:cs="Arial"/>
          <w:spacing w:val="-14"/>
          <w:sz w:val="22"/>
          <w:szCs w:val="22"/>
          <w:lang w:val="el-GR"/>
        </w:rPr>
        <w:t>ώρ</w:t>
      </w:r>
      <w:r w:rsidR="008652C8" w:rsidRPr="00E3706A">
        <w:rPr>
          <w:rFonts w:ascii="Ping LCG Regular" w:hAnsi="Ping LCG Regular" w:cs="Arial"/>
          <w:spacing w:val="-14"/>
          <w:sz w:val="22"/>
          <w:szCs w:val="22"/>
          <w:lang w:val="el-GR"/>
        </w:rPr>
        <w:t>ας</w:t>
      </w:r>
      <w:r w:rsidRPr="00E3706A">
        <w:rPr>
          <w:rFonts w:ascii="Ping LCG Regular" w:hAnsi="Ping LCG Regular" w:cs="Arial"/>
          <w:spacing w:val="-14"/>
          <w:sz w:val="22"/>
          <w:szCs w:val="22"/>
          <w:lang w:val="el-GR"/>
        </w:rPr>
        <w:t>. Για περισσότερα από 70 χρόνια, η Δ.Ε.Η. παραμένει στο προσκήνιο της αγοράς ηλεκτρικής ενέργειας της Ελλάδας και αποτελεί ένα αναπόσπαστο κομμάτι της διαδικασίας εξηλεκτρισμού όλης της χώρας. Η Δ.Ε.Η. είναι εισηγμένη εταιρεία και οι μετοχές της αποτελούν αντικείμενο διαπραγμάτευσης στην Κύρια Αγορά του Χρηματιστηρίου Αθηνών</w:t>
      </w:r>
      <w:r w:rsidR="0072484B" w:rsidRPr="00E3706A">
        <w:rPr>
          <w:rFonts w:ascii="Ping LCG Regular" w:hAnsi="Ping LCG Regular" w:cs="Arial"/>
          <w:spacing w:val="-14"/>
          <w:sz w:val="22"/>
          <w:szCs w:val="22"/>
          <w:lang w:val="el-GR"/>
        </w:rPr>
        <w:t>.</w:t>
      </w:r>
    </w:p>
    <w:p w14:paraId="1B7E429C" w14:textId="77777777" w:rsidR="00243B31" w:rsidRPr="00E3706A" w:rsidRDefault="00243B31">
      <w:pPr>
        <w:spacing w:after="120"/>
        <w:jc w:val="both"/>
        <w:rPr>
          <w:rFonts w:ascii="Ping LCG Regular" w:hAnsi="Ping LCG Regular" w:cs="Arial"/>
          <w:spacing w:val="-14"/>
          <w:sz w:val="22"/>
          <w:szCs w:val="22"/>
          <w:lang w:val="el-GR"/>
        </w:rPr>
      </w:pPr>
    </w:p>
    <w:p w14:paraId="37855272" w14:textId="77777777" w:rsidR="00454FD8" w:rsidRPr="00E3706A" w:rsidRDefault="00454FD8" w:rsidP="00D86811">
      <w:pPr>
        <w:spacing w:after="200"/>
        <w:jc w:val="both"/>
        <w:rPr>
          <w:rFonts w:ascii="Ping LCG Regular" w:hAnsi="Ping LCG Regular" w:cs="Arial"/>
          <w:b/>
          <w:bCs/>
          <w:spacing w:val="-14"/>
          <w:sz w:val="22"/>
          <w:szCs w:val="22"/>
          <w:lang w:val="el-GR"/>
        </w:rPr>
      </w:pPr>
      <w:r w:rsidRPr="00E3706A">
        <w:rPr>
          <w:rFonts w:ascii="Ping LCG Regular" w:hAnsi="Ping LCG Regular" w:cs="Arial"/>
          <w:b/>
          <w:bCs/>
          <w:spacing w:val="-14"/>
          <w:sz w:val="22"/>
          <w:szCs w:val="22"/>
          <w:lang w:val="el-GR"/>
        </w:rPr>
        <w:t>Δήλωση αποποίησης ευθύνης</w:t>
      </w:r>
    </w:p>
    <w:p w14:paraId="10B8B848" w14:textId="77777777" w:rsidR="00454FD8" w:rsidRPr="00E3706A" w:rsidRDefault="00454FD8" w:rsidP="00D86811">
      <w:pPr>
        <w:spacing w:after="200"/>
        <w:jc w:val="both"/>
        <w:rPr>
          <w:rFonts w:ascii="Ping LCG Regular" w:hAnsi="Ping LCG Regular" w:cs="Arial"/>
          <w:spacing w:val="-14"/>
          <w:sz w:val="22"/>
          <w:szCs w:val="22"/>
          <w:lang w:val="el-GR"/>
        </w:rPr>
      </w:pPr>
      <w:r w:rsidRPr="00E3706A">
        <w:rPr>
          <w:rFonts w:ascii="Ping LCG Regular" w:hAnsi="Ping LCG Regular" w:cs="Arial"/>
          <w:spacing w:val="-14"/>
          <w:sz w:val="22"/>
          <w:szCs w:val="22"/>
          <w:lang w:val="el-GR"/>
        </w:rPr>
        <w:t xml:space="preserve">Ορισμένες πληροφορίες που περιέχονται στην παρούσα ανακοίνωση, συμπεριλαμβανομένων των μελλοντικών EBITDA, των κερδών, των δαπανών και άλλων οικονομικών μέτρων που αφορούν σε μελλοντικές περιόδους, βασίζονται σε τρέχουσες προσδοκίες και παραδοχές σχετικά με μελλοντικά γεγονότα. Οι χρηματοοικονομικοί δείκτες που αναφέρονται σε μελλοντικές περιόδους βασίζονται σε τρέχουσες εύλογες και καλόπιστες παραδοχές. Δεν παρέχουμε καμία διαβεβαίωση ότι οι εν λόγω χρηματοοικονομικοί δείκτες θα επιτευχθούν.  </w:t>
      </w:r>
    </w:p>
    <w:p w14:paraId="198265F8" w14:textId="1FAE8E21" w:rsidR="00454FD8" w:rsidRPr="00E30CA1" w:rsidRDefault="00454FD8" w:rsidP="00D86811">
      <w:pPr>
        <w:spacing w:after="200"/>
        <w:jc w:val="both"/>
        <w:rPr>
          <w:rFonts w:ascii="Ping LCG Regular" w:hAnsi="Ping LCG Regular" w:cs="Arial"/>
          <w:spacing w:val="-14"/>
          <w:sz w:val="22"/>
          <w:szCs w:val="22"/>
          <w:lang w:val="el-GR"/>
        </w:rPr>
      </w:pPr>
      <w:r w:rsidRPr="00E3706A">
        <w:rPr>
          <w:rFonts w:ascii="Ping LCG Regular" w:hAnsi="Ping LCG Regular" w:cs="Arial"/>
          <w:spacing w:val="-14"/>
          <w:sz w:val="22"/>
          <w:szCs w:val="22"/>
          <w:lang w:val="el-GR"/>
        </w:rPr>
        <w:t xml:space="preserve">Αυτές οι δηλώσεις που αφορούν μελλοντικά γεγονότα υπόκεινται, μεταξύ άλλων, i) στους επιχειρηματικούς, οικονομικούς και ανταγωνιστικούς κινδύνους, </w:t>
      </w:r>
      <w:proofErr w:type="spellStart"/>
      <w:r w:rsidRPr="00E3706A">
        <w:rPr>
          <w:rFonts w:ascii="Ping LCG Regular" w:hAnsi="Ping LCG Regular" w:cs="Arial"/>
          <w:spacing w:val="-14"/>
          <w:sz w:val="22"/>
          <w:szCs w:val="22"/>
          <w:lang w:val="el-GR"/>
        </w:rPr>
        <w:t>ii</w:t>
      </w:r>
      <w:proofErr w:type="spellEnd"/>
      <w:r w:rsidRPr="00E3706A">
        <w:rPr>
          <w:rFonts w:ascii="Ping LCG Regular" w:hAnsi="Ping LCG Regular" w:cs="Arial"/>
          <w:spacing w:val="-14"/>
          <w:sz w:val="22"/>
          <w:szCs w:val="22"/>
          <w:lang w:val="el-GR"/>
        </w:rPr>
        <w:t xml:space="preserve">) στις μακροοικονομικές συνθήκες, </w:t>
      </w:r>
      <w:proofErr w:type="spellStart"/>
      <w:r w:rsidRPr="00E3706A">
        <w:rPr>
          <w:rFonts w:ascii="Ping LCG Regular" w:hAnsi="Ping LCG Regular" w:cs="Arial"/>
          <w:spacing w:val="-14"/>
          <w:sz w:val="22"/>
          <w:szCs w:val="22"/>
          <w:lang w:val="el-GR"/>
        </w:rPr>
        <w:t>iii</w:t>
      </w:r>
      <w:proofErr w:type="spellEnd"/>
      <w:r w:rsidRPr="00E3706A">
        <w:rPr>
          <w:rFonts w:ascii="Ping LCG Regular" w:hAnsi="Ping LCG Regular" w:cs="Arial"/>
          <w:spacing w:val="-14"/>
          <w:sz w:val="22"/>
          <w:szCs w:val="22"/>
          <w:lang w:val="el-GR"/>
        </w:rPr>
        <w:t xml:space="preserve">) στη διακύμανση του ευρώ έναντι της συναλλαγματικής ισοτιμίας του δολαρίου ΗΠΑ, </w:t>
      </w:r>
      <w:proofErr w:type="spellStart"/>
      <w:r w:rsidRPr="00E3706A">
        <w:rPr>
          <w:rFonts w:ascii="Ping LCG Regular" w:hAnsi="Ping LCG Regular" w:cs="Arial"/>
          <w:spacing w:val="-14"/>
          <w:sz w:val="22"/>
          <w:szCs w:val="22"/>
          <w:lang w:val="el-GR"/>
        </w:rPr>
        <w:t>iv</w:t>
      </w:r>
      <w:proofErr w:type="spellEnd"/>
      <w:r w:rsidRPr="00E3706A">
        <w:rPr>
          <w:rFonts w:ascii="Ping LCG Regular" w:hAnsi="Ping LCG Regular" w:cs="Arial"/>
          <w:spacing w:val="-14"/>
          <w:sz w:val="22"/>
          <w:szCs w:val="22"/>
          <w:lang w:val="el-GR"/>
        </w:rPr>
        <w:t>) στις τιμές πετρελαίου, φυσικού αερίου και ηλεκτρικής ενέργειας και στην τιμή των δικαιωμάτων εκπομπών CO</w:t>
      </w:r>
      <w:r w:rsidRPr="00E3706A">
        <w:rPr>
          <w:rFonts w:ascii="Ping LCG Regular" w:hAnsi="Ping LCG Regular" w:cs="Arial"/>
          <w:spacing w:val="-14"/>
          <w:sz w:val="22"/>
          <w:szCs w:val="22"/>
          <w:vertAlign w:val="subscript"/>
          <w:lang w:val="el-GR"/>
        </w:rPr>
        <w:t>2</w:t>
      </w:r>
      <w:r w:rsidRPr="00E3706A">
        <w:rPr>
          <w:rFonts w:ascii="Ping LCG Regular" w:hAnsi="Ping LCG Regular" w:cs="Arial"/>
          <w:spacing w:val="-14"/>
          <w:sz w:val="22"/>
          <w:szCs w:val="22"/>
          <w:lang w:val="el-GR"/>
        </w:rPr>
        <w:t xml:space="preserve">, v) στις αλλαγές του τοπίου της αγοράς και του νομικού, κανονιστικού και φορολογικού τοπίου, </w:t>
      </w:r>
      <w:proofErr w:type="spellStart"/>
      <w:r w:rsidRPr="00E3706A">
        <w:rPr>
          <w:rFonts w:ascii="Ping LCG Regular" w:hAnsi="Ping LCG Regular" w:cs="Arial"/>
          <w:spacing w:val="-14"/>
          <w:sz w:val="22"/>
          <w:szCs w:val="22"/>
          <w:lang w:val="el-GR"/>
        </w:rPr>
        <w:t>vi</w:t>
      </w:r>
      <w:proofErr w:type="spellEnd"/>
      <w:r w:rsidRPr="00E3706A">
        <w:rPr>
          <w:rFonts w:ascii="Ping LCG Regular" w:hAnsi="Ping LCG Regular" w:cs="Arial"/>
          <w:spacing w:val="-14"/>
          <w:sz w:val="22"/>
          <w:szCs w:val="22"/>
          <w:lang w:val="el-GR"/>
        </w:rPr>
        <w:t xml:space="preserve">) στην εξέλιξη του επισφαλούς χρέους, και (VII) άλλες αβεβαιότητες και απρόβλεπτες καταστάσεις, οι οποίες σχετίζονται με παράγοντες που η ΔΕΗ δεν είναι σε θέση να ελέγξει ή να εκτιμήσει με ακρίβεια, και οι οποίοι θα μπορούσαν να έχουν ως αποτέλεσμα την ουσιαστική διαφοροποίηση των πραγματικών γεγονότων ή των αποτελεσμάτων από εκείνα που εκφράζονται στην </w:t>
      </w:r>
      <w:r w:rsidR="00756738" w:rsidRPr="00E3706A">
        <w:rPr>
          <w:rFonts w:ascii="Ping LCG Regular" w:hAnsi="Ping LCG Regular" w:cs="Arial"/>
          <w:spacing w:val="-14"/>
          <w:sz w:val="22"/>
          <w:szCs w:val="22"/>
          <w:lang w:val="el-GR"/>
        </w:rPr>
        <w:t>ανακοίνωση</w:t>
      </w:r>
      <w:r w:rsidRPr="00E3706A">
        <w:rPr>
          <w:rFonts w:ascii="Ping LCG Regular" w:hAnsi="Ping LCG Regular" w:cs="Arial"/>
          <w:spacing w:val="-14"/>
          <w:sz w:val="22"/>
          <w:szCs w:val="22"/>
          <w:lang w:val="el-GR"/>
        </w:rPr>
        <w:t xml:space="preserve">. Ως εκ τούτου, δεν θα πρέπει </w:t>
      </w:r>
      <w:r w:rsidR="00F256C9" w:rsidRPr="00E3706A">
        <w:rPr>
          <w:rFonts w:ascii="Ping LCG Regular" w:hAnsi="Ping LCG Regular" w:cs="Arial"/>
          <w:spacing w:val="-14"/>
          <w:sz w:val="22"/>
          <w:szCs w:val="22"/>
          <w:lang w:val="el-GR"/>
        </w:rPr>
        <w:t xml:space="preserve">να </w:t>
      </w:r>
      <w:r w:rsidRPr="00E3706A">
        <w:rPr>
          <w:rFonts w:ascii="Ping LCG Regular" w:hAnsi="Ping LCG Regular" w:cs="Arial"/>
          <w:spacing w:val="-14"/>
          <w:sz w:val="22"/>
          <w:szCs w:val="22"/>
          <w:lang w:val="el-GR"/>
        </w:rPr>
        <w:t>βασίζεστε υπέρ του δέοντος σε αυτές τις δηλώσεις που αφορούν μελλοντικά γεγονότα, οι οποίες αφορούν μόνον</w:t>
      </w:r>
      <w:r w:rsidRPr="00E30CA1">
        <w:rPr>
          <w:rFonts w:ascii="Ping LCG Regular" w:hAnsi="Ping LCG Regular" w:cs="Arial"/>
          <w:spacing w:val="-14"/>
          <w:sz w:val="22"/>
          <w:szCs w:val="22"/>
          <w:lang w:val="el-GR"/>
        </w:rPr>
        <w:t xml:space="preserve"> την ημερομηνία της παρούσας ανακοίνωσης. </w:t>
      </w:r>
    </w:p>
    <w:p w14:paraId="3A8E9D55" w14:textId="77777777" w:rsidR="00454FD8" w:rsidRPr="00872A1E" w:rsidRDefault="00454FD8" w:rsidP="00D86811">
      <w:pPr>
        <w:spacing w:after="200"/>
        <w:jc w:val="both"/>
        <w:rPr>
          <w:rFonts w:ascii="Ping LCG Regular" w:hAnsi="Ping LCG Regular"/>
          <w:sz w:val="22"/>
          <w:szCs w:val="22"/>
          <w:lang w:val="el-GR"/>
        </w:rPr>
      </w:pPr>
      <w:r w:rsidRPr="00E30CA1">
        <w:rPr>
          <w:rFonts w:ascii="Ping LCG Regular" w:hAnsi="Ping LCG Regular" w:cs="Arial"/>
          <w:spacing w:val="-14"/>
          <w:sz w:val="22"/>
          <w:szCs w:val="22"/>
          <w:lang w:val="el-GR"/>
        </w:rPr>
        <w:t>Η ΔΕΗ δεν αναλαμβάνει καμία υποχρέωση να δημοσιοποιήσει τυχόν αναθεωρήσεις αυτών των δηλώσεων ώστε να αντικατοπτρίζουν γεγονότα ή περιστάσεις μετά την ημερομηνία της παρούσας ανακοίνωσης.</w:t>
      </w:r>
      <w:r w:rsidRPr="00872A1E">
        <w:rPr>
          <w:rFonts w:ascii="Ping LCG Regular" w:hAnsi="Ping LCG Regular" w:cs="Arial"/>
          <w:spacing w:val="-14"/>
          <w:sz w:val="22"/>
          <w:szCs w:val="22"/>
          <w:lang w:val="el-GR"/>
        </w:rPr>
        <w:t xml:space="preserve">  </w:t>
      </w:r>
    </w:p>
    <w:p w14:paraId="2A693AF3" w14:textId="77777777" w:rsidR="00454FD8" w:rsidRPr="00872A1E" w:rsidRDefault="00454FD8">
      <w:pPr>
        <w:rPr>
          <w:rFonts w:ascii="Ping LCG Regular" w:hAnsi="Ping LCG Regular" w:cs="Arial"/>
          <w:b/>
          <w:bCs/>
          <w:color w:val="000000"/>
          <w:lang w:val="el-GR"/>
        </w:rPr>
      </w:pPr>
    </w:p>
    <w:p w14:paraId="54911B3F" w14:textId="77777777" w:rsidR="001C052D" w:rsidRPr="00872A1E" w:rsidRDefault="001C052D">
      <w:pPr>
        <w:rPr>
          <w:rFonts w:ascii="Ping LCG Regular" w:hAnsi="Ping LCG Regular" w:cs="Arial"/>
          <w:b/>
          <w:bCs/>
          <w:color w:val="000000"/>
          <w:highlight w:val="yellow"/>
          <w:lang w:val="el-GR"/>
        </w:rPr>
      </w:pPr>
      <w:r w:rsidRPr="00872A1E">
        <w:rPr>
          <w:rFonts w:ascii="Ping LCG Regular" w:hAnsi="Ping LCG Regular" w:cs="Arial"/>
          <w:b/>
          <w:bCs/>
          <w:color w:val="000000"/>
          <w:highlight w:val="yellow"/>
          <w:lang w:val="el-GR"/>
        </w:rPr>
        <w:br w:type="page"/>
      </w:r>
    </w:p>
    <w:p w14:paraId="4042CBBB" w14:textId="7F05B25D" w:rsidR="007F61BC" w:rsidRPr="00872A1E" w:rsidRDefault="007F61BC" w:rsidP="007F61BC">
      <w:pPr>
        <w:rPr>
          <w:rFonts w:ascii="Ping LCG Regular" w:hAnsi="Ping LCG Regular" w:cs="Arial"/>
          <w:b/>
          <w:bCs/>
          <w:color w:val="000000"/>
          <w:lang w:val="el-GR"/>
        </w:rPr>
      </w:pPr>
      <w:r w:rsidRPr="00872A1E">
        <w:rPr>
          <w:rFonts w:ascii="Ping LCG Regular" w:hAnsi="Ping LCG Regular" w:cs="Arial"/>
          <w:b/>
          <w:bCs/>
          <w:color w:val="000000"/>
          <w:lang w:val="el-GR"/>
        </w:rPr>
        <w:lastRenderedPageBreak/>
        <w:t xml:space="preserve">ΠΑΡΑΡΤΗΜΑ – ΣΥΝΟΠΤΙΚΕΣ ΕΝΟΠΟΙΗΜΕΝΕΣ </w:t>
      </w:r>
      <w:r w:rsidR="00CE13C2" w:rsidRPr="00872A1E">
        <w:rPr>
          <w:rFonts w:ascii="Ping LCG Regular" w:hAnsi="Ping LCG Regular" w:cs="Arial"/>
          <w:b/>
          <w:bCs/>
          <w:color w:val="000000"/>
          <w:lang w:val="el-GR"/>
        </w:rPr>
        <w:t>ΟΙΚ</w:t>
      </w:r>
      <w:r w:rsidR="00A470E5" w:rsidRPr="00872A1E">
        <w:rPr>
          <w:rFonts w:ascii="Ping LCG Regular" w:hAnsi="Ping LCG Regular" w:cs="Arial"/>
          <w:b/>
          <w:bCs/>
          <w:color w:val="000000"/>
          <w:lang w:val="el-GR"/>
        </w:rPr>
        <w:t>Ο</w:t>
      </w:r>
      <w:r w:rsidR="00CE13C2" w:rsidRPr="00872A1E">
        <w:rPr>
          <w:rFonts w:ascii="Ping LCG Regular" w:hAnsi="Ping LCG Regular" w:cs="Arial"/>
          <w:b/>
          <w:bCs/>
          <w:color w:val="000000"/>
          <w:lang w:val="el-GR"/>
        </w:rPr>
        <w:t xml:space="preserve">ΝΟΜΙΚΕΣ </w:t>
      </w:r>
      <w:r w:rsidR="00A470E5" w:rsidRPr="00872A1E">
        <w:rPr>
          <w:rFonts w:ascii="Ping LCG Regular" w:hAnsi="Ping LCG Regular" w:cs="Arial"/>
          <w:b/>
          <w:bCs/>
          <w:color w:val="000000"/>
          <w:lang w:val="el-GR"/>
        </w:rPr>
        <w:t>ΚΑΤΑΣΤΑΣΕΙΣ</w:t>
      </w:r>
    </w:p>
    <w:p w14:paraId="41CA367C" w14:textId="77777777" w:rsidR="009947B6" w:rsidRPr="00872A1E" w:rsidRDefault="009947B6" w:rsidP="009947B6">
      <w:pPr>
        <w:rPr>
          <w:rFonts w:ascii="Ping LCG Regular" w:hAnsi="Ping LCG Regular" w:cs="Arial"/>
          <w:b/>
          <w:bCs/>
          <w:color w:val="000000"/>
          <w:lang w:val="el-GR"/>
        </w:rPr>
      </w:pPr>
    </w:p>
    <w:p w14:paraId="1070F1DE" w14:textId="2416C055" w:rsidR="00DA00FF" w:rsidRPr="00872A1E" w:rsidRDefault="00DA00FF" w:rsidP="009947B6">
      <w:pPr>
        <w:rPr>
          <w:rFonts w:ascii="Ping LCG Regular" w:hAnsi="Ping LCG Regular" w:cs="Arial"/>
          <w:b/>
          <w:spacing w:val="-14"/>
          <w:lang w:val="el-GR"/>
        </w:rPr>
      </w:pPr>
      <w:r w:rsidRPr="00872A1E">
        <w:rPr>
          <w:rFonts w:ascii="Ping LCG Regular" w:hAnsi="Ping LCG Regular" w:cs="Arial"/>
          <w:b/>
          <w:spacing w:val="-14"/>
          <w:lang w:val="el-GR"/>
        </w:rPr>
        <w:t xml:space="preserve">Ενοποιημένη Κατάσταση  Χρηματοοικονομικής Θέσης </w:t>
      </w:r>
      <w:r w:rsidR="003855BF" w:rsidRPr="00872A1E">
        <w:rPr>
          <w:rFonts w:ascii="Ping LCG Regular" w:hAnsi="Ping LCG Regular" w:cs="Arial"/>
          <w:b/>
          <w:spacing w:val="-14"/>
          <w:lang w:val="el-GR"/>
        </w:rPr>
        <w:t>(Συνοπτική)</w:t>
      </w:r>
    </w:p>
    <w:p w14:paraId="6CF53951" w14:textId="068F5AF0" w:rsidR="00BC6A69" w:rsidRPr="00104D07" w:rsidRDefault="00926A35">
      <w:pPr>
        <w:rPr>
          <w:rFonts w:ascii="Ping LCG Regular" w:hAnsi="Ping LCG Regular" w:cs="Arial"/>
          <w:b/>
          <w:spacing w:val="-14"/>
          <w:lang w:val="el-GR"/>
        </w:rPr>
      </w:pPr>
      <w:r w:rsidRPr="00104D07">
        <w:rPr>
          <w:rFonts w:ascii="Ping LCG Regular" w:hAnsi="Ping LCG Regular" w:cs="Arial"/>
          <w:b/>
          <w:spacing w:val="-14"/>
          <w:lang w:val="el-GR"/>
        </w:rPr>
        <w:t xml:space="preserve"> </w:t>
      </w:r>
    </w:p>
    <w:p w14:paraId="5CC7762F" w14:textId="3D25BFAD" w:rsidR="000C11E4" w:rsidRPr="00974763" w:rsidRDefault="00EF57AD">
      <w:pPr>
        <w:rPr>
          <w:rFonts w:ascii="Ping LCG Regular" w:hAnsi="Ping LCG Regular" w:cs="Arial"/>
          <w:b/>
          <w:spacing w:val="-14"/>
          <w:lang w:val="el-GR"/>
        </w:rPr>
      </w:pPr>
      <w:r w:rsidRPr="00EF57AD">
        <w:rPr>
          <w:noProof/>
        </w:rPr>
        <w:drawing>
          <wp:inline distT="0" distB="0" distL="0" distR="0" wp14:anchorId="251C5400" wp14:editId="7B5682A6">
            <wp:extent cx="6210935" cy="567880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10935" cy="5678805"/>
                    </a:xfrm>
                    <a:prstGeom prst="rect">
                      <a:avLst/>
                    </a:prstGeom>
                    <a:noFill/>
                    <a:ln>
                      <a:noFill/>
                    </a:ln>
                  </pic:spPr>
                </pic:pic>
              </a:graphicData>
            </a:graphic>
          </wp:inline>
        </w:drawing>
      </w:r>
      <w:r w:rsidR="000C11E4" w:rsidRPr="00974763">
        <w:rPr>
          <w:rFonts w:ascii="Ping LCG Regular" w:hAnsi="Ping LCG Regular" w:cs="Arial"/>
          <w:b/>
          <w:spacing w:val="-14"/>
          <w:lang w:val="el-GR"/>
        </w:rPr>
        <w:br w:type="page"/>
      </w:r>
    </w:p>
    <w:p w14:paraId="66B99F02" w14:textId="5DAFE79F" w:rsidR="008F04EF" w:rsidRPr="00872A1E" w:rsidRDefault="00DA00FF" w:rsidP="00DA00FF">
      <w:pPr>
        <w:rPr>
          <w:rFonts w:ascii="Ping LCG Regular" w:hAnsi="Ping LCG Regular" w:cs="Arial"/>
          <w:b/>
          <w:spacing w:val="-14"/>
          <w:lang w:val="el-GR"/>
        </w:rPr>
      </w:pPr>
      <w:r w:rsidRPr="00872A1E">
        <w:rPr>
          <w:rFonts w:ascii="Ping LCG Regular" w:hAnsi="Ping LCG Regular" w:cs="Arial"/>
          <w:b/>
          <w:spacing w:val="-14"/>
          <w:sz w:val="22"/>
          <w:lang w:val="el-GR"/>
        </w:rPr>
        <w:lastRenderedPageBreak/>
        <w:t xml:space="preserve">Ενοποιημένη Κατάσταση Αποτελεσμάτων </w:t>
      </w:r>
      <w:r w:rsidR="003855BF" w:rsidRPr="00872A1E">
        <w:rPr>
          <w:rFonts w:ascii="Ping LCG Regular" w:hAnsi="Ping LCG Regular" w:cs="Arial"/>
          <w:b/>
          <w:spacing w:val="-14"/>
          <w:sz w:val="22"/>
          <w:lang w:val="el-GR"/>
        </w:rPr>
        <w:t>(</w:t>
      </w:r>
      <w:r w:rsidR="003855BF" w:rsidRPr="00872A1E">
        <w:rPr>
          <w:rFonts w:ascii="Ping LCG Regular" w:hAnsi="Ping LCG Regular" w:cs="Arial"/>
          <w:b/>
          <w:spacing w:val="-14"/>
          <w:lang w:val="el-GR"/>
        </w:rPr>
        <w:t>Συνοπτική)</w:t>
      </w:r>
    </w:p>
    <w:p w14:paraId="4B6022B0" w14:textId="18580B39" w:rsidR="00DA00FF" w:rsidRPr="00872A1E" w:rsidRDefault="00DA00FF" w:rsidP="00DA00FF">
      <w:pPr>
        <w:spacing w:line="276" w:lineRule="auto"/>
        <w:jc w:val="both"/>
        <w:rPr>
          <w:rFonts w:ascii="Ping LCG Regular" w:hAnsi="Ping LCG Regular" w:cs="Arial"/>
          <w:b/>
          <w:spacing w:val="-14"/>
          <w:sz w:val="22"/>
          <w:lang w:val="el-GR"/>
        </w:rPr>
      </w:pPr>
    </w:p>
    <w:p w14:paraId="421FA4A3" w14:textId="2163B679" w:rsidR="00DA00FF" w:rsidRPr="00872A1E" w:rsidRDefault="00903C31" w:rsidP="00DA00FF">
      <w:pPr>
        <w:rPr>
          <w:rFonts w:ascii="Ping LCG Regular" w:hAnsi="Ping LCG Regular" w:cs="Arial"/>
          <w:b/>
          <w:bCs/>
          <w:color w:val="000000"/>
          <w:lang w:val="el-GR"/>
        </w:rPr>
      </w:pPr>
      <w:r w:rsidRPr="00903C31">
        <w:rPr>
          <w:rFonts w:ascii="Ping LCG Regular" w:hAnsi="Ping LCG Regular" w:cs="Arial"/>
          <w:b/>
          <w:bCs/>
          <w:color w:val="000000"/>
          <w:lang w:val="el-GR"/>
        </w:rPr>
        <w:t xml:space="preserve"> </w:t>
      </w:r>
      <w:r w:rsidR="00FA3EDF" w:rsidRPr="00FA3EDF">
        <w:rPr>
          <w:noProof/>
        </w:rPr>
        <w:drawing>
          <wp:inline distT="0" distB="0" distL="0" distR="0" wp14:anchorId="6D2CD330" wp14:editId="65C8EC2F">
            <wp:extent cx="6210935" cy="42341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10935" cy="4234180"/>
                    </a:xfrm>
                    <a:prstGeom prst="rect">
                      <a:avLst/>
                    </a:prstGeom>
                    <a:noFill/>
                    <a:ln>
                      <a:noFill/>
                    </a:ln>
                  </pic:spPr>
                </pic:pic>
              </a:graphicData>
            </a:graphic>
          </wp:inline>
        </w:drawing>
      </w:r>
    </w:p>
    <w:p w14:paraId="24961D58" w14:textId="77777777" w:rsidR="00BC6A69" w:rsidRPr="00872A1E" w:rsidRDefault="00BC6A69" w:rsidP="00DA00FF">
      <w:pPr>
        <w:rPr>
          <w:rFonts w:ascii="Ping LCG Regular" w:hAnsi="Ping LCG Regular" w:cs="Arial"/>
          <w:b/>
          <w:spacing w:val="-14"/>
          <w:sz w:val="22"/>
          <w:highlight w:val="yellow"/>
          <w:lang w:val="el-GR"/>
        </w:rPr>
      </w:pPr>
    </w:p>
    <w:p w14:paraId="5F66A51D" w14:textId="77777777" w:rsidR="007A0DF1" w:rsidRPr="00872A1E" w:rsidRDefault="007A0DF1">
      <w:pPr>
        <w:rPr>
          <w:rFonts w:ascii="Ping LCG Regular" w:hAnsi="Ping LCG Regular" w:cs="Arial"/>
          <w:b/>
          <w:spacing w:val="-14"/>
          <w:sz w:val="22"/>
          <w:highlight w:val="yellow"/>
          <w:lang w:val="el-GR"/>
        </w:rPr>
      </w:pPr>
      <w:r w:rsidRPr="00872A1E">
        <w:rPr>
          <w:rFonts w:ascii="Ping LCG Regular" w:hAnsi="Ping LCG Regular" w:cs="Arial"/>
          <w:b/>
          <w:spacing w:val="-14"/>
          <w:sz w:val="22"/>
          <w:highlight w:val="yellow"/>
          <w:lang w:val="el-GR"/>
        </w:rPr>
        <w:br w:type="page"/>
      </w:r>
    </w:p>
    <w:p w14:paraId="21159085" w14:textId="44832218" w:rsidR="00DA00FF" w:rsidRDefault="00DA00FF" w:rsidP="00DA00FF">
      <w:pPr>
        <w:autoSpaceDE w:val="0"/>
        <w:autoSpaceDN w:val="0"/>
        <w:adjustRightInd w:val="0"/>
        <w:spacing w:line="276" w:lineRule="auto"/>
        <w:jc w:val="both"/>
        <w:rPr>
          <w:rFonts w:ascii="Ping LCG Regular" w:hAnsi="Ping LCG Regular" w:cs="Arial"/>
          <w:b/>
          <w:spacing w:val="-14"/>
          <w:lang w:val="el-GR"/>
        </w:rPr>
      </w:pPr>
      <w:r w:rsidRPr="00872A1E">
        <w:rPr>
          <w:rFonts w:ascii="Ping LCG Regular" w:hAnsi="Ping LCG Regular" w:cs="Arial"/>
          <w:b/>
          <w:spacing w:val="-14"/>
          <w:sz w:val="22"/>
          <w:lang w:val="el-GR"/>
        </w:rPr>
        <w:lastRenderedPageBreak/>
        <w:t>Ενοποιημένη κατάσταση ταμ</w:t>
      </w:r>
      <w:r w:rsidR="00EE214C">
        <w:rPr>
          <w:rFonts w:ascii="Ping LCG Regular" w:hAnsi="Ping LCG Regular" w:cs="Arial"/>
          <w:b/>
          <w:spacing w:val="-14"/>
          <w:sz w:val="22"/>
          <w:lang w:val="el-GR"/>
        </w:rPr>
        <w:t>ε</w:t>
      </w:r>
      <w:r w:rsidRPr="00872A1E">
        <w:rPr>
          <w:rFonts w:ascii="Ping LCG Regular" w:hAnsi="Ping LCG Regular" w:cs="Arial"/>
          <w:b/>
          <w:spacing w:val="-14"/>
          <w:sz w:val="22"/>
          <w:lang w:val="el-GR"/>
        </w:rPr>
        <w:t xml:space="preserve">ιακών ροών </w:t>
      </w:r>
      <w:r w:rsidR="003855BF" w:rsidRPr="00872A1E">
        <w:rPr>
          <w:rFonts w:ascii="Ping LCG Regular" w:hAnsi="Ping LCG Regular" w:cs="Arial"/>
          <w:b/>
          <w:spacing w:val="-14"/>
          <w:sz w:val="22"/>
          <w:lang w:val="el-GR"/>
        </w:rPr>
        <w:t>(</w:t>
      </w:r>
      <w:r w:rsidR="003855BF" w:rsidRPr="00872A1E">
        <w:rPr>
          <w:rFonts w:ascii="Ping LCG Regular" w:hAnsi="Ping LCG Regular" w:cs="Arial"/>
          <w:b/>
          <w:spacing w:val="-14"/>
          <w:lang w:val="el-GR"/>
        </w:rPr>
        <w:t>Συνοπτική)</w:t>
      </w:r>
    </w:p>
    <w:p w14:paraId="09046125" w14:textId="77777777" w:rsidR="00006C20" w:rsidRPr="00872A1E" w:rsidRDefault="00006C20" w:rsidP="00DA00FF">
      <w:pPr>
        <w:autoSpaceDE w:val="0"/>
        <w:autoSpaceDN w:val="0"/>
        <w:adjustRightInd w:val="0"/>
        <w:spacing w:line="276" w:lineRule="auto"/>
        <w:jc w:val="both"/>
        <w:rPr>
          <w:rFonts w:ascii="Ping LCG Regular" w:hAnsi="Ping LCG Regular" w:cs="Arial"/>
          <w:b/>
          <w:spacing w:val="-14"/>
          <w:sz w:val="22"/>
          <w:lang w:val="el-GR"/>
        </w:rPr>
      </w:pPr>
    </w:p>
    <w:p w14:paraId="4C86B625" w14:textId="416F911A" w:rsidR="002F39FA" w:rsidRPr="00872A1E" w:rsidRDefault="005E344E" w:rsidP="00DA00FF">
      <w:pPr>
        <w:autoSpaceDE w:val="0"/>
        <w:autoSpaceDN w:val="0"/>
        <w:adjustRightInd w:val="0"/>
        <w:spacing w:line="276" w:lineRule="auto"/>
        <w:jc w:val="both"/>
        <w:rPr>
          <w:rFonts w:ascii="Ping LCG Regular" w:hAnsi="Ping LCG Regular" w:cs="Arial"/>
          <w:b/>
          <w:spacing w:val="-14"/>
          <w:sz w:val="22"/>
          <w:lang w:val="el-GR"/>
        </w:rPr>
      </w:pPr>
      <w:r w:rsidRPr="005E344E">
        <w:rPr>
          <w:noProof/>
        </w:rPr>
        <w:drawing>
          <wp:inline distT="0" distB="0" distL="0" distR="0" wp14:anchorId="4EB8A0D8" wp14:editId="7B6CE266">
            <wp:extent cx="6210935" cy="6825615"/>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10935" cy="6825615"/>
                    </a:xfrm>
                    <a:prstGeom prst="rect">
                      <a:avLst/>
                    </a:prstGeom>
                    <a:noFill/>
                    <a:ln>
                      <a:noFill/>
                    </a:ln>
                  </pic:spPr>
                </pic:pic>
              </a:graphicData>
            </a:graphic>
          </wp:inline>
        </w:drawing>
      </w:r>
    </w:p>
    <w:p w14:paraId="5356141C" w14:textId="4DD3CEB5" w:rsidR="00DA00FF" w:rsidRPr="00872A1E" w:rsidRDefault="00903C31" w:rsidP="00DA00FF">
      <w:pPr>
        <w:autoSpaceDE w:val="0"/>
        <w:autoSpaceDN w:val="0"/>
        <w:adjustRightInd w:val="0"/>
        <w:spacing w:line="276" w:lineRule="auto"/>
        <w:jc w:val="both"/>
        <w:rPr>
          <w:rFonts w:ascii="Ping LCG Regular" w:hAnsi="Ping LCG Regular" w:cs="Arial"/>
          <w:b/>
          <w:spacing w:val="-14"/>
          <w:sz w:val="20"/>
          <w:szCs w:val="22"/>
          <w:highlight w:val="yellow"/>
          <w:lang w:val="el-GR"/>
        </w:rPr>
      </w:pPr>
      <w:r w:rsidRPr="00903C31">
        <w:rPr>
          <w:rFonts w:ascii="Ping LCG Regular" w:hAnsi="Ping LCG Regular" w:cs="Arial"/>
          <w:b/>
          <w:spacing w:val="-14"/>
          <w:sz w:val="22"/>
          <w:lang w:val="el-GR"/>
        </w:rPr>
        <w:t xml:space="preserve"> </w:t>
      </w:r>
    </w:p>
    <w:p w14:paraId="454A1DCD" w14:textId="37F8595B" w:rsidR="007F61BC" w:rsidRPr="00872A1E" w:rsidRDefault="00BC6A69" w:rsidP="00AD039F">
      <w:pPr>
        <w:jc w:val="both"/>
        <w:rPr>
          <w:rFonts w:ascii="Ping LCG Regular" w:hAnsi="Ping LCG Regular" w:cs="Arial"/>
          <w:bCs/>
          <w:lang w:val="el-GR"/>
        </w:rPr>
      </w:pPr>
      <w:r w:rsidRPr="00872A1E">
        <w:rPr>
          <w:rFonts w:ascii="Ping LCG Regular" w:hAnsi="Ping LCG Regular" w:cs="Arial"/>
          <w:bCs/>
          <w:spacing w:val="-14"/>
          <w:sz w:val="18"/>
          <w:szCs w:val="18"/>
          <w:lang w:val="el-GR"/>
        </w:rPr>
        <w:t>* Ορισμένα κονδύλια του Ομίλου έχουν αναθεωρηθεί σε σχέση με τα δημοσιευμένα  της 3</w:t>
      </w:r>
      <w:r w:rsidR="005B53B0" w:rsidRPr="00872A1E">
        <w:rPr>
          <w:rFonts w:ascii="Ping LCG Regular" w:hAnsi="Ping LCG Regular" w:cs="Arial"/>
          <w:bCs/>
          <w:spacing w:val="-14"/>
          <w:sz w:val="18"/>
          <w:szCs w:val="18"/>
          <w:lang w:val="el-GR"/>
        </w:rPr>
        <w:t>1</w:t>
      </w:r>
      <w:r w:rsidRPr="00872A1E">
        <w:rPr>
          <w:rFonts w:ascii="Ping LCG Regular" w:hAnsi="Ping LCG Regular" w:cs="Arial"/>
          <w:bCs/>
          <w:spacing w:val="-14"/>
          <w:sz w:val="18"/>
          <w:szCs w:val="18"/>
          <w:lang w:val="el-GR"/>
        </w:rPr>
        <w:t>.</w:t>
      </w:r>
      <w:r w:rsidR="005B53B0" w:rsidRPr="00872A1E">
        <w:rPr>
          <w:rFonts w:ascii="Ping LCG Regular" w:hAnsi="Ping LCG Regular" w:cs="Arial"/>
          <w:bCs/>
          <w:spacing w:val="-14"/>
          <w:sz w:val="18"/>
          <w:szCs w:val="18"/>
          <w:lang w:val="el-GR"/>
        </w:rPr>
        <w:t>12</w:t>
      </w:r>
      <w:r w:rsidRPr="00872A1E">
        <w:rPr>
          <w:rFonts w:ascii="Ping LCG Regular" w:hAnsi="Ping LCG Regular" w:cs="Arial"/>
          <w:bCs/>
          <w:spacing w:val="-14"/>
          <w:sz w:val="18"/>
          <w:szCs w:val="18"/>
          <w:lang w:val="el-GR"/>
        </w:rPr>
        <w:t>.2021 για σκοπούς καλύτερης απεικόνισης.</w:t>
      </w:r>
    </w:p>
    <w:p w14:paraId="5C162C9D" w14:textId="21E4EF72" w:rsidR="008027DD" w:rsidRPr="00A34C50" w:rsidRDefault="008027DD">
      <w:pPr>
        <w:rPr>
          <w:rFonts w:ascii="Ping LCG Regular" w:hAnsi="Ping LCG Regular" w:cs="Arial"/>
          <w:b/>
          <w:bCs/>
          <w:color w:val="000000"/>
          <w:highlight w:val="yellow"/>
          <w:lang w:val="el-GR"/>
        </w:rPr>
      </w:pPr>
    </w:p>
    <w:sectPr w:rsidR="008027DD" w:rsidRPr="00A34C50" w:rsidSect="00AC2B39">
      <w:headerReference w:type="even" r:id="rId20"/>
      <w:headerReference w:type="default" r:id="rId21"/>
      <w:footerReference w:type="even" r:id="rId22"/>
      <w:footerReference w:type="default" r:id="rId23"/>
      <w:headerReference w:type="first" r:id="rId24"/>
      <w:footerReference w:type="first" r:id="rId25"/>
      <w:pgSz w:w="11900" w:h="16840"/>
      <w:pgMar w:top="720" w:right="985" w:bottom="851" w:left="1134" w:header="981"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2D42A" w14:textId="77777777" w:rsidR="00200475" w:rsidRDefault="00200475" w:rsidP="000E10BE">
      <w:r>
        <w:separator/>
      </w:r>
    </w:p>
  </w:endnote>
  <w:endnote w:type="continuationSeparator" w:id="0">
    <w:p w14:paraId="6FD120CD" w14:textId="77777777" w:rsidR="00200475" w:rsidRDefault="00200475" w:rsidP="000E10BE">
      <w:r>
        <w:continuationSeparator/>
      </w:r>
    </w:p>
  </w:endnote>
  <w:endnote w:type="continuationNotice" w:id="1">
    <w:p w14:paraId="04C95204" w14:textId="77777777" w:rsidR="00200475" w:rsidRDefault="002004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Ping LCG">
    <w:altName w:val="Calibri"/>
    <w:panose1 w:val="00000000000000000000"/>
    <w:charset w:val="00"/>
    <w:family w:val="auto"/>
    <w:notTrueType/>
    <w:pitch w:val="variable"/>
    <w:sig w:usb0="E00002FF" w:usb1="5001E47B" w:usb2="00000000" w:usb3="00000000" w:csb0="0000019F" w:csb1="00000000"/>
  </w:font>
  <w:font w:name="Times New Roman (Body CS)">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A1"/>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ing LCG Regular">
    <w:altName w:val="Calibri"/>
    <w:panose1 w:val="00000000000000000000"/>
    <w:charset w:val="00"/>
    <w:family w:val="modern"/>
    <w:notTrueType/>
    <w:pitch w:val="variable"/>
    <w:sig w:usb0="E00002FF" w:usb1="5001E47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40DC6" w14:textId="77777777" w:rsidR="00A04EAD" w:rsidRDefault="00A04EAD">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l-GR"/>
      </w:rPr>
      <w:id w:val="360316571"/>
      <w:docPartObj>
        <w:docPartGallery w:val="Page Numbers (Bottom of Page)"/>
        <w:docPartUnique/>
      </w:docPartObj>
    </w:sdtPr>
    <w:sdtContent>
      <w:p w14:paraId="14BCB474" w14:textId="5153D000" w:rsidR="007A0DF1" w:rsidRDefault="007A0DF1">
        <w:pPr>
          <w:pStyle w:val="af"/>
          <w:jc w:val="center"/>
        </w:pPr>
        <w:r>
          <w:rPr>
            <w:lang w:val="el-GR"/>
          </w:rPr>
          <w:t>[</w:t>
        </w:r>
        <w:r>
          <w:fldChar w:fldCharType="begin"/>
        </w:r>
        <w:r>
          <w:instrText>PAGE   \* MERGEFORMAT</w:instrText>
        </w:r>
        <w:r>
          <w:fldChar w:fldCharType="separate"/>
        </w:r>
        <w:r>
          <w:rPr>
            <w:lang w:val="el-GR"/>
          </w:rPr>
          <w:t>2</w:t>
        </w:r>
        <w:r>
          <w:fldChar w:fldCharType="end"/>
        </w:r>
        <w:r>
          <w:rPr>
            <w:lang w:val="el-GR"/>
          </w:rPr>
          <w:t>]</w:t>
        </w:r>
      </w:p>
    </w:sdtContent>
  </w:sdt>
  <w:p w14:paraId="250A1140" w14:textId="77777777" w:rsidR="007A0DF1" w:rsidRDefault="007A0DF1">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CAFFD" w14:textId="77777777" w:rsidR="00A04EAD" w:rsidRDefault="00A04EA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57A61" w14:textId="77777777" w:rsidR="00200475" w:rsidRDefault="00200475" w:rsidP="000E10BE">
      <w:r>
        <w:separator/>
      </w:r>
    </w:p>
  </w:footnote>
  <w:footnote w:type="continuationSeparator" w:id="0">
    <w:p w14:paraId="6E228EC6" w14:textId="77777777" w:rsidR="00200475" w:rsidRDefault="00200475" w:rsidP="000E10BE">
      <w:r>
        <w:continuationSeparator/>
      </w:r>
    </w:p>
  </w:footnote>
  <w:footnote w:type="continuationNotice" w:id="1">
    <w:p w14:paraId="3CBE87ED" w14:textId="77777777" w:rsidR="00200475" w:rsidRDefault="00200475"/>
  </w:footnote>
  <w:footnote w:id="2">
    <w:p w14:paraId="628BBC59" w14:textId="199A2276" w:rsidR="007653A3" w:rsidRPr="00E80213" w:rsidRDefault="007653A3" w:rsidP="00D35E81">
      <w:pPr>
        <w:pStyle w:val="af8"/>
        <w:ind w:left="142" w:hanging="142"/>
        <w:jc w:val="both"/>
        <w:rPr>
          <w:rFonts w:ascii="Ping LCG Regular" w:hAnsi="Ping LCG Regular"/>
          <w:sz w:val="18"/>
          <w:szCs w:val="18"/>
          <w:lang w:val="el-GR"/>
        </w:rPr>
      </w:pPr>
      <w:r w:rsidRPr="00E80213">
        <w:rPr>
          <w:rStyle w:val="af9"/>
          <w:rFonts w:ascii="Ping LCG Regular" w:hAnsi="Ping LCG Regular"/>
          <w:sz w:val="18"/>
          <w:szCs w:val="18"/>
        </w:rPr>
        <w:footnoteRef/>
      </w:r>
      <w:r w:rsidRPr="00E80213">
        <w:rPr>
          <w:rFonts w:ascii="Ping LCG Regular" w:hAnsi="Ping LCG Regular"/>
          <w:sz w:val="18"/>
          <w:szCs w:val="18"/>
          <w:lang w:val="el-GR"/>
        </w:rPr>
        <w:t xml:space="preserve"> </w:t>
      </w:r>
      <w:r w:rsidR="00AD4AE8" w:rsidRPr="00E80213">
        <w:rPr>
          <w:rFonts w:ascii="Ping LCG Regular" w:hAnsi="Ping LCG Regular"/>
          <w:sz w:val="18"/>
          <w:szCs w:val="18"/>
          <w:lang w:val="el-GR"/>
        </w:rPr>
        <w:tab/>
        <w:t>Οι εκπομπές</w:t>
      </w:r>
      <w:r w:rsidR="009B550D" w:rsidRPr="00E80213">
        <w:rPr>
          <w:rFonts w:ascii="Ping LCG Regular" w:hAnsi="Ping LCG Regular"/>
          <w:sz w:val="18"/>
          <w:szCs w:val="18"/>
          <w:lang w:val="el-GR"/>
        </w:rPr>
        <w:t xml:space="preserve"> CO</w:t>
      </w:r>
      <w:r w:rsidR="009B550D" w:rsidRPr="00E80213">
        <w:rPr>
          <w:rFonts w:ascii="Ping LCG Regular" w:hAnsi="Ping LCG Regular"/>
          <w:sz w:val="18"/>
          <w:szCs w:val="18"/>
          <w:vertAlign w:val="subscript"/>
          <w:lang w:val="el-GR"/>
        </w:rPr>
        <w:t>2</w:t>
      </w:r>
      <w:r w:rsidR="00AD4AE8" w:rsidRPr="00E80213">
        <w:rPr>
          <w:rFonts w:ascii="Ping LCG Regular" w:hAnsi="Ping LCG Regular"/>
          <w:sz w:val="18"/>
          <w:szCs w:val="18"/>
          <w:lang w:val="el-GR"/>
        </w:rPr>
        <w:t xml:space="preserve"> για το 2022 βασίζονται σε προσωρινά απολογιστικά στοιχεία</w:t>
      </w:r>
      <w:r w:rsidR="00AB404D" w:rsidRPr="00E80213">
        <w:rPr>
          <w:rFonts w:ascii="Ping LCG Regular" w:hAnsi="Ping LCG Regular"/>
          <w:sz w:val="18"/>
          <w:szCs w:val="18"/>
          <w:lang w:val="el-GR"/>
        </w:rPr>
        <w:t xml:space="preserve"> και δεν περιλαμβάνουν</w:t>
      </w:r>
      <w:r w:rsidR="00DF27E4" w:rsidRPr="00E80213">
        <w:rPr>
          <w:rFonts w:ascii="Ping LCG Regular" w:hAnsi="Ping LCG Regular"/>
          <w:sz w:val="18"/>
          <w:szCs w:val="18"/>
          <w:lang w:val="el-GR"/>
        </w:rPr>
        <w:t xml:space="preserve"> τ</w:t>
      </w:r>
      <w:r w:rsidR="00AB404D" w:rsidRPr="00E80213">
        <w:rPr>
          <w:rFonts w:ascii="Ping LCG Regular" w:hAnsi="Ping LCG Regular"/>
          <w:sz w:val="18"/>
          <w:szCs w:val="18"/>
          <w:lang w:val="el-GR"/>
        </w:rPr>
        <w:t>ις</w:t>
      </w:r>
      <w:r w:rsidR="00DF27E4" w:rsidRPr="00E80213">
        <w:rPr>
          <w:rFonts w:ascii="Ping LCG Regular" w:hAnsi="Ping LCG Regular"/>
          <w:sz w:val="18"/>
          <w:szCs w:val="18"/>
          <w:lang w:val="el-GR"/>
        </w:rPr>
        <w:t xml:space="preserve"> εκπομπ</w:t>
      </w:r>
      <w:r w:rsidR="00AB404D" w:rsidRPr="00E80213">
        <w:rPr>
          <w:rFonts w:ascii="Ping LCG Regular" w:hAnsi="Ping LCG Regular"/>
          <w:sz w:val="18"/>
          <w:szCs w:val="18"/>
          <w:lang w:val="el-GR"/>
        </w:rPr>
        <w:t>ές</w:t>
      </w:r>
      <w:r w:rsidR="00DF27E4" w:rsidRPr="00E80213">
        <w:rPr>
          <w:rFonts w:ascii="Ping LCG Regular" w:hAnsi="Ping LCG Regular"/>
          <w:sz w:val="18"/>
          <w:szCs w:val="18"/>
          <w:lang w:val="el-GR"/>
        </w:rPr>
        <w:t xml:space="preserve"> CO</w:t>
      </w:r>
      <w:r w:rsidR="00DF27E4" w:rsidRPr="00E80213">
        <w:rPr>
          <w:rFonts w:ascii="Ping LCG Regular" w:hAnsi="Ping LCG Regular"/>
          <w:sz w:val="18"/>
          <w:szCs w:val="18"/>
          <w:vertAlign w:val="subscript"/>
          <w:lang w:val="el-GR"/>
        </w:rPr>
        <w:t>2</w:t>
      </w:r>
      <w:r w:rsidR="00DF27E4" w:rsidRPr="00E80213">
        <w:rPr>
          <w:rFonts w:ascii="Ping LCG Regular" w:hAnsi="Ping LCG Regular"/>
          <w:sz w:val="18"/>
          <w:szCs w:val="18"/>
          <w:lang w:val="el-GR"/>
        </w:rPr>
        <w:t xml:space="preserve"> των θερμικών μονάδων παραγωγής </w:t>
      </w:r>
      <w:r w:rsidR="00F645B9" w:rsidRPr="00E80213">
        <w:rPr>
          <w:rFonts w:ascii="Ping LCG Regular" w:hAnsi="Ping LCG Regular"/>
          <w:sz w:val="18"/>
          <w:szCs w:val="18"/>
          <w:lang w:val="el-GR"/>
        </w:rPr>
        <w:t xml:space="preserve">ύψους 0,05 εκατ. τόνων </w:t>
      </w:r>
      <w:r w:rsidR="00DF27E4" w:rsidRPr="00E80213">
        <w:rPr>
          <w:rFonts w:ascii="Ping LCG Regular" w:hAnsi="Ping LCG Regular"/>
          <w:sz w:val="18"/>
          <w:szCs w:val="18"/>
          <w:lang w:val="el-GR"/>
        </w:rPr>
        <w:t>που δεν συμμετέχουν στο Σύστημα Εμπορίας Δικαιωμάτων Εκπομπών (ΣΕΔΕ).</w:t>
      </w:r>
    </w:p>
  </w:footnote>
  <w:footnote w:id="3">
    <w:p w14:paraId="4261183B" w14:textId="77777777" w:rsidR="000D4DE1" w:rsidRPr="00E80213" w:rsidRDefault="000D4DE1" w:rsidP="000D4DE1">
      <w:pPr>
        <w:pStyle w:val="af8"/>
        <w:jc w:val="both"/>
        <w:rPr>
          <w:rFonts w:ascii="Ping LCG Regular" w:hAnsi="Ping LCG Regular"/>
          <w:sz w:val="18"/>
          <w:szCs w:val="18"/>
          <w:lang w:val="el-GR"/>
        </w:rPr>
      </w:pPr>
      <w:r w:rsidRPr="00E80213">
        <w:rPr>
          <w:rStyle w:val="af9"/>
          <w:rFonts w:ascii="Ping LCG Regular" w:hAnsi="Ping LCG Regular"/>
          <w:sz w:val="18"/>
          <w:szCs w:val="18"/>
        </w:rPr>
        <w:footnoteRef/>
      </w:r>
      <w:r w:rsidRPr="00E80213">
        <w:rPr>
          <w:rFonts w:ascii="Ping LCG Regular" w:hAnsi="Ping LCG Regular"/>
          <w:sz w:val="18"/>
          <w:szCs w:val="18"/>
          <w:lang w:val="el-GR"/>
        </w:rPr>
        <w:t xml:space="preserve"> </w:t>
      </w:r>
      <w:r w:rsidRPr="00E80213">
        <w:rPr>
          <w:rFonts w:ascii="Ping LCG Regular" w:hAnsi="Ping LCG Regular" w:cs="Arial"/>
          <w:spacing w:val="-14"/>
          <w:sz w:val="18"/>
          <w:szCs w:val="18"/>
          <w:lang w:val="el-GR"/>
        </w:rPr>
        <w:t>Στις 28.02.2022, ημερομηνία ολοκλήρωσης της  πώλησης του 49% της συμμετοχής της ΔΕΗ στη ΔΕΔΔΗΕ στη Macquarie Asset Management., η ΔΕΗ  έλαβε €1.320,4 εκατ. Το τίμημα είχε προσαρμοστεί ώστε να απεικονίζει την εκτιμώμενη μεταβολή στην Καθαρή Αξία του Ενεργητικού (Net Asset Value) της ΔΕΔΔΗΕ έως την 28.2.2022, σύμφωνα με τους όρους της Σύμβασης Αγοράς Μετοχών, ενώ κατέστη οριστικό τον Ιούνιο 2022 βάσει της απολογιστικής Καθαρής Αξίας του Ενεργητικού (Net Asset Value) της ΔΕΔΔΗΕ με ημερομηνία αναφοράς την 28.02.2022, όπου και η ΔΕΗ έλαβε το πρόσθετο ποσό των € 2,8 εκατ.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D84DF" w14:textId="77777777" w:rsidR="00A04EAD" w:rsidRDefault="00A04EAD">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83DFD" w14:textId="78480853" w:rsidR="007A0DF1" w:rsidRPr="00A04EAD" w:rsidRDefault="007A0DF1">
    <w:pPr>
      <w:pStyle w:val="ae"/>
      <w:rPr>
        <w:rFonts w:ascii="Ping LCG Regular" w:hAnsi="Ping LCG Regular"/>
        <w:sz w:val="20"/>
        <w:szCs w:val="20"/>
      </w:rPr>
    </w:pPr>
    <w:r w:rsidRPr="00A04EAD">
      <w:rPr>
        <w:rFonts w:ascii="Ping LCG Regular" w:hAnsi="Ping LCG Regular"/>
        <w:noProof/>
        <w:sz w:val="18"/>
        <w:szCs w:val="18"/>
      </w:rPr>
      <w:drawing>
        <wp:anchor distT="0" distB="0" distL="114300" distR="114300" simplePos="0" relativeHeight="251658240" behindDoc="1" locked="0" layoutInCell="1" allowOverlap="1" wp14:anchorId="06631F23" wp14:editId="425013DF">
          <wp:simplePos x="0" y="0"/>
          <wp:positionH relativeFrom="page">
            <wp:posOffset>5591175</wp:posOffset>
          </wp:positionH>
          <wp:positionV relativeFrom="page">
            <wp:posOffset>-74295</wp:posOffset>
          </wp:positionV>
          <wp:extent cx="1609200" cy="1609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DEI_Logo_RGB-with-safe-area.png"/>
                  <pic:cNvPicPr/>
                </pic:nvPicPr>
                <pic:blipFill>
                  <a:blip r:embed="rId1">
                    <a:extLst>
                      <a:ext uri="{28A0092B-C50C-407E-A947-70E740481C1C}">
                        <a14:useLocalDpi xmlns:a14="http://schemas.microsoft.com/office/drawing/2010/main" val="0"/>
                      </a:ext>
                    </a:extLst>
                  </a:blip>
                  <a:stretch>
                    <a:fillRect/>
                  </a:stretch>
                </pic:blipFill>
                <pic:spPr>
                  <a:xfrm>
                    <a:off x="0" y="0"/>
                    <a:ext cx="1609200" cy="1609200"/>
                  </a:xfrm>
                  <a:prstGeom prst="rect">
                    <a:avLst/>
                  </a:prstGeom>
                </pic:spPr>
              </pic:pic>
            </a:graphicData>
          </a:graphic>
          <wp14:sizeRelH relativeFrom="page">
            <wp14:pctWidth>0</wp14:pctWidth>
          </wp14:sizeRelH>
          <wp14:sizeRelV relativeFrom="page">
            <wp14:pctHeight>0</wp14:pctHeight>
          </wp14:sizeRelV>
        </wp:anchor>
      </w:drawing>
    </w:r>
    <w:r w:rsidRPr="00A04EAD">
      <w:rPr>
        <w:rFonts w:ascii="Ping LCG Regular" w:hAnsi="Ping LCG Regular"/>
        <w:sz w:val="20"/>
        <w:szCs w:val="20"/>
      </w:rPr>
      <w:t xml:space="preserve">Διεύθυνση </w:t>
    </w:r>
    <w:r w:rsidRPr="00A04EAD">
      <w:rPr>
        <w:rFonts w:ascii="Ping LCG Regular" w:hAnsi="Ping LCG Regular"/>
        <w:sz w:val="20"/>
        <w:szCs w:val="20"/>
      </w:rPr>
      <w:br/>
      <w:t xml:space="preserve">Επενδυτικών </w:t>
    </w:r>
    <w:r w:rsidRPr="00A04EAD">
      <w:rPr>
        <w:rFonts w:ascii="Ping LCG Regular" w:hAnsi="Ping LCG Regular"/>
        <w:sz w:val="20"/>
        <w:szCs w:val="20"/>
      </w:rPr>
      <w:br/>
      <w:t>Σχέσεων</w:t>
    </w:r>
  </w:p>
  <w:p w14:paraId="03EE564A" w14:textId="13C504A5" w:rsidR="007A0DF1" w:rsidRPr="00BB4345" w:rsidRDefault="007A0DF1">
    <w:pPr>
      <w:pStyle w:val="ae"/>
      <w:rPr>
        <w:sz w:val="18"/>
        <w:szCs w:val="18"/>
      </w:rPr>
    </w:pPr>
  </w:p>
  <w:p w14:paraId="008678F8" w14:textId="78168467" w:rsidR="007A0DF1" w:rsidRDefault="007A0DF1">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7CEA4" w14:textId="77777777" w:rsidR="00A04EAD" w:rsidRDefault="00A04EAD">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62B8"/>
    <w:multiLevelType w:val="hybridMultilevel"/>
    <w:tmpl w:val="14A0C014"/>
    <w:lvl w:ilvl="0" w:tplc="00000001">
      <w:numFmt w:val="bullet"/>
      <w:lvlText w:val="-"/>
      <w:lvlJc w:val="left"/>
      <w:pPr>
        <w:ind w:left="360" w:hanging="360"/>
      </w:pPr>
      <w:rPr>
        <w:rFonts w:ascii="Times New Roman" w:hAnsi="Times New Roman"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6116690"/>
    <w:multiLevelType w:val="hybridMultilevel"/>
    <w:tmpl w:val="84ECCD3E"/>
    <w:lvl w:ilvl="0" w:tplc="04080003">
      <w:start w:val="1"/>
      <w:numFmt w:val="bullet"/>
      <w:lvlText w:val="o"/>
      <w:lvlJc w:val="left"/>
      <w:pPr>
        <w:ind w:left="717" w:hanging="360"/>
      </w:pPr>
      <w:rPr>
        <w:rFonts w:ascii="Courier New" w:hAnsi="Courier New" w:cs="Courier New" w:hint="default"/>
      </w:rPr>
    </w:lvl>
    <w:lvl w:ilvl="1" w:tplc="FFFFFFFF">
      <w:start w:val="1"/>
      <w:numFmt w:val="bullet"/>
      <w:lvlText w:val="o"/>
      <w:lvlJc w:val="left"/>
      <w:pPr>
        <w:ind w:left="1437" w:hanging="360"/>
      </w:pPr>
      <w:rPr>
        <w:rFonts w:ascii="Courier New" w:hAnsi="Courier New" w:cs="Courier New" w:hint="default"/>
      </w:rPr>
    </w:lvl>
    <w:lvl w:ilvl="2" w:tplc="FFFFFFFF">
      <w:start w:val="1"/>
      <w:numFmt w:val="bullet"/>
      <w:lvlText w:val=""/>
      <w:lvlJc w:val="left"/>
      <w:pPr>
        <w:ind w:left="2157" w:hanging="360"/>
      </w:pPr>
      <w:rPr>
        <w:rFonts w:ascii="Wingdings" w:hAnsi="Wingdings" w:hint="default"/>
      </w:rPr>
    </w:lvl>
    <w:lvl w:ilvl="3" w:tplc="FFFFFFFF">
      <w:start w:val="1"/>
      <w:numFmt w:val="bullet"/>
      <w:lvlText w:val=""/>
      <w:lvlJc w:val="left"/>
      <w:pPr>
        <w:ind w:left="2877" w:hanging="360"/>
      </w:pPr>
      <w:rPr>
        <w:rFonts w:ascii="Symbol" w:hAnsi="Symbol" w:hint="default"/>
      </w:rPr>
    </w:lvl>
    <w:lvl w:ilvl="4" w:tplc="FFFFFFFF">
      <w:start w:val="1"/>
      <w:numFmt w:val="bullet"/>
      <w:lvlText w:val="o"/>
      <w:lvlJc w:val="left"/>
      <w:pPr>
        <w:ind w:left="3597" w:hanging="360"/>
      </w:pPr>
      <w:rPr>
        <w:rFonts w:ascii="Courier New" w:hAnsi="Courier New" w:cs="Courier New" w:hint="default"/>
      </w:rPr>
    </w:lvl>
    <w:lvl w:ilvl="5" w:tplc="FFFFFFFF">
      <w:start w:val="1"/>
      <w:numFmt w:val="bullet"/>
      <w:lvlText w:val=""/>
      <w:lvlJc w:val="left"/>
      <w:pPr>
        <w:ind w:left="4317" w:hanging="360"/>
      </w:pPr>
      <w:rPr>
        <w:rFonts w:ascii="Wingdings" w:hAnsi="Wingdings" w:hint="default"/>
      </w:rPr>
    </w:lvl>
    <w:lvl w:ilvl="6" w:tplc="FFFFFFFF">
      <w:start w:val="1"/>
      <w:numFmt w:val="bullet"/>
      <w:lvlText w:val=""/>
      <w:lvlJc w:val="left"/>
      <w:pPr>
        <w:ind w:left="5037" w:hanging="360"/>
      </w:pPr>
      <w:rPr>
        <w:rFonts w:ascii="Symbol" w:hAnsi="Symbol" w:hint="default"/>
      </w:rPr>
    </w:lvl>
    <w:lvl w:ilvl="7" w:tplc="FFFFFFFF">
      <w:start w:val="1"/>
      <w:numFmt w:val="bullet"/>
      <w:lvlText w:val="o"/>
      <w:lvlJc w:val="left"/>
      <w:pPr>
        <w:ind w:left="5757" w:hanging="360"/>
      </w:pPr>
      <w:rPr>
        <w:rFonts w:ascii="Courier New" w:hAnsi="Courier New" w:cs="Courier New" w:hint="default"/>
      </w:rPr>
    </w:lvl>
    <w:lvl w:ilvl="8" w:tplc="FFFFFFFF">
      <w:start w:val="1"/>
      <w:numFmt w:val="bullet"/>
      <w:lvlText w:val=""/>
      <w:lvlJc w:val="left"/>
      <w:pPr>
        <w:ind w:left="6477" w:hanging="360"/>
      </w:pPr>
      <w:rPr>
        <w:rFonts w:ascii="Wingdings" w:hAnsi="Wingdings" w:hint="default"/>
      </w:rPr>
    </w:lvl>
  </w:abstractNum>
  <w:abstractNum w:abstractNumId="2" w15:restartNumberingAfterBreak="0">
    <w:nsid w:val="0A8677E7"/>
    <w:multiLevelType w:val="hybridMultilevel"/>
    <w:tmpl w:val="6FD00A80"/>
    <w:lvl w:ilvl="0" w:tplc="00000001">
      <w:numFmt w:val="bullet"/>
      <w:lvlText w:val="-"/>
      <w:lvlJc w:val="left"/>
      <w:pPr>
        <w:ind w:left="717" w:hanging="360"/>
      </w:pPr>
      <w:rPr>
        <w:rFonts w:ascii="Times New Roman" w:hAnsi="Times New Roman" w:cs="Times New Roman" w:hint="default"/>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3" w15:restartNumberingAfterBreak="0">
    <w:nsid w:val="0A8B21C7"/>
    <w:multiLevelType w:val="hybridMultilevel"/>
    <w:tmpl w:val="00E81F68"/>
    <w:lvl w:ilvl="0" w:tplc="00000001">
      <w:numFmt w:val="bullet"/>
      <w:lvlText w:val="-"/>
      <w:lvlJc w:val="left"/>
      <w:pPr>
        <w:ind w:left="540" w:hanging="360"/>
      </w:pPr>
      <w:rPr>
        <w:rFonts w:ascii="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DC29CE"/>
    <w:multiLevelType w:val="hybridMultilevel"/>
    <w:tmpl w:val="D8A4A3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45D7ADD"/>
    <w:multiLevelType w:val="hybridMultilevel"/>
    <w:tmpl w:val="757A65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AF6C19"/>
    <w:multiLevelType w:val="hybridMultilevel"/>
    <w:tmpl w:val="9B48944C"/>
    <w:lvl w:ilvl="0" w:tplc="CB68E564">
      <w:numFmt w:val="bullet"/>
      <w:lvlText w:val="-"/>
      <w:lvlJc w:val="left"/>
      <w:pPr>
        <w:ind w:left="731" w:hanging="360"/>
      </w:pPr>
      <w:rPr>
        <w:rFonts w:ascii="Arial" w:eastAsia="Times New Roman" w:hAnsi="Arial" w:cs="Arial" w:hint="default"/>
      </w:rPr>
    </w:lvl>
    <w:lvl w:ilvl="1" w:tplc="04080003" w:tentative="1">
      <w:start w:val="1"/>
      <w:numFmt w:val="bullet"/>
      <w:lvlText w:val="o"/>
      <w:lvlJc w:val="left"/>
      <w:pPr>
        <w:ind w:left="1451" w:hanging="360"/>
      </w:pPr>
      <w:rPr>
        <w:rFonts w:ascii="Courier New" w:hAnsi="Courier New" w:cs="Courier New" w:hint="default"/>
      </w:rPr>
    </w:lvl>
    <w:lvl w:ilvl="2" w:tplc="04080005" w:tentative="1">
      <w:start w:val="1"/>
      <w:numFmt w:val="bullet"/>
      <w:lvlText w:val=""/>
      <w:lvlJc w:val="left"/>
      <w:pPr>
        <w:ind w:left="2171" w:hanging="360"/>
      </w:pPr>
      <w:rPr>
        <w:rFonts w:ascii="Wingdings" w:hAnsi="Wingdings" w:hint="default"/>
      </w:rPr>
    </w:lvl>
    <w:lvl w:ilvl="3" w:tplc="04080001" w:tentative="1">
      <w:start w:val="1"/>
      <w:numFmt w:val="bullet"/>
      <w:lvlText w:val=""/>
      <w:lvlJc w:val="left"/>
      <w:pPr>
        <w:ind w:left="2891" w:hanging="360"/>
      </w:pPr>
      <w:rPr>
        <w:rFonts w:ascii="Symbol" w:hAnsi="Symbol" w:hint="default"/>
      </w:rPr>
    </w:lvl>
    <w:lvl w:ilvl="4" w:tplc="04080003" w:tentative="1">
      <w:start w:val="1"/>
      <w:numFmt w:val="bullet"/>
      <w:lvlText w:val="o"/>
      <w:lvlJc w:val="left"/>
      <w:pPr>
        <w:ind w:left="3611" w:hanging="360"/>
      </w:pPr>
      <w:rPr>
        <w:rFonts w:ascii="Courier New" w:hAnsi="Courier New" w:cs="Courier New" w:hint="default"/>
      </w:rPr>
    </w:lvl>
    <w:lvl w:ilvl="5" w:tplc="04080005" w:tentative="1">
      <w:start w:val="1"/>
      <w:numFmt w:val="bullet"/>
      <w:lvlText w:val=""/>
      <w:lvlJc w:val="left"/>
      <w:pPr>
        <w:ind w:left="4331" w:hanging="360"/>
      </w:pPr>
      <w:rPr>
        <w:rFonts w:ascii="Wingdings" w:hAnsi="Wingdings" w:hint="default"/>
      </w:rPr>
    </w:lvl>
    <w:lvl w:ilvl="6" w:tplc="04080001" w:tentative="1">
      <w:start w:val="1"/>
      <w:numFmt w:val="bullet"/>
      <w:lvlText w:val=""/>
      <w:lvlJc w:val="left"/>
      <w:pPr>
        <w:ind w:left="5051" w:hanging="360"/>
      </w:pPr>
      <w:rPr>
        <w:rFonts w:ascii="Symbol" w:hAnsi="Symbol" w:hint="default"/>
      </w:rPr>
    </w:lvl>
    <w:lvl w:ilvl="7" w:tplc="04080003" w:tentative="1">
      <w:start w:val="1"/>
      <w:numFmt w:val="bullet"/>
      <w:lvlText w:val="o"/>
      <w:lvlJc w:val="left"/>
      <w:pPr>
        <w:ind w:left="5771" w:hanging="360"/>
      </w:pPr>
      <w:rPr>
        <w:rFonts w:ascii="Courier New" w:hAnsi="Courier New" w:cs="Courier New" w:hint="default"/>
      </w:rPr>
    </w:lvl>
    <w:lvl w:ilvl="8" w:tplc="04080005" w:tentative="1">
      <w:start w:val="1"/>
      <w:numFmt w:val="bullet"/>
      <w:lvlText w:val=""/>
      <w:lvlJc w:val="left"/>
      <w:pPr>
        <w:ind w:left="6491" w:hanging="360"/>
      </w:pPr>
      <w:rPr>
        <w:rFonts w:ascii="Wingdings" w:hAnsi="Wingdings" w:hint="default"/>
      </w:rPr>
    </w:lvl>
  </w:abstractNum>
  <w:abstractNum w:abstractNumId="7" w15:restartNumberingAfterBreak="0">
    <w:nsid w:val="170A072E"/>
    <w:multiLevelType w:val="hybridMultilevel"/>
    <w:tmpl w:val="27DEF4BC"/>
    <w:lvl w:ilvl="0" w:tplc="5D96AB8E">
      <w:start w:val="1"/>
      <w:numFmt w:val="bullet"/>
      <w:lvlText w:val=""/>
      <w:lvlJc w:val="left"/>
      <w:pPr>
        <w:tabs>
          <w:tab w:val="num" w:pos="720"/>
        </w:tabs>
        <w:ind w:left="720" w:hanging="360"/>
      </w:pPr>
      <w:rPr>
        <w:rFonts w:ascii="Wingdings" w:hAnsi="Wingdings" w:hint="default"/>
      </w:rPr>
    </w:lvl>
    <w:lvl w:ilvl="1" w:tplc="150A89C8">
      <w:start w:val="1"/>
      <w:numFmt w:val="bullet"/>
      <w:lvlText w:val=""/>
      <w:lvlJc w:val="left"/>
      <w:pPr>
        <w:tabs>
          <w:tab w:val="num" w:pos="1440"/>
        </w:tabs>
        <w:ind w:left="1440" w:hanging="360"/>
      </w:pPr>
      <w:rPr>
        <w:rFonts w:ascii="Wingdings" w:hAnsi="Wingdings" w:hint="default"/>
      </w:rPr>
    </w:lvl>
    <w:lvl w:ilvl="2" w:tplc="2436B798" w:tentative="1">
      <w:start w:val="1"/>
      <w:numFmt w:val="bullet"/>
      <w:lvlText w:val=""/>
      <w:lvlJc w:val="left"/>
      <w:pPr>
        <w:tabs>
          <w:tab w:val="num" w:pos="2160"/>
        </w:tabs>
        <w:ind w:left="2160" w:hanging="360"/>
      </w:pPr>
      <w:rPr>
        <w:rFonts w:ascii="Wingdings" w:hAnsi="Wingdings" w:hint="default"/>
      </w:rPr>
    </w:lvl>
    <w:lvl w:ilvl="3" w:tplc="BFE652CA" w:tentative="1">
      <w:start w:val="1"/>
      <w:numFmt w:val="bullet"/>
      <w:lvlText w:val=""/>
      <w:lvlJc w:val="left"/>
      <w:pPr>
        <w:tabs>
          <w:tab w:val="num" w:pos="2880"/>
        </w:tabs>
        <w:ind w:left="2880" w:hanging="360"/>
      </w:pPr>
      <w:rPr>
        <w:rFonts w:ascii="Wingdings" w:hAnsi="Wingdings" w:hint="default"/>
      </w:rPr>
    </w:lvl>
    <w:lvl w:ilvl="4" w:tplc="A016DD7E" w:tentative="1">
      <w:start w:val="1"/>
      <w:numFmt w:val="bullet"/>
      <w:lvlText w:val=""/>
      <w:lvlJc w:val="left"/>
      <w:pPr>
        <w:tabs>
          <w:tab w:val="num" w:pos="3600"/>
        </w:tabs>
        <w:ind w:left="3600" w:hanging="360"/>
      </w:pPr>
      <w:rPr>
        <w:rFonts w:ascii="Wingdings" w:hAnsi="Wingdings" w:hint="default"/>
      </w:rPr>
    </w:lvl>
    <w:lvl w:ilvl="5" w:tplc="C35E7BD6" w:tentative="1">
      <w:start w:val="1"/>
      <w:numFmt w:val="bullet"/>
      <w:lvlText w:val=""/>
      <w:lvlJc w:val="left"/>
      <w:pPr>
        <w:tabs>
          <w:tab w:val="num" w:pos="4320"/>
        </w:tabs>
        <w:ind w:left="4320" w:hanging="360"/>
      </w:pPr>
      <w:rPr>
        <w:rFonts w:ascii="Wingdings" w:hAnsi="Wingdings" w:hint="default"/>
      </w:rPr>
    </w:lvl>
    <w:lvl w:ilvl="6" w:tplc="4CF82B56" w:tentative="1">
      <w:start w:val="1"/>
      <w:numFmt w:val="bullet"/>
      <w:lvlText w:val=""/>
      <w:lvlJc w:val="left"/>
      <w:pPr>
        <w:tabs>
          <w:tab w:val="num" w:pos="5040"/>
        </w:tabs>
        <w:ind w:left="5040" w:hanging="360"/>
      </w:pPr>
      <w:rPr>
        <w:rFonts w:ascii="Wingdings" w:hAnsi="Wingdings" w:hint="default"/>
      </w:rPr>
    </w:lvl>
    <w:lvl w:ilvl="7" w:tplc="F61891EC" w:tentative="1">
      <w:start w:val="1"/>
      <w:numFmt w:val="bullet"/>
      <w:lvlText w:val=""/>
      <w:lvlJc w:val="left"/>
      <w:pPr>
        <w:tabs>
          <w:tab w:val="num" w:pos="5760"/>
        </w:tabs>
        <w:ind w:left="5760" w:hanging="360"/>
      </w:pPr>
      <w:rPr>
        <w:rFonts w:ascii="Wingdings" w:hAnsi="Wingdings" w:hint="default"/>
      </w:rPr>
    </w:lvl>
    <w:lvl w:ilvl="8" w:tplc="AFCCCF2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193B38"/>
    <w:multiLevelType w:val="hybridMultilevel"/>
    <w:tmpl w:val="F9BE7390"/>
    <w:lvl w:ilvl="0" w:tplc="0408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9" w15:restartNumberingAfterBreak="0">
    <w:nsid w:val="23D90661"/>
    <w:multiLevelType w:val="multilevel"/>
    <w:tmpl w:val="D4B81BCC"/>
    <w:lvl w:ilvl="0">
      <w:start w:val="1"/>
      <w:numFmt w:val="bullet"/>
      <w:lvlText w:val=""/>
      <w:lvlJc w:val="left"/>
      <w:pPr>
        <w:tabs>
          <w:tab w:val="num" w:pos="372"/>
        </w:tabs>
        <w:ind w:left="372" w:hanging="360"/>
      </w:pPr>
      <w:rPr>
        <w:rFonts w:ascii="Symbol" w:hAnsi="Symbol" w:hint="default"/>
        <w:sz w:val="20"/>
      </w:rPr>
    </w:lvl>
    <w:lvl w:ilvl="1" w:tentative="1">
      <w:start w:val="1"/>
      <w:numFmt w:val="bullet"/>
      <w:lvlText w:val="o"/>
      <w:lvlJc w:val="left"/>
      <w:pPr>
        <w:tabs>
          <w:tab w:val="num" w:pos="1092"/>
        </w:tabs>
        <w:ind w:left="1092" w:hanging="360"/>
      </w:pPr>
      <w:rPr>
        <w:rFonts w:ascii="Courier New" w:hAnsi="Courier New" w:hint="default"/>
        <w:sz w:val="20"/>
      </w:rPr>
    </w:lvl>
    <w:lvl w:ilvl="2" w:tentative="1">
      <w:start w:val="1"/>
      <w:numFmt w:val="bullet"/>
      <w:lvlText w:val=""/>
      <w:lvlJc w:val="left"/>
      <w:pPr>
        <w:tabs>
          <w:tab w:val="num" w:pos="1812"/>
        </w:tabs>
        <w:ind w:left="1812" w:hanging="360"/>
      </w:pPr>
      <w:rPr>
        <w:rFonts w:ascii="Wingdings" w:hAnsi="Wingdings" w:hint="default"/>
        <w:sz w:val="20"/>
      </w:rPr>
    </w:lvl>
    <w:lvl w:ilvl="3" w:tentative="1">
      <w:start w:val="1"/>
      <w:numFmt w:val="bullet"/>
      <w:lvlText w:val=""/>
      <w:lvlJc w:val="left"/>
      <w:pPr>
        <w:tabs>
          <w:tab w:val="num" w:pos="2532"/>
        </w:tabs>
        <w:ind w:left="2532" w:hanging="360"/>
      </w:pPr>
      <w:rPr>
        <w:rFonts w:ascii="Wingdings" w:hAnsi="Wingdings" w:hint="default"/>
        <w:sz w:val="20"/>
      </w:rPr>
    </w:lvl>
    <w:lvl w:ilvl="4" w:tentative="1">
      <w:start w:val="1"/>
      <w:numFmt w:val="bullet"/>
      <w:lvlText w:val=""/>
      <w:lvlJc w:val="left"/>
      <w:pPr>
        <w:tabs>
          <w:tab w:val="num" w:pos="3252"/>
        </w:tabs>
        <w:ind w:left="3252" w:hanging="360"/>
      </w:pPr>
      <w:rPr>
        <w:rFonts w:ascii="Wingdings" w:hAnsi="Wingdings" w:hint="default"/>
        <w:sz w:val="20"/>
      </w:rPr>
    </w:lvl>
    <w:lvl w:ilvl="5" w:tentative="1">
      <w:start w:val="1"/>
      <w:numFmt w:val="bullet"/>
      <w:lvlText w:val=""/>
      <w:lvlJc w:val="left"/>
      <w:pPr>
        <w:tabs>
          <w:tab w:val="num" w:pos="3972"/>
        </w:tabs>
        <w:ind w:left="3972" w:hanging="360"/>
      </w:pPr>
      <w:rPr>
        <w:rFonts w:ascii="Wingdings" w:hAnsi="Wingdings" w:hint="default"/>
        <w:sz w:val="20"/>
      </w:rPr>
    </w:lvl>
    <w:lvl w:ilvl="6" w:tentative="1">
      <w:start w:val="1"/>
      <w:numFmt w:val="bullet"/>
      <w:lvlText w:val=""/>
      <w:lvlJc w:val="left"/>
      <w:pPr>
        <w:tabs>
          <w:tab w:val="num" w:pos="4692"/>
        </w:tabs>
        <w:ind w:left="4692" w:hanging="360"/>
      </w:pPr>
      <w:rPr>
        <w:rFonts w:ascii="Wingdings" w:hAnsi="Wingdings" w:hint="default"/>
        <w:sz w:val="20"/>
      </w:rPr>
    </w:lvl>
    <w:lvl w:ilvl="7" w:tentative="1">
      <w:start w:val="1"/>
      <w:numFmt w:val="bullet"/>
      <w:lvlText w:val=""/>
      <w:lvlJc w:val="left"/>
      <w:pPr>
        <w:tabs>
          <w:tab w:val="num" w:pos="5412"/>
        </w:tabs>
        <w:ind w:left="5412" w:hanging="360"/>
      </w:pPr>
      <w:rPr>
        <w:rFonts w:ascii="Wingdings" w:hAnsi="Wingdings" w:hint="default"/>
        <w:sz w:val="20"/>
      </w:rPr>
    </w:lvl>
    <w:lvl w:ilvl="8" w:tentative="1">
      <w:start w:val="1"/>
      <w:numFmt w:val="bullet"/>
      <w:lvlText w:val=""/>
      <w:lvlJc w:val="left"/>
      <w:pPr>
        <w:tabs>
          <w:tab w:val="num" w:pos="6132"/>
        </w:tabs>
        <w:ind w:left="6132" w:hanging="360"/>
      </w:pPr>
      <w:rPr>
        <w:rFonts w:ascii="Wingdings" w:hAnsi="Wingdings" w:hint="default"/>
        <w:sz w:val="20"/>
      </w:rPr>
    </w:lvl>
  </w:abstractNum>
  <w:abstractNum w:abstractNumId="10" w15:restartNumberingAfterBreak="0">
    <w:nsid w:val="3C4C7E50"/>
    <w:multiLevelType w:val="hybridMultilevel"/>
    <w:tmpl w:val="3C306544"/>
    <w:lvl w:ilvl="0" w:tplc="00000001">
      <w:numFmt w:val="bullet"/>
      <w:lvlText w:val="-"/>
      <w:lvlJc w:val="left"/>
      <w:pPr>
        <w:ind w:left="720" w:hanging="360"/>
      </w:pPr>
      <w:rPr>
        <w:rFonts w:ascii="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0FA50AB"/>
    <w:multiLevelType w:val="hybridMultilevel"/>
    <w:tmpl w:val="7A708C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47E2E28"/>
    <w:multiLevelType w:val="hybridMultilevel"/>
    <w:tmpl w:val="085858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D45756A"/>
    <w:multiLevelType w:val="hybridMultilevel"/>
    <w:tmpl w:val="5D1EB3A2"/>
    <w:lvl w:ilvl="0" w:tplc="CB68E564">
      <w:numFmt w:val="bullet"/>
      <w:lvlText w:val="-"/>
      <w:lvlJc w:val="left"/>
      <w:pPr>
        <w:ind w:left="360" w:hanging="360"/>
      </w:pPr>
      <w:rPr>
        <w:rFonts w:ascii="Arial" w:eastAsia="Times New Roman" w:hAnsi="Arial" w:cs="Arial" w:hint="default"/>
      </w:rPr>
    </w:lvl>
    <w:lvl w:ilvl="1" w:tplc="04080003">
      <w:start w:val="1"/>
      <w:numFmt w:val="bullet"/>
      <w:lvlText w:val="o"/>
      <w:lvlJc w:val="left"/>
      <w:pPr>
        <w:ind w:left="-4230" w:hanging="360"/>
      </w:pPr>
      <w:rPr>
        <w:rFonts w:ascii="Courier New" w:hAnsi="Courier New" w:cs="Courier New" w:hint="default"/>
      </w:rPr>
    </w:lvl>
    <w:lvl w:ilvl="2" w:tplc="04080005" w:tentative="1">
      <w:start w:val="1"/>
      <w:numFmt w:val="bullet"/>
      <w:lvlText w:val=""/>
      <w:lvlJc w:val="left"/>
      <w:pPr>
        <w:ind w:left="-3510" w:hanging="360"/>
      </w:pPr>
      <w:rPr>
        <w:rFonts w:ascii="Wingdings" w:hAnsi="Wingdings" w:hint="default"/>
      </w:rPr>
    </w:lvl>
    <w:lvl w:ilvl="3" w:tplc="04080001" w:tentative="1">
      <w:start w:val="1"/>
      <w:numFmt w:val="bullet"/>
      <w:lvlText w:val=""/>
      <w:lvlJc w:val="left"/>
      <w:pPr>
        <w:ind w:left="-2790" w:hanging="360"/>
      </w:pPr>
      <w:rPr>
        <w:rFonts w:ascii="Symbol" w:hAnsi="Symbol" w:hint="default"/>
      </w:rPr>
    </w:lvl>
    <w:lvl w:ilvl="4" w:tplc="04080003" w:tentative="1">
      <w:start w:val="1"/>
      <w:numFmt w:val="bullet"/>
      <w:lvlText w:val="o"/>
      <w:lvlJc w:val="left"/>
      <w:pPr>
        <w:ind w:left="-2070" w:hanging="360"/>
      </w:pPr>
      <w:rPr>
        <w:rFonts w:ascii="Courier New" w:hAnsi="Courier New" w:cs="Courier New" w:hint="default"/>
      </w:rPr>
    </w:lvl>
    <w:lvl w:ilvl="5" w:tplc="04080005" w:tentative="1">
      <w:start w:val="1"/>
      <w:numFmt w:val="bullet"/>
      <w:lvlText w:val=""/>
      <w:lvlJc w:val="left"/>
      <w:pPr>
        <w:ind w:left="-1350" w:hanging="360"/>
      </w:pPr>
      <w:rPr>
        <w:rFonts w:ascii="Wingdings" w:hAnsi="Wingdings" w:hint="default"/>
      </w:rPr>
    </w:lvl>
    <w:lvl w:ilvl="6" w:tplc="04080001" w:tentative="1">
      <w:start w:val="1"/>
      <w:numFmt w:val="bullet"/>
      <w:lvlText w:val=""/>
      <w:lvlJc w:val="left"/>
      <w:pPr>
        <w:ind w:left="-630" w:hanging="360"/>
      </w:pPr>
      <w:rPr>
        <w:rFonts w:ascii="Symbol" w:hAnsi="Symbol" w:hint="default"/>
      </w:rPr>
    </w:lvl>
    <w:lvl w:ilvl="7" w:tplc="04080003" w:tentative="1">
      <w:start w:val="1"/>
      <w:numFmt w:val="bullet"/>
      <w:lvlText w:val="o"/>
      <w:lvlJc w:val="left"/>
      <w:pPr>
        <w:ind w:left="90" w:hanging="360"/>
      </w:pPr>
      <w:rPr>
        <w:rFonts w:ascii="Courier New" w:hAnsi="Courier New" w:cs="Courier New" w:hint="default"/>
      </w:rPr>
    </w:lvl>
    <w:lvl w:ilvl="8" w:tplc="04080005" w:tentative="1">
      <w:start w:val="1"/>
      <w:numFmt w:val="bullet"/>
      <w:lvlText w:val=""/>
      <w:lvlJc w:val="left"/>
      <w:pPr>
        <w:ind w:left="810" w:hanging="360"/>
      </w:pPr>
      <w:rPr>
        <w:rFonts w:ascii="Wingdings" w:hAnsi="Wingdings" w:hint="default"/>
      </w:rPr>
    </w:lvl>
  </w:abstractNum>
  <w:abstractNum w:abstractNumId="14" w15:restartNumberingAfterBreak="0">
    <w:nsid w:val="62E66E28"/>
    <w:multiLevelType w:val="hybridMultilevel"/>
    <w:tmpl w:val="E458AD94"/>
    <w:lvl w:ilvl="0" w:tplc="C82CC4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B43C97"/>
    <w:multiLevelType w:val="hybridMultilevel"/>
    <w:tmpl w:val="3956214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B292AE7"/>
    <w:multiLevelType w:val="hybridMultilevel"/>
    <w:tmpl w:val="41409D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315883656">
    <w:abstractNumId w:val="8"/>
  </w:num>
  <w:num w:numId="2" w16cid:durableId="1916475522">
    <w:abstractNumId w:val="3"/>
  </w:num>
  <w:num w:numId="3" w16cid:durableId="835997574">
    <w:abstractNumId w:val="13"/>
  </w:num>
  <w:num w:numId="4" w16cid:durableId="821041486">
    <w:abstractNumId w:val="7"/>
  </w:num>
  <w:num w:numId="5" w16cid:durableId="1576237434">
    <w:abstractNumId w:val="5"/>
  </w:num>
  <w:num w:numId="6" w16cid:durableId="2112044789">
    <w:abstractNumId w:val="16"/>
  </w:num>
  <w:num w:numId="7" w16cid:durableId="862474806">
    <w:abstractNumId w:val="4"/>
  </w:num>
  <w:num w:numId="8" w16cid:durableId="1889947853">
    <w:abstractNumId w:val="0"/>
  </w:num>
  <w:num w:numId="9" w16cid:durableId="1258367267">
    <w:abstractNumId w:val="6"/>
  </w:num>
  <w:num w:numId="10" w16cid:durableId="1401446899">
    <w:abstractNumId w:val="2"/>
  </w:num>
  <w:num w:numId="11" w16cid:durableId="850026164">
    <w:abstractNumId w:val="14"/>
  </w:num>
  <w:num w:numId="12" w16cid:durableId="1062873899">
    <w:abstractNumId w:val="9"/>
  </w:num>
  <w:num w:numId="13" w16cid:durableId="1429500832">
    <w:abstractNumId w:val="15"/>
  </w:num>
  <w:num w:numId="14" w16cid:durableId="712464943">
    <w:abstractNumId w:val="10"/>
  </w:num>
  <w:num w:numId="15" w16cid:durableId="1707752724">
    <w:abstractNumId w:val="12"/>
  </w:num>
  <w:num w:numId="16" w16cid:durableId="808740354">
    <w:abstractNumId w:val="11"/>
  </w:num>
  <w:num w:numId="17" w16cid:durableId="138309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0BE"/>
    <w:rsid w:val="00001463"/>
    <w:rsid w:val="000018BC"/>
    <w:rsid w:val="00001E5E"/>
    <w:rsid w:val="000025E9"/>
    <w:rsid w:val="000031B8"/>
    <w:rsid w:val="0000344A"/>
    <w:rsid w:val="00003CC4"/>
    <w:rsid w:val="00004770"/>
    <w:rsid w:val="0000478F"/>
    <w:rsid w:val="00004B0A"/>
    <w:rsid w:val="000056D1"/>
    <w:rsid w:val="000057C4"/>
    <w:rsid w:val="00005A30"/>
    <w:rsid w:val="000069F0"/>
    <w:rsid w:val="00006C20"/>
    <w:rsid w:val="00006FEA"/>
    <w:rsid w:val="000073EC"/>
    <w:rsid w:val="00007614"/>
    <w:rsid w:val="000108D8"/>
    <w:rsid w:val="0001119C"/>
    <w:rsid w:val="00011212"/>
    <w:rsid w:val="000113F4"/>
    <w:rsid w:val="00012D6D"/>
    <w:rsid w:val="00013062"/>
    <w:rsid w:val="000133A1"/>
    <w:rsid w:val="00013471"/>
    <w:rsid w:val="000135F5"/>
    <w:rsid w:val="00013998"/>
    <w:rsid w:val="00013D4F"/>
    <w:rsid w:val="00015585"/>
    <w:rsid w:val="0001669D"/>
    <w:rsid w:val="00016E8E"/>
    <w:rsid w:val="00017175"/>
    <w:rsid w:val="00017261"/>
    <w:rsid w:val="00017568"/>
    <w:rsid w:val="0002094C"/>
    <w:rsid w:val="00020CBE"/>
    <w:rsid w:val="0002203F"/>
    <w:rsid w:val="00022FA2"/>
    <w:rsid w:val="00024422"/>
    <w:rsid w:val="0002582F"/>
    <w:rsid w:val="00025DEC"/>
    <w:rsid w:val="000268AB"/>
    <w:rsid w:val="0002754B"/>
    <w:rsid w:val="000304B6"/>
    <w:rsid w:val="00032103"/>
    <w:rsid w:val="000337AD"/>
    <w:rsid w:val="00033AD1"/>
    <w:rsid w:val="00033E4D"/>
    <w:rsid w:val="0003446F"/>
    <w:rsid w:val="00034BF0"/>
    <w:rsid w:val="00035E2E"/>
    <w:rsid w:val="00035ED6"/>
    <w:rsid w:val="00036590"/>
    <w:rsid w:val="000408A0"/>
    <w:rsid w:val="00040A9C"/>
    <w:rsid w:val="00041CD6"/>
    <w:rsid w:val="000420B9"/>
    <w:rsid w:val="0004235E"/>
    <w:rsid w:val="000423CD"/>
    <w:rsid w:val="000426F9"/>
    <w:rsid w:val="000436B4"/>
    <w:rsid w:val="00043857"/>
    <w:rsid w:val="00043AC9"/>
    <w:rsid w:val="00044325"/>
    <w:rsid w:val="00044428"/>
    <w:rsid w:val="00046F99"/>
    <w:rsid w:val="00050694"/>
    <w:rsid w:val="00050AA8"/>
    <w:rsid w:val="00050AE3"/>
    <w:rsid w:val="0005145C"/>
    <w:rsid w:val="00052429"/>
    <w:rsid w:val="000534BB"/>
    <w:rsid w:val="000539AC"/>
    <w:rsid w:val="00054441"/>
    <w:rsid w:val="00054FE9"/>
    <w:rsid w:val="00055140"/>
    <w:rsid w:val="00055C88"/>
    <w:rsid w:val="0005634C"/>
    <w:rsid w:val="000569B6"/>
    <w:rsid w:val="000570A2"/>
    <w:rsid w:val="00057604"/>
    <w:rsid w:val="00060690"/>
    <w:rsid w:val="00061796"/>
    <w:rsid w:val="0006261E"/>
    <w:rsid w:val="00063759"/>
    <w:rsid w:val="000638D9"/>
    <w:rsid w:val="00063C55"/>
    <w:rsid w:val="0006402D"/>
    <w:rsid w:val="00064956"/>
    <w:rsid w:val="00065351"/>
    <w:rsid w:val="0006544F"/>
    <w:rsid w:val="00065873"/>
    <w:rsid w:val="0006714A"/>
    <w:rsid w:val="0006722A"/>
    <w:rsid w:val="00067A2B"/>
    <w:rsid w:val="00067C36"/>
    <w:rsid w:val="00070326"/>
    <w:rsid w:val="00070635"/>
    <w:rsid w:val="00072120"/>
    <w:rsid w:val="000725BE"/>
    <w:rsid w:val="000729A0"/>
    <w:rsid w:val="00073B5F"/>
    <w:rsid w:val="000742C9"/>
    <w:rsid w:val="00074380"/>
    <w:rsid w:val="0007526B"/>
    <w:rsid w:val="00075EDB"/>
    <w:rsid w:val="00076804"/>
    <w:rsid w:val="00076CE5"/>
    <w:rsid w:val="00081F33"/>
    <w:rsid w:val="000835E4"/>
    <w:rsid w:val="00084F96"/>
    <w:rsid w:val="00085470"/>
    <w:rsid w:val="00085EA9"/>
    <w:rsid w:val="0008621C"/>
    <w:rsid w:val="0008698B"/>
    <w:rsid w:val="00087FC4"/>
    <w:rsid w:val="00090B00"/>
    <w:rsid w:val="00091DDA"/>
    <w:rsid w:val="00091EA8"/>
    <w:rsid w:val="00091EAE"/>
    <w:rsid w:val="0009228B"/>
    <w:rsid w:val="00092C42"/>
    <w:rsid w:val="00093193"/>
    <w:rsid w:val="00093D24"/>
    <w:rsid w:val="00095056"/>
    <w:rsid w:val="00095C30"/>
    <w:rsid w:val="0009624B"/>
    <w:rsid w:val="00096713"/>
    <w:rsid w:val="000A0032"/>
    <w:rsid w:val="000A0468"/>
    <w:rsid w:val="000A04F5"/>
    <w:rsid w:val="000A08A6"/>
    <w:rsid w:val="000A0991"/>
    <w:rsid w:val="000A229D"/>
    <w:rsid w:val="000A2933"/>
    <w:rsid w:val="000A30E7"/>
    <w:rsid w:val="000A32FC"/>
    <w:rsid w:val="000A4D42"/>
    <w:rsid w:val="000A5036"/>
    <w:rsid w:val="000A5A1F"/>
    <w:rsid w:val="000A6431"/>
    <w:rsid w:val="000A6C19"/>
    <w:rsid w:val="000A7C1B"/>
    <w:rsid w:val="000B08CB"/>
    <w:rsid w:val="000B0DFA"/>
    <w:rsid w:val="000B1103"/>
    <w:rsid w:val="000B1C13"/>
    <w:rsid w:val="000B1E66"/>
    <w:rsid w:val="000B296A"/>
    <w:rsid w:val="000B2A3B"/>
    <w:rsid w:val="000B2F3E"/>
    <w:rsid w:val="000B2F82"/>
    <w:rsid w:val="000B336F"/>
    <w:rsid w:val="000B374B"/>
    <w:rsid w:val="000B3D46"/>
    <w:rsid w:val="000B5D13"/>
    <w:rsid w:val="000B5FD3"/>
    <w:rsid w:val="000B6000"/>
    <w:rsid w:val="000B64D5"/>
    <w:rsid w:val="000C11E4"/>
    <w:rsid w:val="000C1A3F"/>
    <w:rsid w:val="000C2764"/>
    <w:rsid w:val="000C2A32"/>
    <w:rsid w:val="000C3871"/>
    <w:rsid w:val="000C41AE"/>
    <w:rsid w:val="000C7D9A"/>
    <w:rsid w:val="000D005D"/>
    <w:rsid w:val="000D053D"/>
    <w:rsid w:val="000D0705"/>
    <w:rsid w:val="000D0AB6"/>
    <w:rsid w:val="000D142A"/>
    <w:rsid w:val="000D2463"/>
    <w:rsid w:val="000D26B9"/>
    <w:rsid w:val="000D34D6"/>
    <w:rsid w:val="000D358B"/>
    <w:rsid w:val="000D3D66"/>
    <w:rsid w:val="000D4172"/>
    <w:rsid w:val="000D41E3"/>
    <w:rsid w:val="000D4DE1"/>
    <w:rsid w:val="000D6446"/>
    <w:rsid w:val="000D67A1"/>
    <w:rsid w:val="000D7348"/>
    <w:rsid w:val="000D7A62"/>
    <w:rsid w:val="000D7D16"/>
    <w:rsid w:val="000E01B9"/>
    <w:rsid w:val="000E10BE"/>
    <w:rsid w:val="000E1503"/>
    <w:rsid w:val="000E1AEB"/>
    <w:rsid w:val="000E1B95"/>
    <w:rsid w:val="000E2125"/>
    <w:rsid w:val="000E2981"/>
    <w:rsid w:val="000E29FD"/>
    <w:rsid w:val="000E6B59"/>
    <w:rsid w:val="000E75A2"/>
    <w:rsid w:val="000E7A8C"/>
    <w:rsid w:val="000F076B"/>
    <w:rsid w:val="000F0843"/>
    <w:rsid w:val="000F15D4"/>
    <w:rsid w:val="000F2A6F"/>
    <w:rsid w:val="000F2E86"/>
    <w:rsid w:val="000F3700"/>
    <w:rsid w:val="000F49BB"/>
    <w:rsid w:val="000F4E79"/>
    <w:rsid w:val="000F54C9"/>
    <w:rsid w:val="000F613D"/>
    <w:rsid w:val="000F6CB7"/>
    <w:rsid w:val="000F7182"/>
    <w:rsid w:val="000F76B2"/>
    <w:rsid w:val="0010083B"/>
    <w:rsid w:val="00101D3E"/>
    <w:rsid w:val="00102E20"/>
    <w:rsid w:val="001035BA"/>
    <w:rsid w:val="001036B1"/>
    <w:rsid w:val="001038CC"/>
    <w:rsid w:val="00103C1C"/>
    <w:rsid w:val="00104B80"/>
    <w:rsid w:val="00104D07"/>
    <w:rsid w:val="00105D3A"/>
    <w:rsid w:val="001065EC"/>
    <w:rsid w:val="00107248"/>
    <w:rsid w:val="001076D9"/>
    <w:rsid w:val="00107FE2"/>
    <w:rsid w:val="00110DF2"/>
    <w:rsid w:val="001127A5"/>
    <w:rsid w:val="0011360C"/>
    <w:rsid w:val="00113900"/>
    <w:rsid w:val="00113920"/>
    <w:rsid w:val="001142D6"/>
    <w:rsid w:val="00116E35"/>
    <w:rsid w:val="00117C20"/>
    <w:rsid w:val="00117CB7"/>
    <w:rsid w:val="00120FBB"/>
    <w:rsid w:val="0012153C"/>
    <w:rsid w:val="00121A6A"/>
    <w:rsid w:val="0012241D"/>
    <w:rsid w:val="00122760"/>
    <w:rsid w:val="0012285D"/>
    <w:rsid w:val="00122EB3"/>
    <w:rsid w:val="00123A58"/>
    <w:rsid w:val="00124509"/>
    <w:rsid w:val="00124B84"/>
    <w:rsid w:val="00125569"/>
    <w:rsid w:val="00125A35"/>
    <w:rsid w:val="00126142"/>
    <w:rsid w:val="0012632E"/>
    <w:rsid w:val="00126841"/>
    <w:rsid w:val="00126C55"/>
    <w:rsid w:val="001271FF"/>
    <w:rsid w:val="001301DA"/>
    <w:rsid w:val="001313AD"/>
    <w:rsid w:val="0013151D"/>
    <w:rsid w:val="001326CB"/>
    <w:rsid w:val="00132977"/>
    <w:rsid w:val="00133094"/>
    <w:rsid w:val="0013599F"/>
    <w:rsid w:val="0013668D"/>
    <w:rsid w:val="00136EAB"/>
    <w:rsid w:val="001407FD"/>
    <w:rsid w:val="00141186"/>
    <w:rsid w:val="001417CB"/>
    <w:rsid w:val="001419FB"/>
    <w:rsid w:val="00141BD8"/>
    <w:rsid w:val="001424F1"/>
    <w:rsid w:val="001447F2"/>
    <w:rsid w:val="00144F71"/>
    <w:rsid w:val="00145CA1"/>
    <w:rsid w:val="00147A43"/>
    <w:rsid w:val="001511E7"/>
    <w:rsid w:val="001516D6"/>
    <w:rsid w:val="001517B9"/>
    <w:rsid w:val="00152212"/>
    <w:rsid w:val="001547D6"/>
    <w:rsid w:val="0015574E"/>
    <w:rsid w:val="001574F8"/>
    <w:rsid w:val="001577D3"/>
    <w:rsid w:val="00157B4C"/>
    <w:rsid w:val="001602C2"/>
    <w:rsid w:val="0016066F"/>
    <w:rsid w:val="00161298"/>
    <w:rsid w:val="00161532"/>
    <w:rsid w:val="001624EF"/>
    <w:rsid w:val="00163905"/>
    <w:rsid w:val="00163B6A"/>
    <w:rsid w:val="001641E2"/>
    <w:rsid w:val="00164468"/>
    <w:rsid w:val="001657D8"/>
    <w:rsid w:val="00165CD8"/>
    <w:rsid w:val="00166519"/>
    <w:rsid w:val="0016769A"/>
    <w:rsid w:val="00167868"/>
    <w:rsid w:val="00167E5D"/>
    <w:rsid w:val="00170226"/>
    <w:rsid w:val="00170EED"/>
    <w:rsid w:val="00172BB5"/>
    <w:rsid w:val="00173777"/>
    <w:rsid w:val="00173D4F"/>
    <w:rsid w:val="0017568C"/>
    <w:rsid w:val="00175905"/>
    <w:rsid w:val="00176B24"/>
    <w:rsid w:val="00176F65"/>
    <w:rsid w:val="00180063"/>
    <w:rsid w:val="00180271"/>
    <w:rsid w:val="00180BCD"/>
    <w:rsid w:val="00180DE2"/>
    <w:rsid w:val="001813DB"/>
    <w:rsid w:val="00181618"/>
    <w:rsid w:val="00181D73"/>
    <w:rsid w:val="001830FD"/>
    <w:rsid w:val="001838D5"/>
    <w:rsid w:val="00184202"/>
    <w:rsid w:val="00184408"/>
    <w:rsid w:val="001844B6"/>
    <w:rsid w:val="00184DD7"/>
    <w:rsid w:val="00186259"/>
    <w:rsid w:val="0018749C"/>
    <w:rsid w:val="001878DB"/>
    <w:rsid w:val="00187B5D"/>
    <w:rsid w:val="00192257"/>
    <w:rsid w:val="00192A92"/>
    <w:rsid w:val="00192DFD"/>
    <w:rsid w:val="00193197"/>
    <w:rsid w:val="001940A3"/>
    <w:rsid w:val="00194B02"/>
    <w:rsid w:val="001959B1"/>
    <w:rsid w:val="001965FF"/>
    <w:rsid w:val="00197C74"/>
    <w:rsid w:val="00197E0E"/>
    <w:rsid w:val="001A1593"/>
    <w:rsid w:val="001A2788"/>
    <w:rsid w:val="001A2F4A"/>
    <w:rsid w:val="001A31CD"/>
    <w:rsid w:val="001A3499"/>
    <w:rsid w:val="001A3C8F"/>
    <w:rsid w:val="001A3E12"/>
    <w:rsid w:val="001A4921"/>
    <w:rsid w:val="001A54F1"/>
    <w:rsid w:val="001B04D4"/>
    <w:rsid w:val="001B0EB8"/>
    <w:rsid w:val="001B0ECE"/>
    <w:rsid w:val="001B23E9"/>
    <w:rsid w:val="001B24AD"/>
    <w:rsid w:val="001B27AB"/>
    <w:rsid w:val="001B31C9"/>
    <w:rsid w:val="001B3258"/>
    <w:rsid w:val="001B32FA"/>
    <w:rsid w:val="001B45B2"/>
    <w:rsid w:val="001B46F0"/>
    <w:rsid w:val="001B4B5B"/>
    <w:rsid w:val="001B6D0B"/>
    <w:rsid w:val="001B75DF"/>
    <w:rsid w:val="001B7BA9"/>
    <w:rsid w:val="001C00C6"/>
    <w:rsid w:val="001C0429"/>
    <w:rsid w:val="001C052D"/>
    <w:rsid w:val="001C17C5"/>
    <w:rsid w:val="001C2EB7"/>
    <w:rsid w:val="001C3371"/>
    <w:rsid w:val="001C4046"/>
    <w:rsid w:val="001C51DF"/>
    <w:rsid w:val="001C5A15"/>
    <w:rsid w:val="001C5C5E"/>
    <w:rsid w:val="001C6F91"/>
    <w:rsid w:val="001D014F"/>
    <w:rsid w:val="001D0777"/>
    <w:rsid w:val="001D0DAC"/>
    <w:rsid w:val="001D3FE1"/>
    <w:rsid w:val="001D4548"/>
    <w:rsid w:val="001D4DE5"/>
    <w:rsid w:val="001D5A4D"/>
    <w:rsid w:val="001D692E"/>
    <w:rsid w:val="001D7310"/>
    <w:rsid w:val="001E03E0"/>
    <w:rsid w:val="001E2263"/>
    <w:rsid w:val="001E2B4B"/>
    <w:rsid w:val="001E49CB"/>
    <w:rsid w:val="001E5118"/>
    <w:rsid w:val="001E6488"/>
    <w:rsid w:val="001F007F"/>
    <w:rsid w:val="001F050E"/>
    <w:rsid w:val="001F1215"/>
    <w:rsid w:val="001F1ACE"/>
    <w:rsid w:val="001F1F62"/>
    <w:rsid w:val="001F230A"/>
    <w:rsid w:val="001F3253"/>
    <w:rsid w:val="001F3EE3"/>
    <w:rsid w:val="001F4062"/>
    <w:rsid w:val="001F4BDF"/>
    <w:rsid w:val="001F4E56"/>
    <w:rsid w:val="001F547C"/>
    <w:rsid w:val="001F5F5A"/>
    <w:rsid w:val="001F6E9C"/>
    <w:rsid w:val="001F6F2E"/>
    <w:rsid w:val="001F7C40"/>
    <w:rsid w:val="001F7EEE"/>
    <w:rsid w:val="002000EB"/>
    <w:rsid w:val="00200475"/>
    <w:rsid w:val="0020067A"/>
    <w:rsid w:val="00200F20"/>
    <w:rsid w:val="00202E2F"/>
    <w:rsid w:val="002031F8"/>
    <w:rsid w:val="00203D33"/>
    <w:rsid w:val="00204B2B"/>
    <w:rsid w:val="0021014C"/>
    <w:rsid w:val="00211230"/>
    <w:rsid w:val="002125EB"/>
    <w:rsid w:val="002137B8"/>
    <w:rsid w:val="002146F3"/>
    <w:rsid w:val="00214EFB"/>
    <w:rsid w:val="00215583"/>
    <w:rsid w:val="00215663"/>
    <w:rsid w:val="002175B7"/>
    <w:rsid w:val="00217A10"/>
    <w:rsid w:val="00221701"/>
    <w:rsid w:val="002217B2"/>
    <w:rsid w:val="0022213B"/>
    <w:rsid w:val="0022274D"/>
    <w:rsid w:val="00222937"/>
    <w:rsid w:val="002236A9"/>
    <w:rsid w:val="00223C7C"/>
    <w:rsid w:val="002253CB"/>
    <w:rsid w:val="00226BF6"/>
    <w:rsid w:val="0022751F"/>
    <w:rsid w:val="002312F8"/>
    <w:rsid w:val="00231AF3"/>
    <w:rsid w:val="0023289A"/>
    <w:rsid w:val="0023353E"/>
    <w:rsid w:val="00233A97"/>
    <w:rsid w:val="00234826"/>
    <w:rsid w:val="00234D2E"/>
    <w:rsid w:val="0023554D"/>
    <w:rsid w:val="002356B0"/>
    <w:rsid w:val="00236AC7"/>
    <w:rsid w:val="0024029B"/>
    <w:rsid w:val="002405DA"/>
    <w:rsid w:val="00240E94"/>
    <w:rsid w:val="00241473"/>
    <w:rsid w:val="00241554"/>
    <w:rsid w:val="002416BB"/>
    <w:rsid w:val="00241E9F"/>
    <w:rsid w:val="00242F03"/>
    <w:rsid w:val="00242F29"/>
    <w:rsid w:val="0024329E"/>
    <w:rsid w:val="002432CF"/>
    <w:rsid w:val="00243B31"/>
    <w:rsid w:val="00244273"/>
    <w:rsid w:val="00245420"/>
    <w:rsid w:val="00245426"/>
    <w:rsid w:val="00245AB3"/>
    <w:rsid w:val="002467E1"/>
    <w:rsid w:val="00246CA1"/>
    <w:rsid w:val="00247DDF"/>
    <w:rsid w:val="0025037B"/>
    <w:rsid w:val="00250564"/>
    <w:rsid w:val="002509B8"/>
    <w:rsid w:val="0025212A"/>
    <w:rsid w:val="002526C9"/>
    <w:rsid w:val="00253419"/>
    <w:rsid w:val="002535B4"/>
    <w:rsid w:val="00253795"/>
    <w:rsid w:val="00253C44"/>
    <w:rsid w:val="00254705"/>
    <w:rsid w:val="002554EA"/>
    <w:rsid w:val="00256E4B"/>
    <w:rsid w:val="0025708E"/>
    <w:rsid w:val="00257221"/>
    <w:rsid w:val="002573E9"/>
    <w:rsid w:val="0025794B"/>
    <w:rsid w:val="00257AE6"/>
    <w:rsid w:val="00260704"/>
    <w:rsid w:val="0026085A"/>
    <w:rsid w:val="00261673"/>
    <w:rsid w:val="00263D45"/>
    <w:rsid w:val="00263F3B"/>
    <w:rsid w:val="0026568C"/>
    <w:rsid w:val="002660BC"/>
    <w:rsid w:val="00266C1B"/>
    <w:rsid w:val="00266CB1"/>
    <w:rsid w:val="00270ADA"/>
    <w:rsid w:val="00270EBA"/>
    <w:rsid w:val="002723B5"/>
    <w:rsid w:val="00272C9A"/>
    <w:rsid w:val="002736A8"/>
    <w:rsid w:val="00273F86"/>
    <w:rsid w:val="002752E7"/>
    <w:rsid w:val="002801AA"/>
    <w:rsid w:val="00281AAA"/>
    <w:rsid w:val="00282A47"/>
    <w:rsid w:val="0028355E"/>
    <w:rsid w:val="0028485A"/>
    <w:rsid w:val="00285C46"/>
    <w:rsid w:val="0028603F"/>
    <w:rsid w:val="002862CC"/>
    <w:rsid w:val="002868CC"/>
    <w:rsid w:val="002879A3"/>
    <w:rsid w:val="00287A62"/>
    <w:rsid w:val="00287D12"/>
    <w:rsid w:val="00290C12"/>
    <w:rsid w:val="00290F90"/>
    <w:rsid w:val="00291301"/>
    <w:rsid w:val="002913FF"/>
    <w:rsid w:val="002920DF"/>
    <w:rsid w:val="00292494"/>
    <w:rsid w:val="002934F8"/>
    <w:rsid w:val="00293E7F"/>
    <w:rsid w:val="0029411E"/>
    <w:rsid w:val="00296AEE"/>
    <w:rsid w:val="00297371"/>
    <w:rsid w:val="00297B4B"/>
    <w:rsid w:val="002A03DF"/>
    <w:rsid w:val="002A058D"/>
    <w:rsid w:val="002A066F"/>
    <w:rsid w:val="002A072B"/>
    <w:rsid w:val="002A1661"/>
    <w:rsid w:val="002A18D3"/>
    <w:rsid w:val="002A21C8"/>
    <w:rsid w:val="002A24C1"/>
    <w:rsid w:val="002A27D6"/>
    <w:rsid w:val="002A3271"/>
    <w:rsid w:val="002A3F8D"/>
    <w:rsid w:val="002A40B4"/>
    <w:rsid w:val="002A450B"/>
    <w:rsid w:val="002A4A74"/>
    <w:rsid w:val="002A55B7"/>
    <w:rsid w:val="002A61B1"/>
    <w:rsid w:val="002A6407"/>
    <w:rsid w:val="002A649F"/>
    <w:rsid w:val="002B198E"/>
    <w:rsid w:val="002B239B"/>
    <w:rsid w:val="002B2497"/>
    <w:rsid w:val="002B2705"/>
    <w:rsid w:val="002B2838"/>
    <w:rsid w:val="002B6FC3"/>
    <w:rsid w:val="002B7EB2"/>
    <w:rsid w:val="002C005A"/>
    <w:rsid w:val="002C1202"/>
    <w:rsid w:val="002C1655"/>
    <w:rsid w:val="002C17BB"/>
    <w:rsid w:val="002C5C9B"/>
    <w:rsid w:val="002C5E35"/>
    <w:rsid w:val="002C6B6B"/>
    <w:rsid w:val="002C7580"/>
    <w:rsid w:val="002C7F9C"/>
    <w:rsid w:val="002D0421"/>
    <w:rsid w:val="002D0A28"/>
    <w:rsid w:val="002D25AC"/>
    <w:rsid w:val="002D34DA"/>
    <w:rsid w:val="002D3580"/>
    <w:rsid w:val="002D3D2A"/>
    <w:rsid w:val="002D498A"/>
    <w:rsid w:val="002D52C3"/>
    <w:rsid w:val="002D56B7"/>
    <w:rsid w:val="002D5829"/>
    <w:rsid w:val="002D5AB9"/>
    <w:rsid w:val="002D5AE3"/>
    <w:rsid w:val="002D5FF9"/>
    <w:rsid w:val="002D66BC"/>
    <w:rsid w:val="002D6B38"/>
    <w:rsid w:val="002D6EFB"/>
    <w:rsid w:val="002D7414"/>
    <w:rsid w:val="002E0A92"/>
    <w:rsid w:val="002E0E40"/>
    <w:rsid w:val="002E1B71"/>
    <w:rsid w:val="002E2996"/>
    <w:rsid w:val="002E2B69"/>
    <w:rsid w:val="002E49F2"/>
    <w:rsid w:val="002E6758"/>
    <w:rsid w:val="002E69CB"/>
    <w:rsid w:val="002E6FF7"/>
    <w:rsid w:val="002E74EB"/>
    <w:rsid w:val="002E764E"/>
    <w:rsid w:val="002E76A9"/>
    <w:rsid w:val="002E7A7B"/>
    <w:rsid w:val="002F1217"/>
    <w:rsid w:val="002F17FD"/>
    <w:rsid w:val="002F1CDB"/>
    <w:rsid w:val="002F215D"/>
    <w:rsid w:val="002F24F7"/>
    <w:rsid w:val="002F3552"/>
    <w:rsid w:val="002F39FA"/>
    <w:rsid w:val="002F4462"/>
    <w:rsid w:val="002F4472"/>
    <w:rsid w:val="002F5045"/>
    <w:rsid w:val="002F65E0"/>
    <w:rsid w:val="002F767A"/>
    <w:rsid w:val="002F79BC"/>
    <w:rsid w:val="0030091C"/>
    <w:rsid w:val="00300CD9"/>
    <w:rsid w:val="003020A5"/>
    <w:rsid w:val="003020FE"/>
    <w:rsid w:val="00302545"/>
    <w:rsid w:val="003025AF"/>
    <w:rsid w:val="0030398C"/>
    <w:rsid w:val="00304B6F"/>
    <w:rsid w:val="003054B7"/>
    <w:rsid w:val="0030598B"/>
    <w:rsid w:val="003060B9"/>
    <w:rsid w:val="00306D44"/>
    <w:rsid w:val="003109EF"/>
    <w:rsid w:val="00311391"/>
    <w:rsid w:val="00311B78"/>
    <w:rsid w:val="00311EE6"/>
    <w:rsid w:val="003123DF"/>
    <w:rsid w:val="00312792"/>
    <w:rsid w:val="00314FF8"/>
    <w:rsid w:val="00315552"/>
    <w:rsid w:val="003160CE"/>
    <w:rsid w:val="00316E16"/>
    <w:rsid w:val="00317538"/>
    <w:rsid w:val="003208C5"/>
    <w:rsid w:val="00321199"/>
    <w:rsid w:val="003212F2"/>
    <w:rsid w:val="00323F55"/>
    <w:rsid w:val="00324586"/>
    <w:rsid w:val="00324E55"/>
    <w:rsid w:val="0032552F"/>
    <w:rsid w:val="00325A0B"/>
    <w:rsid w:val="00325DFD"/>
    <w:rsid w:val="00326302"/>
    <w:rsid w:val="0032631D"/>
    <w:rsid w:val="00326B97"/>
    <w:rsid w:val="0032745B"/>
    <w:rsid w:val="00327BE1"/>
    <w:rsid w:val="00327C59"/>
    <w:rsid w:val="00330B05"/>
    <w:rsid w:val="003315C7"/>
    <w:rsid w:val="003316E6"/>
    <w:rsid w:val="00331BA4"/>
    <w:rsid w:val="00331CBC"/>
    <w:rsid w:val="00333219"/>
    <w:rsid w:val="003332ED"/>
    <w:rsid w:val="003336B3"/>
    <w:rsid w:val="00333C98"/>
    <w:rsid w:val="0033444E"/>
    <w:rsid w:val="00334ECE"/>
    <w:rsid w:val="0033511D"/>
    <w:rsid w:val="0033543B"/>
    <w:rsid w:val="00335B9A"/>
    <w:rsid w:val="0033612A"/>
    <w:rsid w:val="00336A30"/>
    <w:rsid w:val="003402D3"/>
    <w:rsid w:val="003403A0"/>
    <w:rsid w:val="0034062B"/>
    <w:rsid w:val="00341141"/>
    <w:rsid w:val="003416E8"/>
    <w:rsid w:val="0034170E"/>
    <w:rsid w:val="00341E00"/>
    <w:rsid w:val="00344442"/>
    <w:rsid w:val="00345777"/>
    <w:rsid w:val="003508C8"/>
    <w:rsid w:val="0035098E"/>
    <w:rsid w:val="003512C1"/>
    <w:rsid w:val="00352741"/>
    <w:rsid w:val="00354739"/>
    <w:rsid w:val="00354B6F"/>
    <w:rsid w:val="00354C26"/>
    <w:rsid w:val="00354D6B"/>
    <w:rsid w:val="00355270"/>
    <w:rsid w:val="0035550D"/>
    <w:rsid w:val="0035595D"/>
    <w:rsid w:val="00355CAB"/>
    <w:rsid w:val="00355F99"/>
    <w:rsid w:val="00356E51"/>
    <w:rsid w:val="003573DF"/>
    <w:rsid w:val="003577C9"/>
    <w:rsid w:val="003577E8"/>
    <w:rsid w:val="003578D8"/>
    <w:rsid w:val="0036009F"/>
    <w:rsid w:val="003627D5"/>
    <w:rsid w:val="00362D1F"/>
    <w:rsid w:val="003633F0"/>
    <w:rsid w:val="003648FC"/>
    <w:rsid w:val="003657A0"/>
    <w:rsid w:val="00365AB8"/>
    <w:rsid w:val="00365C9B"/>
    <w:rsid w:val="003671B6"/>
    <w:rsid w:val="00367A38"/>
    <w:rsid w:val="00367C7B"/>
    <w:rsid w:val="00370297"/>
    <w:rsid w:val="00370EA0"/>
    <w:rsid w:val="0037264E"/>
    <w:rsid w:val="003727A8"/>
    <w:rsid w:val="0037302D"/>
    <w:rsid w:val="0037466D"/>
    <w:rsid w:val="00374F9B"/>
    <w:rsid w:val="00375032"/>
    <w:rsid w:val="003753A2"/>
    <w:rsid w:val="00375DC7"/>
    <w:rsid w:val="00376A5B"/>
    <w:rsid w:val="00380524"/>
    <w:rsid w:val="003809B1"/>
    <w:rsid w:val="00381291"/>
    <w:rsid w:val="003812C2"/>
    <w:rsid w:val="0038221F"/>
    <w:rsid w:val="003827E3"/>
    <w:rsid w:val="00382941"/>
    <w:rsid w:val="0038307E"/>
    <w:rsid w:val="0038346B"/>
    <w:rsid w:val="00384C2D"/>
    <w:rsid w:val="003855BF"/>
    <w:rsid w:val="0038753A"/>
    <w:rsid w:val="00390095"/>
    <w:rsid w:val="0039019F"/>
    <w:rsid w:val="0039123E"/>
    <w:rsid w:val="00391267"/>
    <w:rsid w:val="00392ACE"/>
    <w:rsid w:val="00393191"/>
    <w:rsid w:val="003936E7"/>
    <w:rsid w:val="003949B9"/>
    <w:rsid w:val="003954AE"/>
    <w:rsid w:val="0039569C"/>
    <w:rsid w:val="00396BBD"/>
    <w:rsid w:val="00397C67"/>
    <w:rsid w:val="003A0618"/>
    <w:rsid w:val="003A09DA"/>
    <w:rsid w:val="003A0AB8"/>
    <w:rsid w:val="003A1049"/>
    <w:rsid w:val="003A19E2"/>
    <w:rsid w:val="003A42C1"/>
    <w:rsid w:val="003A44B9"/>
    <w:rsid w:val="003A4676"/>
    <w:rsid w:val="003A46A9"/>
    <w:rsid w:val="003A47C3"/>
    <w:rsid w:val="003A4869"/>
    <w:rsid w:val="003A59DA"/>
    <w:rsid w:val="003A5A2C"/>
    <w:rsid w:val="003A5A3E"/>
    <w:rsid w:val="003A5C3F"/>
    <w:rsid w:val="003A6959"/>
    <w:rsid w:val="003A7E41"/>
    <w:rsid w:val="003A7E4D"/>
    <w:rsid w:val="003B0B55"/>
    <w:rsid w:val="003B1056"/>
    <w:rsid w:val="003B13EF"/>
    <w:rsid w:val="003B1DCD"/>
    <w:rsid w:val="003B2DDB"/>
    <w:rsid w:val="003B30DB"/>
    <w:rsid w:val="003B7225"/>
    <w:rsid w:val="003B7229"/>
    <w:rsid w:val="003C0607"/>
    <w:rsid w:val="003C1261"/>
    <w:rsid w:val="003C3D64"/>
    <w:rsid w:val="003C4FAA"/>
    <w:rsid w:val="003C67D2"/>
    <w:rsid w:val="003C695A"/>
    <w:rsid w:val="003C7A79"/>
    <w:rsid w:val="003C7AD2"/>
    <w:rsid w:val="003C7C98"/>
    <w:rsid w:val="003D0E46"/>
    <w:rsid w:val="003D24F8"/>
    <w:rsid w:val="003D2508"/>
    <w:rsid w:val="003D31E6"/>
    <w:rsid w:val="003D3228"/>
    <w:rsid w:val="003D3CD2"/>
    <w:rsid w:val="003D3F41"/>
    <w:rsid w:val="003D5A13"/>
    <w:rsid w:val="003D5D7C"/>
    <w:rsid w:val="003D7A77"/>
    <w:rsid w:val="003D7F44"/>
    <w:rsid w:val="003E00BE"/>
    <w:rsid w:val="003E0977"/>
    <w:rsid w:val="003E14D0"/>
    <w:rsid w:val="003E1A31"/>
    <w:rsid w:val="003E1D77"/>
    <w:rsid w:val="003E3156"/>
    <w:rsid w:val="003E4E17"/>
    <w:rsid w:val="003E4E3D"/>
    <w:rsid w:val="003E5499"/>
    <w:rsid w:val="003E5B66"/>
    <w:rsid w:val="003F055C"/>
    <w:rsid w:val="003F0DDD"/>
    <w:rsid w:val="003F123C"/>
    <w:rsid w:val="003F1279"/>
    <w:rsid w:val="003F15EA"/>
    <w:rsid w:val="003F3D85"/>
    <w:rsid w:val="003F4AE7"/>
    <w:rsid w:val="003F4E12"/>
    <w:rsid w:val="003F4F32"/>
    <w:rsid w:val="003F5045"/>
    <w:rsid w:val="00401F3D"/>
    <w:rsid w:val="004027D4"/>
    <w:rsid w:val="004034DE"/>
    <w:rsid w:val="00403CA0"/>
    <w:rsid w:val="00403CFF"/>
    <w:rsid w:val="00404192"/>
    <w:rsid w:val="00404351"/>
    <w:rsid w:val="004051DB"/>
    <w:rsid w:val="004052E7"/>
    <w:rsid w:val="004053D9"/>
    <w:rsid w:val="00406ACE"/>
    <w:rsid w:val="00407415"/>
    <w:rsid w:val="0040760C"/>
    <w:rsid w:val="00407A48"/>
    <w:rsid w:val="004107E7"/>
    <w:rsid w:val="00410C76"/>
    <w:rsid w:val="00410E26"/>
    <w:rsid w:val="00410F90"/>
    <w:rsid w:val="00410FF8"/>
    <w:rsid w:val="0041122A"/>
    <w:rsid w:val="004113A6"/>
    <w:rsid w:val="00413828"/>
    <w:rsid w:val="00413EEF"/>
    <w:rsid w:val="004148C0"/>
    <w:rsid w:val="00414AE3"/>
    <w:rsid w:val="00414EC3"/>
    <w:rsid w:val="0041671C"/>
    <w:rsid w:val="0041690F"/>
    <w:rsid w:val="00416A04"/>
    <w:rsid w:val="00416B9B"/>
    <w:rsid w:val="00416BC3"/>
    <w:rsid w:val="0041702F"/>
    <w:rsid w:val="0041707D"/>
    <w:rsid w:val="00420A39"/>
    <w:rsid w:val="00421216"/>
    <w:rsid w:val="004219A2"/>
    <w:rsid w:val="004239CA"/>
    <w:rsid w:val="00425112"/>
    <w:rsid w:val="00425D0D"/>
    <w:rsid w:val="00425E75"/>
    <w:rsid w:val="00427174"/>
    <w:rsid w:val="00430765"/>
    <w:rsid w:val="00430CBE"/>
    <w:rsid w:val="00431129"/>
    <w:rsid w:val="004320CF"/>
    <w:rsid w:val="00432568"/>
    <w:rsid w:val="004342F1"/>
    <w:rsid w:val="00434D72"/>
    <w:rsid w:val="00434EA3"/>
    <w:rsid w:val="00435D39"/>
    <w:rsid w:val="00437993"/>
    <w:rsid w:val="00437A8C"/>
    <w:rsid w:val="0044090B"/>
    <w:rsid w:val="00440E44"/>
    <w:rsid w:val="00441206"/>
    <w:rsid w:val="0044206D"/>
    <w:rsid w:val="00442828"/>
    <w:rsid w:val="00442DD4"/>
    <w:rsid w:val="0044404F"/>
    <w:rsid w:val="004454D3"/>
    <w:rsid w:val="00445582"/>
    <w:rsid w:val="00445744"/>
    <w:rsid w:val="004464BE"/>
    <w:rsid w:val="00446506"/>
    <w:rsid w:val="004465F5"/>
    <w:rsid w:val="00446BD9"/>
    <w:rsid w:val="00446CE4"/>
    <w:rsid w:val="00447B24"/>
    <w:rsid w:val="00447EF2"/>
    <w:rsid w:val="00452354"/>
    <w:rsid w:val="00452382"/>
    <w:rsid w:val="00452A51"/>
    <w:rsid w:val="00452B6D"/>
    <w:rsid w:val="00452CA4"/>
    <w:rsid w:val="0045307E"/>
    <w:rsid w:val="0045315E"/>
    <w:rsid w:val="0045425D"/>
    <w:rsid w:val="00454FD8"/>
    <w:rsid w:val="004560A2"/>
    <w:rsid w:val="00456DBB"/>
    <w:rsid w:val="00457FA4"/>
    <w:rsid w:val="00460C52"/>
    <w:rsid w:val="00461E63"/>
    <w:rsid w:val="00463A71"/>
    <w:rsid w:val="00464D0A"/>
    <w:rsid w:val="00465824"/>
    <w:rsid w:val="00467266"/>
    <w:rsid w:val="00470372"/>
    <w:rsid w:val="00471087"/>
    <w:rsid w:val="00471C49"/>
    <w:rsid w:val="0047325E"/>
    <w:rsid w:val="004744CC"/>
    <w:rsid w:val="00474C60"/>
    <w:rsid w:val="00474CC1"/>
    <w:rsid w:val="00474F1D"/>
    <w:rsid w:val="00475C85"/>
    <w:rsid w:val="004761D1"/>
    <w:rsid w:val="00476FE2"/>
    <w:rsid w:val="00477B50"/>
    <w:rsid w:val="00480C09"/>
    <w:rsid w:val="0048240F"/>
    <w:rsid w:val="00483F0F"/>
    <w:rsid w:val="004840EC"/>
    <w:rsid w:val="00484A14"/>
    <w:rsid w:val="00484F7B"/>
    <w:rsid w:val="0048538E"/>
    <w:rsid w:val="00485C32"/>
    <w:rsid w:val="00486760"/>
    <w:rsid w:val="00486A4F"/>
    <w:rsid w:val="004903E8"/>
    <w:rsid w:val="00491360"/>
    <w:rsid w:val="00491391"/>
    <w:rsid w:val="00491983"/>
    <w:rsid w:val="00491FE1"/>
    <w:rsid w:val="0049493E"/>
    <w:rsid w:val="00495B35"/>
    <w:rsid w:val="004969D4"/>
    <w:rsid w:val="004971A3"/>
    <w:rsid w:val="00497541"/>
    <w:rsid w:val="004A03D3"/>
    <w:rsid w:val="004A07CC"/>
    <w:rsid w:val="004A0F4E"/>
    <w:rsid w:val="004A215E"/>
    <w:rsid w:val="004A39DC"/>
    <w:rsid w:val="004A424A"/>
    <w:rsid w:val="004A49CD"/>
    <w:rsid w:val="004A6561"/>
    <w:rsid w:val="004A6B86"/>
    <w:rsid w:val="004A6BA7"/>
    <w:rsid w:val="004A7405"/>
    <w:rsid w:val="004A793D"/>
    <w:rsid w:val="004A7A45"/>
    <w:rsid w:val="004A7DBA"/>
    <w:rsid w:val="004A7E09"/>
    <w:rsid w:val="004B0C4E"/>
    <w:rsid w:val="004B1B05"/>
    <w:rsid w:val="004B1BAE"/>
    <w:rsid w:val="004B2AEF"/>
    <w:rsid w:val="004B2B1A"/>
    <w:rsid w:val="004B393C"/>
    <w:rsid w:val="004B39AD"/>
    <w:rsid w:val="004B3A53"/>
    <w:rsid w:val="004B46E6"/>
    <w:rsid w:val="004B493B"/>
    <w:rsid w:val="004B55F7"/>
    <w:rsid w:val="004B5B50"/>
    <w:rsid w:val="004B6719"/>
    <w:rsid w:val="004B7266"/>
    <w:rsid w:val="004B7288"/>
    <w:rsid w:val="004C196C"/>
    <w:rsid w:val="004C20A2"/>
    <w:rsid w:val="004C2ACD"/>
    <w:rsid w:val="004C3660"/>
    <w:rsid w:val="004C3A90"/>
    <w:rsid w:val="004C3FD5"/>
    <w:rsid w:val="004C4F51"/>
    <w:rsid w:val="004C6FF1"/>
    <w:rsid w:val="004C7892"/>
    <w:rsid w:val="004C78D9"/>
    <w:rsid w:val="004C7973"/>
    <w:rsid w:val="004D09BD"/>
    <w:rsid w:val="004D0AB2"/>
    <w:rsid w:val="004D1171"/>
    <w:rsid w:val="004D12EB"/>
    <w:rsid w:val="004D236E"/>
    <w:rsid w:val="004D2413"/>
    <w:rsid w:val="004D3B96"/>
    <w:rsid w:val="004D5E3B"/>
    <w:rsid w:val="004D6A72"/>
    <w:rsid w:val="004D6FEA"/>
    <w:rsid w:val="004D74DF"/>
    <w:rsid w:val="004D76DD"/>
    <w:rsid w:val="004E00EE"/>
    <w:rsid w:val="004E03E1"/>
    <w:rsid w:val="004E11FD"/>
    <w:rsid w:val="004E16EE"/>
    <w:rsid w:val="004E1E07"/>
    <w:rsid w:val="004E2D03"/>
    <w:rsid w:val="004E2DA0"/>
    <w:rsid w:val="004E36D5"/>
    <w:rsid w:val="004E3749"/>
    <w:rsid w:val="004E40F6"/>
    <w:rsid w:val="004E5C09"/>
    <w:rsid w:val="004E6098"/>
    <w:rsid w:val="004E726F"/>
    <w:rsid w:val="004F1BB0"/>
    <w:rsid w:val="004F1C4B"/>
    <w:rsid w:val="004F1D28"/>
    <w:rsid w:val="004F256D"/>
    <w:rsid w:val="004F298E"/>
    <w:rsid w:val="004F2C64"/>
    <w:rsid w:val="004F2EFE"/>
    <w:rsid w:val="004F3806"/>
    <w:rsid w:val="004F398F"/>
    <w:rsid w:val="004F3D1A"/>
    <w:rsid w:val="004F41CC"/>
    <w:rsid w:val="004F5CC0"/>
    <w:rsid w:val="004F7805"/>
    <w:rsid w:val="00500167"/>
    <w:rsid w:val="00500A94"/>
    <w:rsid w:val="0050100A"/>
    <w:rsid w:val="005017FA"/>
    <w:rsid w:val="00501A8F"/>
    <w:rsid w:val="00503719"/>
    <w:rsid w:val="00503E55"/>
    <w:rsid w:val="00503FD3"/>
    <w:rsid w:val="00504A37"/>
    <w:rsid w:val="005061DD"/>
    <w:rsid w:val="005070B0"/>
    <w:rsid w:val="00507329"/>
    <w:rsid w:val="00510BA3"/>
    <w:rsid w:val="00511B22"/>
    <w:rsid w:val="00511E2B"/>
    <w:rsid w:val="00511FA3"/>
    <w:rsid w:val="00512441"/>
    <w:rsid w:val="00512840"/>
    <w:rsid w:val="005131E8"/>
    <w:rsid w:val="00513BB4"/>
    <w:rsid w:val="005147D0"/>
    <w:rsid w:val="005149BF"/>
    <w:rsid w:val="0051529C"/>
    <w:rsid w:val="00515715"/>
    <w:rsid w:val="00515762"/>
    <w:rsid w:val="0051682A"/>
    <w:rsid w:val="0051688B"/>
    <w:rsid w:val="00517B68"/>
    <w:rsid w:val="00517F0A"/>
    <w:rsid w:val="005204E3"/>
    <w:rsid w:val="00520843"/>
    <w:rsid w:val="0052240B"/>
    <w:rsid w:val="0052397F"/>
    <w:rsid w:val="00523C97"/>
    <w:rsid w:val="00523DD9"/>
    <w:rsid w:val="0052494D"/>
    <w:rsid w:val="0052525D"/>
    <w:rsid w:val="005253FE"/>
    <w:rsid w:val="00530E55"/>
    <w:rsid w:val="005336C9"/>
    <w:rsid w:val="00533D12"/>
    <w:rsid w:val="00535880"/>
    <w:rsid w:val="005358F2"/>
    <w:rsid w:val="005364C0"/>
    <w:rsid w:val="0053675B"/>
    <w:rsid w:val="005369E2"/>
    <w:rsid w:val="00540BE3"/>
    <w:rsid w:val="00542C61"/>
    <w:rsid w:val="00544942"/>
    <w:rsid w:val="00545EF7"/>
    <w:rsid w:val="005470BD"/>
    <w:rsid w:val="00547328"/>
    <w:rsid w:val="00547779"/>
    <w:rsid w:val="00550871"/>
    <w:rsid w:val="00550E45"/>
    <w:rsid w:val="00552415"/>
    <w:rsid w:val="00554439"/>
    <w:rsid w:val="00554ABF"/>
    <w:rsid w:val="00554DA2"/>
    <w:rsid w:val="0055558F"/>
    <w:rsid w:val="00555949"/>
    <w:rsid w:val="00555B95"/>
    <w:rsid w:val="00557268"/>
    <w:rsid w:val="005574D9"/>
    <w:rsid w:val="005613D2"/>
    <w:rsid w:val="005623FE"/>
    <w:rsid w:val="00563504"/>
    <w:rsid w:val="00563705"/>
    <w:rsid w:val="0056396F"/>
    <w:rsid w:val="00563989"/>
    <w:rsid w:val="00563B0F"/>
    <w:rsid w:val="00563C8D"/>
    <w:rsid w:val="00564158"/>
    <w:rsid w:val="00564B85"/>
    <w:rsid w:val="00566080"/>
    <w:rsid w:val="005660C8"/>
    <w:rsid w:val="00566FD0"/>
    <w:rsid w:val="005678B1"/>
    <w:rsid w:val="0057000A"/>
    <w:rsid w:val="00570F84"/>
    <w:rsid w:val="00571AB9"/>
    <w:rsid w:val="00571C8A"/>
    <w:rsid w:val="005726BE"/>
    <w:rsid w:val="00575B59"/>
    <w:rsid w:val="0057696B"/>
    <w:rsid w:val="00577D43"/>
    <w:rsid w:val="00580C34"/>
    <w:rsid w:val="00580FDC"/>
    <w:rsid w:val="005810DE"/>
    <w:rsid w:val="0058138E"/>
    <w:rsid w:val="0058157A"/>
    <w:rsid w:val="00581ED0"/>
    <w:rsid w:val="00582184"/>
    <w:rsid w:val="00583829"/>
    <w:rsid w:val="0058504E"/>
    <w:rsid w:val="00586B2E"/>
    <w:rsid w:val="00587A47"/>
    <w:rsid w:val="00590E16"/>
    <w:rsid w:val="0059121E"/>
    <w:rsid w:val="0059132C"/>
    <w:rsid w:val="005915DB"/>
    <w:rsid w:val="005917B4"/>
    <w:rsid w:val="00591EEF"/>
    <w:rsid w:val="00592119"/>
    <w:rsid w:val="005927EF"/>
    <w:rsid w:val="0059296A"/>
    <w:rsid w:val="005937B0"/>
    <w:rsid w:val="00593B6E"/>
    <w:rsid w:val="005942B2"/>
    <w:rsid w:val="0059744C"/>
    <w:rsid w:val="00597543"/>
    <w:rsid w:val="00597602"/>
    <w:rsid w:val="005976A9"/>
    <w:rsid w:val="005A0602"/>
    <w:rsid w:val="005A0DBE"/>
    <w:rsid w:val="005A1C26"/>
    <w:rsid w:val="005A281C"/>
    <w:rsid w:val="005A34B2"/>
    <w:rsid w:val="005A58DE"/>
    <w:rsid w:val="005A6F97"/>
    <w:rsid w:val="005B0AF2"/>
    <w:rsid w:val="005B0AFE"/>
    <w:rsid w:val="005B1592"/>
    <w:rsid w:val="005B17CB"/>
    <w:rsid w:val="005B20A8"/>
    <w:rsid w:val="005B2296"/>
    <w:rsid w:val="005B283B"/>
    <w:rsid w:val="005B3498"/>
    <w:rsid w:val="005B3B18"/>
    <w:rsid w:val="005B53B0"/>
    <w:rsid w:val="005B61C0"/>
    <w:rsid w:val="005C09BA"/>
    <w:rsid w:val="005C0AE8"/>
    <w:rsid w:val="005C0CCE"/>
    <w:rsid w:val="005C1BB8"/>
    <w:rsid w:val="005C1D19"/>
    <w:rsid w:val="005C1D64"/>
    <w:rsid w:val="005C2345"/>
    <w:rsid w:val="005C42CF"/>
    <w:rsid w:val="005C4620"/>
    <w:rsid w:val="005C4C06"/>
    <w:rsid w:val="005C4D85"/>
    <w:rsid w:val="005C52A8"/>
    <w:rsid w:val="005C57A1"/>
    <w:rsid w:val="005C69D4"/>
    <w:rsid w:val="005C6CC6"/>
    <w:rsid w:val="005C719E"/>
    <w:rsid w:val="005C7D52"/>
    <w:rsid w:val="005D028C"/>
    <w:rsid w:val="005D33A0"/>
    <w:rsid w:val="005D3B22"/>
    <w:rsid w:val="005D442C"/>
    <w:rsid w:val="005D52D5"/>
    <w:rsid w:val="005D53BE"/>
    <w:rsid w:val="005D6A06"/>
    <w:rsid w:val="005D7498"/>
    <w:rsid w:val="005D7BB8"/>
    <w:rsid w:val="005D7F7A"/>
    <w:rsid w:val="005E344E"/>
    <w:rsid w:val="005E4458"/>
    <w:rsid w:val="005E534E"/>
    <w:rsid w:val="005E5830"/>
    <w:rsid w:val="005E5BE1"/>
    <w:rsid w:val="005E5BE7"/>
    <w:rsid w:val="005E64F9"/>
    <w:rsid w:val="005F0D2E"/>
    <w:rsid w:val="005F0F3E"/>
    <w:rsid w:val="005F19CD"/>
    <w:rsid w:val="005F3323"/>
    <w:rsid w:val="005F3699"/>
    <w:rsid w:val="005F401C"/>
    <w:rsid w:val="005F4126"/>
    <w:rsid w:val="005F50B7"/>
    <w:rsid w:val="005F64D6"/>
    <w:rsid w:val="005F655B"/>
    <w:rsid w:val="005F693A"/>
    <w:rsid w:val="005F6AB2"/>
    <w:rsid w:val="005F6ADE"/>
    <w:rsid w:val="005F7EE8"/>
    <w:rsid w:val="006000F2"/>
    <w:rsid w:val="0060025B"/>
    <w:rsid w:val="00600985"/>
    <w:rsid w:val="00600FA4"/>
    <w:rsid w:val="00601BBD"/>
    <w:rsid w:val="00603043"/>
    <w:rsid w:val="00603AB1"/>
    <w:rsid w:val="00605E8C"/>
    <w:rsid w:val="006068F0"/>
    <w:rsid w:val="006073AB"/>
    <w:rsid w:val="00610C4E"/>
    <w:rsid w:val="00610D9F"/>
    <w:rsid w:val="00610DC9"/>
    <w:rsid w:val="0061111C"/>
    <w:rsid w:val="00611289"/>
    <w:rsid w:val="0061134B"/>
    <w:rsid w:val="00612437"/>
    <w:rsid w:val="0061299A"/>
    <w:rsid w:val="00613831"/>
    <w:rsid w:val="00615BA0"/>
    <w:rsid w:val="00615EE0"/>
    <w:rsid w:val="00616CCD"/>
    <w:rsid w:val="00616FA0"/>
    <w:rsid w:val="00617101"/>
    <w:rsid w:val="0062023D"/>
    <w:rsid w:val="006209C5"/>
    <w:rsid w:val="00620A08"/>
    <w:rsid w:val="00620A93"/>
    <w:rsid w:val="00622033"/>
    <w:rsid w:val="00622852"/>
    <w:rsid w:val="00622B7A"/>
    <w:rsid w:val="00622E0E"/>
    <w:rsid w:val="0062318D"/>
    <w:rsid w:val="006237D3"/>
    <w:rsid w:val="00623FA8"/>
    <w:rsid w:val="006246EE"/>
    <w:rsid w:val="00624D0B"/>
    <w:rsid w:val="00627F1E"/>
    <w:rsid w:val="00630597"/>
    <w:rsid w:val="006307C9"/>
    <w:rsid w:val="00630A71"/>
    <w:rsid w:val="00632AF6"/>
    <w:rsid w:val="0063369B"/>
    <w:rsid w:val="006341EB"/>
    <w:rsid w:val="00634459"/>
    <w:rsid w:val="00635689"/>
    <w:rsid w:val="00635D47"/>
    <w:rsid w:val="00636130"/>
    <w:rsid w:val="00637252"/>
    <w:rsid w:val="00637E3E"/>
    <w:rsid w:val="006400E4"/>
    <w:rsid w:val="00642687"/>
    <w:rsid w:val="00644991"/>
    <w:rsid w:val="00645210"/>
    <w:rsid w:val="00645440"/>
    <w:rsid w:val="00645748"/>
    <w:rsid w:val="00645B15"/>
    <w:rsid w:val="00645E3E"/>
    <w:rsid w:val="00646102"/>
    <w:rsid w:val="006503A1"/>
    <w:rsid w:val="0065089D"/>
    <w:rsid w:val="00653606"/>
    <w:rsid w:val="006539C2"/>
    <w:rsid w:val="00653CD6"/>
    <w:rsid w:val="0065428B"/>
    <w:rsid w:val="0065467B"/>
    <w:rsid w:val="00654E41"/>
    <w:rsid w:val="00654F44"/>
    <w:rsid w:val="00656344"/>
    <w:rsid w:val="00656B6D"/>
    <w:rsid w:val="00656F6F"/>
    <w:rsid w:val="006572D2"/>
    <w:rsid w:val="0065757C"/>
    <w:rsid w:val="00657D5E"/>
    <w:rsid w:val="00661F40"/>
    <w:rsid w:val="006634C5"/>
    <w:rsid w:val="00663715"/>
    <w:rsid w:val="00664458"/>
    <w:rsid w:val="00665E57"/>
    <w:rsid w:val="006664B2"/>
    <w:rsid w:val="00666E13"/>
    <w:rsid w:val="00667226"/>
    <w:rsid w:val="006709F8"/>
    <w:rsid w:val="00670FA2"/>
    <w:rsid w:val="00674B96"/>
    <w:rsid w:val="00675EF3"/>
    <w:rsid w:val="00676F0E"/>
    <w:rsid w:val="00677736"/>
    <w:rsid w:val="00677BE5"/>
    <w:rsid w:val="006801EC"/>
    <w:rsid w:val="0068222E"/>
    <w:rsid w:val="0068258A"/>
    <w:rsid w:val="0068333D"/>
    <w:rsid w:val="006852BF"/>
    <w:rsid w:val="006860BF"/>
    <w:rsid w:val="006870FA"/>
    <w:rsid w:val="0068766D"/>
    <w:rsid w:val="00690C9B"/>
    <w:rsid w:val="00690D1F"/>
    <w:rsid w:val="006916EA"/>
    <w:rsid w:val="00691862"/>
    <w:rsid w:val="00691AF7"/>
    <w:rsid w:val="00691C30"/>
    <w:rsid w:val="00691FC8"/>
    <w:rsid w:val="00692399"/>
    <w:rsid w:val="00692A09"/>
    <w:rsid w:val="00693F4C"/>
    <w:rsid w:val="00694A0D"/>
    <w:rsid w:val="00694EDF"/>
    <w:rsid w:val="00695750"/>
    <w:rsid w:val="00695B2F"/>
    <w:rsid w:val="00695E90"/>
    <w:rsid w:val="00695F15"/>
    <w:rsid w:val="00696C8A"/>
    <w:rsid w:val="006A0C6C"/>
    <w:rsid w:val="006A2555"/>
    <w:rsid w:val="006A2ADA"/>
    <w:rsid w:val="006A32C3"/>
    <w:rsid w:val="006A47E4"/>
    <w:rsid w:val="006A4A1B"/>
    <w:rsid w:val="006A594B"/>
    <w:rsid w:val="006A5BD9"/>
    <w:rsid w:val="006A6F5E"/>
    <w:rsid w:val="006B0CCA"/>
    <w:rsid w:val="006B1EF6"/>
    <w:rsid w:val="006B28F1"/>
    <w:rsid w:val="006B3E2F"/>
    <w:rsid w:val="006B4DE2"/>
    <w:rsid w:val="006B534F"/>
    <w:rsid w:val="006B5D7B"/>
    <w:rsid w:val="006B69BE"/>
    <w:rsid w:val="006B7D19"/>
    <w:rsid w:val="006B7FB7"/>
    <w:rsid w:val="006C0866"/>
    <w:rsid w:val="006C1C92"/>
    <w:rsid w:val="006C1DD3"/>
    <w:rsid w:val="006C2C7A"/>
    <w:rsid w:val="006C2EBB"/>
    <w:rsid w:val="006C3029"/>
    <w:rsid w:val="006C3797"/>
    <w:rsid w:val="006C3C0B"/>
    <w:rsid w:val="006C4B8A"/>
    <w:rsid w:val="006C4D38"/>
    <w:rsid w:val="006C5625"/>
    <w:rsid w:val="006C66E5"/>
    <w:rsid w:val="006C6FC5"/>
    <w:rsid w:val="006C71DC"/>
    <w:rsid w:val="006D08AB"/>
    <w:rsid w:val="006D0A9F"/>
    <w:rsid w:val="006D1CD1"/>
    <w:rsid w:val="006D1FDF"/>
    <w:rsid w:val="006D24BC"/>
    <w:rsid w:val="006D25B5"/>
    <w:rsid w:val="006D32C7"/>
    <w:rsid w:val="006D555B"/>
    <w:rsid w:val="006D5E6C"/>
    <w:rsid w:val="006D696A"/>
    <w:rsid w:val="006D76B9"/>
    <w:rsid w:val="006E098A"/>
    <w:rsid w:val="006E144F"/>
    <w:rsid w:val="006E1749"/>
    <w:rsid w:val="006E1A84"/>
    <w:rsid w:val="006E2597"/>
    <w:rsid w:val="006E28B8"/>
    <w:rsid w:val="006E300D"/>
    <w:rsid w:val="006E30B6"/>
    <w:rsid w:val="006E3884"/>
    <w:rsid w:val="006E429B"/>
    <w:rsid w:val="006E45C8"/>
    <w:rsid w:val="006E5F97"/>
    <w:rsid w:val="006E6915"/>
    <w:rsid w:val="006E692C"/>
    <w:rsid w:val="006E7CC4"/>
    <w:rsid w:val="006F008A"/>
    <w:rsid w:val="006F01F3"/>
    <w:rsid w:val="006F026F"/>
    <w:rsid w:val="006F0661"/>
    <w:rsid w:val="006F06CC"/>
    <w:rsid w:val="006F0790"/>
    <w:rsid w:val="006F0F37"/>
    <w:rsid w:val="006F13D0"/>
    <w:rsid w:val="006F239F"/>
    <w:rsid w:val="006F4C52"/>
    <w:rsid w:val="006F4CCB"/>
    <w:rsid w:val="006F77DE"/>
    <w:rsid w:val="00702B4A"/>
    <w:rsid w:val="0070462D"/>
    <w:rsid w:val="007054FF"/>
    <w:rsid w:val="007055D9"/>
    <w:rsid w:val="00706C7C"/>
    <w:rsid w:val="007070AF"/>
    <w:rsid w:val="0070715F"/>
    <w:rsid w:val="00707756"/>
    <w:rsid w:val="00707EC8"/>
    <w:rsid w:val="007105DC"/>
    <w:rsid w:val="007110BA"/>
    <w:rsid w:val="00711387"/>
    <w:rsid w:val="00712437"/>
    <w:rsid w:val="007126DF"/>
    <w:rsid w:val="007135B1"/>
    <w:rsid w:val="00713B63"/>
    <w:rsid w:val="00715C64"/>
    <w:rsid w:val="00716045"/>
    <w:rsid w:val="00716E01"/>
    <w:rsid w:val="007170AD"/>
    <w:rsid w:val="00717CDC"/>
    <w:rsid w:val="00717E59"/>
    <w:rsid w:val="007202A8"/>
    <w:rsid w:val="007209B0"/>
    <w:rsid w:val="00721656"/>
    <w:rsid w:val="00721ECF"/>
    <w:rsid w:val="0072209B"/>
    <w:rsid w:val="007228CA"/>
    <w:rsid w:val="00723A3E"/>
    <w:rsid w:val="0072415A"/>
    <w:rsid w:val="00724167"/>
    <w:rsid w:val="007242A6"/>
    <w:rsid w:val="0072484B"/>
    <w:rsid w:val="0072503B"/>
    <w:rsid w:val="0072575F"/>
    <w:rsid w:val="00725EAB"/>
    <w:rsid w:val="00726594"/>
    <w:rsid w:val="00726595"/>
    <w:rsid w:val="007308AB"/>
    <w:rsid w:val="00730FA7"/>
    <w:rsid w:val="00731C36"/>
    <w:rsid w:val="0073223D"/>
    <w:rsid w:val="00732AA7"/>
    <w:rsid w:val="00732FF7"/>
    <w:rsid w:val="00734EEF"/>
    <w:rsid w:val="0073566D"/>
    <w:rsid w:val="00735AEE"/>
    <w:rsid w:val="00735C26"/>
    <w:rsid w:val="00736421"/>
    <w:rsid w:val="007365B7"/>
    <w:rsid w:val="007369B8"/>
    <w:rsid w:val="00737B7B"/>
    <w:rsid w:val="00740364"/>
    <w:rsid w:val="00740667"/>
    <w:rsid w:val="00740885"/>
    <w:rsid w:val="007415FC"/>
    <w:rsid w:val="007428C6"/>
    <w:rsid w:val="00742B24"/>
    <w:rsid w:val="007432B0"/>
    <w:rsid w:val="00744F17"/>
    <w:rsid w:val="00744FB9"/>
    <w:rsid w:val="00745732"/>
    <w:rsid w:val="00745B54"/>
    <w:rsid w:val="00745B64"/>
    <w:rsid w:val="00746463"/>
    <w:rsid w:val="00747077"/>
    <w:rsid w:val="007474C4"/>
    <w:rsid w:val="007478D1"/>
    <w:rsid w:val="00754BA3"/>
    <w:rsid w:val="007558C0"/>
    <w:rsid w:val="00756353"/>
    <w:rsid w:val="007563F2"/>
    <w:rsid w:val="00756738"/>
    <w:rsid w:val="00756F41"/>
    <w:rsid w:val="00757629"/>
    <w:rsid w:val="00757AC1"/>
    <w:rsid w:val="007603B5"/>
    <w:rsid w:val="007607A8"/>
    <w:rsid w:val="00760C4C"/>
    <w:rsid w:val="0076114E"/>
    <w:rsid w:val="00762450"/>
    <w:rsid w:val="00762C23"/>
    <w:rsid w:val="00763E88"/>
    <w:rsid w:val="00764B07"/>
    <w:rsid w:val="007653A3"/>
    <w:rsid w:val="00765C46"/>
    <w:rsid w:val="00765C53"/>
    <w:rsid w:val="00767757"/>
    <w:rsid w:val="00767943"/>
    <w:rsid w:val="00767AEB"/>
    <w:rsid w:val="0077028B"/>
    <w:rsid w:val="00770A07"/>
    <w:rsid w:val="00771DFE"/>
    <w:rsid w:val="007724D3"/>
    <w:rsid w:val="00773F3C"/>
    <w:rsid w:val="0077460C"/>
    <w:rsid w:val="007748B1"/>
    <w:rsid w:val="0077574D"/>
    <w:rsid w:val="00775D48"/>
    <w:rsid w:val="0078003A"/>
    <w:rsid w:val="00780085"/>
    <w:rsid w:val="0078045C"/>
    <w:rsid w:val="007812BF"/>
    <w:rsid w:val="007818B7"/>
    <w:rsid w:val="0078309A"/>
    <w:rsid w:val="007835DE"/>
    <w:rsid w:val="0078362A"/>
    <w:rsid w:val="00786C07"/>
    <w:rsid w:val="00787814"/>
    <w:rsid w:val="00791083"/>
    <w:rsid w:val="007926DB"/>
    <w:rsid w:val="0079277E"/>
    <w:rsid w:val="007927C6"/>
    <w:rsid w:val="00792EEF"/>
    <w:rsid w:val="00793C42"/>
    <w:rsid w:val="00793D38"/>
    <w:rsid w:val="00795801"/>
    <w:rsid w:val="007969DA"/>
    <w:rsid w:val="007974E6"/>
    <w:rsid w:val="007975A1"/>
    <w:rsid w:val="00797C59"/>
    <w:rsid w:val="007A027D"/>
    <w:rsid w:val="007A0301"/>
    <w:rsid w:val="007A0DBE"/>
    <w:rsid w:val="007A0DF1"/>
    <w:rsid w:val="007A11DA"/>
    <w:rsid w:val="007A1D9A"/>
    <w:rsid w:val="007A232E"/>
    <w:rsid w:val="007A2B7F"/>
    <w:rsid w:val="007A2D73"/>
    <w:rsid w:val="007A2FB2"/>
    <w:rsid w:val="007A33DE"/>
    <w:rsid w:val="007A3638"/>
    <w:rsid w:val="007A4D62"/>
    <w:rsid w:val="007A6132"/>
    <w:rsid w:val="007A66D3"/>
    <w:rsid w:val="007A6D19"/>
    <w:rsid w:val="007B1647"/>
    <w:rsid w:val="007B2E24"/>
    <w:rsid w:val="007B3176"/>
    <w:rsid w:val="007B37CE"/>
    <w:rsid w:val="007B4B52"/>
    <w:rsid w:val="007B55B8"/>
    <w:rsid w:val="007B6A59"/>
    <w:rsid w:val="007B6DBE"/>
    <w:rsid w:val="007B7942"/>
    <w:rsid w:val="007C0E38"/>
    <w:rsid w:val="007C12E7"/>
    <w:rsid w:val="007C260F"/>
    <w:rsid w:val="007C29C4"/>
    <w:rsid w:val="007C3F88"/>
    <w:rsid w:val="007C4E31"/>
    <w:rsid w:val="007C5730"/>
    <w:rsid w:val="007C7060"/>
    <w:rsid w:val="007D0077"/>
    <w:rsid w:val="007D0DCF"/>
    <w:rsid w:val="007D0E22"/>
    <w:rsid w:val="007D1398"/>
    <w:rsid w:val="007D29B2"/>
    <w:rsid w:val="007D2BD8"/>
    <w:rsid w:val="007D2C92"/>
    <w:rsid w:val="007D46DA"/>
    <w:rsid w:val="007D5E3F"/>
    <w:rsid w:val="007D6858"/>
    <w:rsid w:val="007D6914"/>
    <w:rsid w:val="007D719C"/>
    <w:rsid w:val="007D748A"/>
    <w:rsid w:val="007D7C94"/>
    <w:rsid w:val="007E00EF"/>
    <w:rsid w:val="007E0491"/>
    <w:rsid w:val="007E0A29"/>
    <w:rsid w:val="007E0B15"/>
    <w:rsid w:val="007E0DA6"/>
    <w:rsid w:val="007E13B6"/>
    <w:rsid w:val="007E21BD"/>
    <w:rsid w:val="007E21C9"/>
    <w:rsid w:val="007E280F"/>
    <w:rsid w:val="007E3185"/>
    <w:rsid w:val="007E33ED"/>
    <w:rsid w:val="007E4333"/>
    <w:rsid w:val="007E50D5"/>
    <w:rsid w:val="007E5458"/>
    <w:rsid w:val="007E7213"/>
    <w:rsid w:val="007E73A3"/>
    <w:rsid w:val="007E767D"/>
    <w:rsid w:val="007E776E"/>
    <w:rsid w:val="007E7A20"/>
    <w:rsid w:val="007F0169"/>
    <w:rsid w:val="007F0AB7"/>
    <w:rsid w:val="007F0ED7"/>
    <w:rsid w:val="007F2170"/>
    <w:rsid w:val="007F2A4B"/>
    <w:rsid w:val="007F463B"/>
    <w:rsid w:val="007F50A6"/>
    <w:rsid w:val="007F55CC"/>
    <w:rsid w:val="007F5A82"/>
    <w:rsid w:val="007F61BC"/>
    <w:rsid w:val="007F6669"/>
    <w:rsid w:val="007F675C"/>
    <w:rsid w:val="007F6F16"/>
    <w:rsid w:val="007F6F83"/>
    <w:rsid w:val="007F76E2"/>
    <w:rsid w:val="008004EC"/>
    <w:rsid w:val="00800922"/>
    <w:rsid w:val="00800B6D"/>
    <w:rsid w:val="008025C2"/>
    <w:rsid w:val="008027DD"/>
    <w:rsid w:val="008029F0"/>
    <w:rsid w:val="00802F0D"/>
    <w:rsid w:val="00803448"/>
    <w:rsid w:val="00805263"/>
    <w:rsid w:val="0080588C"/>
    <w:rsid w:val="00806EA6"/>
    <w:rsid w:val="00807B72"/>
    <w:rsid w:val="00811DC9"/>
    <w:rsid w:val="0081253A"/>
    <w:rsid w:val="00813558"/>
    <w:rsid w:val="0081364B"/>
    <w:rsid w:val="0081487A"/>
    <w:rsid w:val="00815297"/>
    <w:rsid w:val="008154E5"/>
    <w:rsid w:val="0081653C"/>
    <w:rsid w:val="008175B8"/>
    <w:rsid w:val="0082127C"/>
    <w:rsid w:val="008216A7"/>
    <w:rsid w:val="00822245"/>
    <w:rsid w:val="008226AF"/>
    <w:rsid w:val="00822C0C"/>
    <w:rsid w:val="00822DF8"/>
    <w:rsid w:val="00823BA3"/>
    <w:rsid w:val="00824E1E"/>
    <w:rsid w:val="008256E5"/>
    <w:rsid w:val="00826322"/>
    <w:rsid w:val="008266D6"/>
    <w:rsid w:val="00826953"/>
    <w:rsid w:val="00826AB7"/>
    <w:rsid w:val="0082737C"/>
    <w:rsid w:val="00827CA0"/>
    <w:rsid w:val="00830084"/>
    <w:rsid w:val="00830347"/>
    <w:rsid w:val="00830FE8"/>
    <w:rsid w:val="00831402"/>
    <w:rsid w:val="0083205C"/>
    <w:rsid w:val="0083222B"/>
    <w:rsid w:val="00834E12"/>
    <w:rsid w:val="00834F52"/>
    <w:rsid w:val="00834F8C"/>
    <w:rsid w:val="00835C01"/>
    <w:rsid w:val="0083659B"/>
    <w:rsid w:val="00837454"/>
    <w:rsid w:val="00837851"/>
    <w:rsid w:val="00837A4F"/>
    <w:rsid w:val="00840584"/>
    <w:rsid w:val="0084058A"/>
    <w:rsid w:val="00841330"/>
    <w:rsid w:val="00841CE5"/>
    <w:rsid w:val="00841EE7"/>
    <w:rsid w:val="00842CCA"/>
    <w:rsid w:val="00843878"/>
    <w:rsid w:val="00843C28"/>
    <w:rsid w:val="00844458"/>
    <w:rsid w:val="008456EB"/>
    <w:rsid w:val="00845BB5"/>
    <w:rsid w:val="00846048"/>
    <w:rsid w:val="00846F1F"/>
    <w:rsid w:val="00850032"/>
    <w:rsid w:val="00850957"/>
    <w:rsid w:val="00850D76"/>
    <w:rsid w:val="008515C6"/>
    <w:rsid w:val="00851841"/>
    <w:rsid w:val="00851C6A"/>
    <w:rsid w:val="00851DEB"/>
    <w:rsid w:val="00852AA7"/>
    <w:rsid w:val="00853E40"/>
    <w:rsid w:val="00854B24"/>
    <w:rsid w:val="008553BA"/>
    <w:rsid w:val="008562C0"/>
    <w:rsid w:val="00857137"/>
    <w:rsid w:val="008573B9"/>
    <w:rsid w:val="008577D2"/>
    <w:rsid w:val="00857C33"/>
    <w:rsid w:val="008605AE"/>
    <w:rsid w:val="00860E7A"/>
    <w:rsid w:val="00861222"/>
    <w:rsid w:val="00861A22"/>
    <w:rsid w:val="00862015"/>
    <w:rsid w:val="0086290D"/>
    <w:rsid w:val="0086411B"/>
    <w:rsid w:val="008652C8"/>
    <w:rsid w:val="00866089"/>
    <w:rsid w:val="00867D8D"/>
    <w:rsid w:val="008701BB"/>
    <w:rsid w:val="008706C7"/>
    <w:rsid w:val="00870B39"/>
    <w:rsid w:val="00872A1E"/>
    <w:rsid w:val="00873342"/>
    <w:rsid w:val="0087385A"/>
    <w:rsid w:val="0087415A"/>
    <w:rsid w:val="00874325"/>
    <w:rsid w:val="00874D0D"/>
    <w:rsid w:val="0087500A"/>
    <w:rsid w:val="008758B0"/>
    <w:rsid w:val="0087633B"/>
    <w:rsid w:val="008765C5"/>
    <w:rsid w:val="00877422"/>
    <w:rsid w:val="00877482"/>
    <w:rsid w:val="0088161C"/>
    <w:rsid w:val="00881C7E"/>
    <w:rsid w:val="008822BB"/>
    <w:rsid w:val="008851BD"/>
    <w:rsid w:val="00885701"/>
    <w:rsid w:val="0088605E"/>
    <w:rsid w:val="00886178"/>
    <w:rsid w:val="00887243"/>
    <w:rsid w:val="00887E3D"/>
    <w:rsid w:val="0089040D"/>
    <w:rsid w:val="0089174D"/>
    <w:rsid w:val="008919BE"/>
    <w:rsid w:val="008922BA"/>
    <w:rsid w:val="0089293F"/>
    <w:rsid w:val="008937C3"/>
    <w:rsid w:val="0089458B"/>
    <w:rsid w:val="00894D3D"/>
    <w:rsid w:val="008956D3"/>
    <w:rsid w:val="008958A3"/>
    <w:rsid w:val="00896952"/>
    <w:rsid w:val="00896A27"/>
    <w:rsid w:val="00896A32"/>
    <w:rsid w:val="00896C6B"/>
    <w:rsid w:val="00897515"/>
    <w:rsid w:val="00897D0E"/>
    <w:rsid w:val="008A04F4"/>
    <w:rsid w:val="008A1235"/>
    <w:rsid w:val="008A1742"/>
    <w:rsid w:val="008A1806"/>
    <w:rsid w:val="008A2C26"/>
    <w:rsid w:val="008A37AE"/>
    <w:rsid w:val="008A4A80"/>
    <w:rsid w:val="008A5812"/>
    <w:rsid w:val="008A5E0F"/>
    <w:rsid w:val="008A635E"/>
    <w:rsid w:val="008A636D"/>
    <w:rsid w:val="008A6897"/>
    <w:rsid w:val="008A6EE6"/>
    <w:rsid w:val="008A705F"/>
    <w:rsid w:val="008A75AF"/>
    <w:rsid w:val="008A77EE"/>
    <w:rsid w:val="008B12C5"/>
    <w:rsid w:val="008B1ED2"/>
    <w:rsid w:val="008B2FDA"/>
    <w:rsid w:val="008B2FFE"/>
    <w:rsid w:val="008B3C55"/>
    <w:rsid w:val="008B5C4F"/>
    <w:rsid w:val="008B717D"/>
    <w:rsid w:val="008B7EBF"/>
    <w:rsid w:val="008C0726"/>
    <w:rsid w:val="008C0CE3"/>
    <w:rsid w:val="008C0D25"/>
    <w:rsid w:val="008C0EF4"/>
    <w:rsid w:val="008C141D"/>
    <w:rsid w:val="008C254D"/>
    <w:rsid w:val="008C3381"/>
    <w:rsid w:val="008C35F8"/>
    <w:rsid w:val="008C3CFA"/>
    <w:rsid w:val="008C4CF6"/>
    <w:rsid w:val="008C5887"/>
    <w:rsid w:val="008C5AA3"/>
    <w:rsid w:val="008C5CA8"/>
    <w:rsid w:val="008C5D59"/>
    <w:rsid w:val="008C6853"/>
    <w:rsid w:val="008C6E84"/>
    <w:rsid w:val="008C78AB"/>
    <w:rsid w:val="008C7A61"/>
    <w:rsid w:val="008C7F8F"/>
    <w:rsid w:val="008D0B38"/>
    <w:rsid w:val="008D1131"/>
    <w:rsid w:val="008D2912"/>
    <w:rsid w:val="008D55DF"/>
    <w:rsid w:val="008D5C3D"/>
    <w:rsid w:val="008D67FF"/>
    <w:rsid w:val="008D6963"/>
    <w:rsid w:val="008D6A4E"/>
    <w:rsid w:val="008D73BC"/>
    <w:rsid w:val="008E0356"/>
    <w:rsid w:val="008E07F7"/>
    <w:rsid w:val="008E1FB9"/>
    <w:rsid w:val="008E24F5"/>
    <w:rsid w:val="008E2EA1"/>
    <w:rsid w:val="008E32D3"/>
    <w:rsid w:val="008E41E5"/>
    <w:rsid w:val="008E4422"/>
    <w:rsid w:val="008E4F44"/>
    <w:rsid w:val="008E5B00"/>
    <w:rsid w:val="008E613B"/>
    <w:rsid w:val="008E76F1"/>
    <w:rsid w:val="008E7739"/>
    <w:rsid w:val="008E7ABA"/>
    <w:rsid w:val="008E7B11"/>
    <w:rsid w:val="008E7C40"/>
    <w:rsid w:val="008E7CA2"/>
    <w:rsid w:val="008F04EF"/>
    <w:rsid w:val="008F0540"/>
    <w:rsid w:val="008F06D9"/>
    <w:rsid w:val="008F083F"/>
    <w:rsid w:val="008F0888"/>
    <w:rsid w:val="008F1881"/>
    <w:rsid w:val="008F2372"/>
    <w:rsid w:val="008F2E0E"/>
    <w:rsid w:val="008F314D"/>
    <w:rsid w:val="008F324D"/>
    <w:rsid w:val="008F34EF"/>
    <w:rsid w:val="008F58E2"/>
    <w:rsid w:val="008F59F3"/>
    <w:rsid w:val="008F6689"/>
    <w:rsid w:val="008F770F"/>
    <w:rsid w:val="00900649"/>
    <w:rsid w:val="0090243C"/>
    <w:rsid w:val="0090266A"/>
    <w:rsid w:val="00902DB4"/>
    <w:rsid w:val="00903455"/>
    <w:rsid w:val="00903C31"/>
    <w:rsid w:val="009042C3"/>
    <w:rsid w:val="00904859"/>
    <w:rsid w:val="00905704"/>
    <w:rsid w:val="009062C5"/>
    <w:rsid w:val="00907297"/>
    <w:rsid w:val="00910699"/>
    <w:rsid w:val="009114CE"/>
    <w:rsid w:val="00911834"/>
    <w:rsid w:val="009123D3"/>
    <w:rsid w:val="0091337D"/>
    <w:rsid w:val="009140EF"/>
    <w:rsid w:val="009145DC"/>
    <w:rsid w:val="00915F18"/>
    <w:rsid w:val="0091634A"/>
    <w:rsid w:val="009167C3"/>
    <w:rsid w:val="009168C9"/>
    <w:rsid w:val="00916F5B"/>
    <w:rsid w:val="009172C6"/>
    <w:rsid w:val="00921D9A"/>
    <w:rsid w:val="00923FA2"/>
    <w:rsid w:val="0092405C"/>
    <w:rsid w:val="00924359"/>
    <w:rsid w:val="009261FA"/>
    <w:rsid w:val="00926A35"/>
    <w:rsid w:val="009276A5"/>
    <w:rsid w:val="009318ED"/>
    <w:rsid w:val="00932E0A"/>
    <w:rsid w:val="009347B3"/>
    <w:rsid w:val="00935259"/>
    <w:rsid w:val="00940B99"/>
    <w:rsid w:val="00940E08"/>
    <w:rsid w:val="00941C16"/>
    <w:rsid w:val="00942158"/>
    <w:rsid w:val="00943616"/>
    <w:rsid w:val="00945DD2"/>
    <w:rsid w:val="00945FEC"/>
    <w:rsid w:val="0095008A"/>
    <w:rsid w:val="00950B2D"/>
    <w:rsid w:val="00950FCA"/>
    <w:rsid w:val="00951518"/>
    <w:rsid w:val="009524AC"/>
    <w:rsid w:val="00952711"/>
    <w:rsid w:val="009527F1"/>
    <w:rsid w:val="00952911"/>
    <w:rsid w:val="009529CB"/>
    <w:rsid w:val="00952D0A"/>
    <w:rsid w:val="00953F58"/>
    <w:rsid w:val="0095486B"/>
    <w:rsid w:val="00954BA1"/>
    <w:rsid w:val="0095519B"/>
    <w:rsid w:val="00955CB3"/>
    <w:rsid w:val="009561A7"/>
    <w:rsid w:val="00957142"/>
    <w:rsid w:val="0096043F"/>
    <w:rsid w:val="009604E6"/>
    <w:rsid w:val="00961223"/>
    <w:rsid w:val="009614FF"/>
    <w:rsid w:val="0096165D"/>
    <w:rsid w:val="009617AF"/>
    <w:rsid w:val="00961865"/>
    <w:rsid w:val="009618AD"/>
    <w:rsid w:val="00961C05"/>
    <w:rsid w:val="00962027"/>
    <w:rsid w:val="00962256"/>
    <w:rsid w:val="009625A0"/>
    <w:rsid w:val="00962CA9"/>
    <w:rsid w:val="00964CB7"/>
    <w:rsid w:val="009657D7"/>
    <w:rsid w:val="00965E00"/>
    <w:rsid w:val="00966029"/>
    <w:rsid w:val="009663CA"/>
    <w:rsid w:val="00967472"/>
    <w:rsid w:val="00967B47"/>
    <w:rsid w:val="009721CB"/>
    <w:rsid w:val="00973FBE"/>
    <w:rsid w:val="00974763"/>
    <w:rsid w:val="009753C3"/>
    <w:rsid w:val="0097569F"/>
    <w:rsid w:val="009756FF"/>
    <w:rsid w:val="009762C5"/>
    <w:rsid w:val="00977BAA"/>
    <w:rsid w:val="00980415"/>
    <w:rsid w:val="00980A05"/>
    <w:rsid w:val="00980EDA"/>
    <w:rsid w:val="009818BE"/>
    <w:rsid w:val="00981B6C"/>
    <w:rsid w:val="009823E2"/>
    <w:rsid w:val="00982826"/>
    <w:rsid w:val="00982866"/>
    <w:rsid w:val="0098369F"/>
    <w:rsid w:val="00983B6F"/>
    <w:rsid w:val="0098460E"/>
    <w:rsid w:val="00984692"/>
    <w:rsid w:val="0098519E"/>
    <w:rsid w:val="0098643C"/>
    <w:rsid w:val="009868A5"/>
    <w:rsid w:val="00987AD9"/>
    <w:rsid w:val="00990360"/>
    <w:rsid w:val="009905DF"/>
    <w:rsid w:val="00990FDD"/>
    <w:rsid w:val="00992261"/>
    <w:rsid w:val="0099273E"/>
    <w:rsid w:val="009932AB"/>
    <w:rsid w:val="009932BE"/>
    <w:rsid w:val="009934BB"/>
    <w:rsid w:val="00993890"/>
    <w:rsid w:val="00994291"/>
    <w:rsid w:val="0099444F"/>
    <w:rsid w:val="009947B6"/>
    <w:rsid w:val="00996371"/>
    <w:rsid w:val="00996707"/>
    <w:rsid w:val="00997651"/>
    <w:rsid w:val="00997741"/>
    <w:rsid w:val="009A017F"/>
    <w:rsid w:val="009A4386"/>
    <w:rsid w:val="009A4ED6"/>
    <w:rsid w:val="009A5AC0"/>
    <w:rsid w:val="009A5B64"/>
    <w:rsid w:val="009A6495"/>
    <w:rsid w:val="009B0924"/>
    <w:rsid w:val="009B1E9A"/>
    <w:rsid w:val="009B2AB5"/>
    <w:rsid w:val="009B316D"/>
    <w:rsid w:val="009B465F"/>
    <w:rsid w:val="009B47AE"/>
    <w:rsid w:val="009B550D"/>
    <w:rsid w:val="009B55B3"/>
    <w:rsid w:val="009B5E7F"/>
    <w:rsid w:val="009B674E"/>
    <w:rsid w:val="009B6EB2"/>
    <w:rsid w:val="009C0398"/>
    <w:rsid w:val="009C0505"/>
    <w:rsid w:val="009C0B14"/>
    <w:rsid w:val="009C0B96"/>
    <w:rsid w:val="009C1240"/>
    <w:rsid w:val="009C36A3"/>
    <w:rsid w:val="009C4B06"/>
    <w:rsid w:val="009C5070"/>
    <w:rsid w:val="009C5B65"/>
    <w:rsid w:val="009C73AD"/>
    <w:rsid w:val="009C770D"/>
    <w:rsid w:val="009C7DD4"/>
    <w:rsid w:val="009D03E0"/>
    <w:rsid w:val="009D238E"/>
    <w:rsid w:val="009D2C9E"/>
    <w:rsid w:val="009D398B"/>
    <w:rsid w:val="009D4188"/>
    <w:rsid w:val="009D670B"/>
    <w:rsid w:val="009D6A5C"/>
    <w:rsid w:val="009D6D21"/>
    <w:rsid w:val="009E0DEA"/>
    <w:rsid w:val="009E1564"/>
    <w:rsid w:val="009E171B"/>
    <w:rsid w:val="009E1D1D"/>
    <w:rsid w:val="009E2A65"/>
    <w:rsid w:val="009E36CC"/>
    <w:rsid w:val="009E3D1D"/>
    <w:rsid w:val="009E3EAC"/>
    <w:rsid w:val="009E5045"/>
    <w:rsid w:val="009E5233"/>
    <w:rsid w:val="009E5C3A"/>
    <w:rsid w:val="009E62CA"/>
    <w:rsid w:val="009E6939"/>
    <w:rsid w:val="009E6ED7"/>
    <w:rsid w:val="009E78F1"/>
    <w:rsid w:val="009F16DE"/>
    <w:rsid w:val="009F1885"/>
    <w:rsid w:val="009F206A"/>
    <w:rsid w:val="009F2A80"/>
    <w:rsid w:val="009F2C21"/>
    <w:rsid w:val="009F3AB8"/>
    <w:rsid w:val="009F499D"/>
    <w:rsid w:val="009F58DC"/>
    <w:rsid w:val="009F5E48"/>
    <w:rsid w:val="009F64B6"/>
    <w:rsid w:val="009F7459"/>
    <w:rsid w:val="00A0080B"/>
    <w:rsid w:val="00A00BC2"/>
    <w:rsid w:val="00A013AF"/>
    <w:rsid w:val="00A0143F"/>
    <w:rsid w:val="00A019E6"/>
    <w:rsid w:val="00A01E01"/>
    <w:rsid w:val="00A02496"/>
    <w:rsid w:val="00A0344E"/>
    <w:rsid w:val="00A041FA"/>
    <w:rsid w:val="00A04EAD"/>
    <w:rsid w:val="00A06143"/>
    <w:rsid w:val="00A06EE5"/>
    <w:rsid w:val="00A07717"/>
    <w:rsid w:val="00A07A61"/>
    <w:rsid w:val="00A07D70"/>
    <w:rsid w:val="00A10482"/>
    <w:rsid w:val="00A10725"/>
    <w:rsid w:val="00A108ED"/>
    <w:rsid w:val="00A109AA"/>
    <w:rsid w:val="00A10ACD"/>
    <w:rsid w:val="00A11992"/>
    <w:rsid w:val="00A11DCE"/>
    <w:rsid w:val="00A121BD"/>
    <w:rsid w:val="00A1222E"/>
    <w:rsid w:val="00A12369"/>
    <w:rsid w:val="00A128AC"/>
    <w:rsid w:val="00A12EBF"/>
    <w:rsid w:val="00A13A9B"/>
    <w:rsid w:val="00A1459D"/>
    <w:rsid w:val="00A1459E"/>
    <w:rsid w:val="00A150AC"/>
    <w:rsid w:val="00A1521E"/>
    <w:rsid w:val="00A15966"/>
    <w:rsid w:val="00A16346"/>
    <w:rsid w:val="00A178B6"/>
    <w:rsid w:val="00A204BD"/>
    <w:rsid w:val="00A221DD"/>
    <w:rsid w:val="00A23B89"/>
    <w:rsid w:val="00A24211"/>
    <w:rsid w:val="00A24596"/>
    <w:rsid w:val="00A2482B"/>
    <w:rsid w:val="00A249A6"/>
    <w:rsid w:val="00A24D9E"/>
    <w:rsid w:val="00A256A1"/>
    <w:rsid w:val="00A25CC5"/>
    <w:rsid w:val="00A25FAB"/>
    <w:rsid w:val="00A26BC3"/>
    <w:rsid w:val="00A27828"/>
    <w:rsid w:val="00A27899"/>
    <w:rsid w:val="00A27946"/>
    <w:rsid w:val="00A309EE"/>
    <w:rsid w:val="00A31862"/>
    <w:rsid w:val="00A31C41"/>
    <w:rsid w:val="00A32EDB"/>
    <w:rsid w:val="00A34198"/>
    <w:rsid w:val="00A348AE"/>
    <w:rsid w:val="00A34C50"/>
    <w:rsid w:val="00A353B1"/>
    <w:rsid w:val="00A3694C"/>
    <w:rsid w:val="00A36FD7"/>
    <w:rsid w:val="00A37580"/>
    <w:rsid w:val="00A376D4"/>
    <w:rsid w:val="00A37818"/>
    <w:rsid w:val="00A40773"/>
    <w:rsid w:val="00A41090"/>
    <w:rsid w:val="00A419E4"/>
    <w:rsid w:val="00A42C69"/>
    <w:rsid w:val="00A42F7C"/>
    <w:rsid w:val="00A4336F"/>
    <w:rsid w:val="00A437EB"/>
    <w:rsid w:val="00A4493D"/>
    <w:rsid w:val="00A45B2D"/>
    <w:rsid w:val="00A45FE7"/>
    <w:rsid w:val="00A469D4"/>
    <w:rsid w:val="00A470E5"/>
    <w:rsid w:val="00A472B4"/>
    <w:rsid w:val="00A47498"/>
    <w:rsid w:val="00A47902"/>
    <w:rsid w:val="00A47A37"/>
    <w:rsid w:val="00A50104"/>
    <w:rsid w:val="00A506C1"/>
    <w:rsid w:val="00A506EF"/>
    <w:rsid w:val="00A512A9"/>
    <w:rsid w:val="00A523BF"/>
    <w:rsid w:val="00A52F74"/>
    <w:rsid w:val="00A570D2"/>
    <w:rsid w:val="00A5765C"/>
    <w:rsid w:val="00A57DB3"/>
    <w:rsid w:val="00A61A1C"/>
    <w:rsid w:val="00A621DD"/>
    <w:rsid w:val="00A630DF"/>
    <w:rsid w:val="00A63A92"/>
    <w:rsid w:val="00A63D69"/>
    <w:rsid w:val="00A64D08"/>
    <w:rsid w:val="00A65468"/>
    <w:rsid w:val="00A65ACF"/>
    <w:rsid w:val="00A65DE8"/>
    <w:rsid w:val="00A65E51"/>
    <w:rsid w:val="00A6619C"/>
    <w:rsid w:val="00A665B3"/>
    <w:rsid w:val="00A66690"/>
    <w:rsid w:val="00A669D0"/>
    <w:rsid w:val="00A66F73"/>
    <w:rsid w:val="00A670D5"/>
    <w:rsid w:val="00A67571"/>
    <w:rsid w:val="00A678E6"/>
    <w:rsid w:val="00A72151"/>
    <w:rsid w:val="00A74668"/>
    <w:rsid w:val="00A74A20"/>
    <w:rsid w:val="00A74F74"/>
    <w:rsid w:val="00A76081"/>
    <w:rsid w:val="00A77142"/>
    <w:rsid w:val="00A82281"/>
    <w:rsid w:val="00A83BE2"/>
    <w:rsid w:val="00A84B17"/>
    <w:rsid w:val="00A85212"/>
    <w:rsid w:val="00A85603"/>
    <w:rsid w:val="00A86212"/>
    <w:rsid w:val="00A906AF"/>
    <w:rsid w:val="00A927F5"/>
    <w:rsid w:val="00A93C42"/>
    <w:rsid w:val="00A94CDA"/>
    <w:rsid w:val="00A96D2B"/>
    <w:rsid w:val="00A96F34"/>
    <w:rsid w:val="00A970EB"/>
    <w:rsid w:val="00A977A0"/>
    <w:rsid w:val="00AA237F"/>
    <w:rsid w:val="00AA2732"/>
    <w:rsid w:val="00AA2BD5"/>
    <w:rsid w:val="00AA3899"/>
    <w:rsid w:val="00AA3C6E"/>
    <w:rsid w:val="00AA420A"/>
    <w:rsid w:val="00AA47BE"/>
    <w:rsid w:val="00AA54C8"/>
    <w:rsid w:val="00AA59CD"/>
    <w:rsid w:val="00AA5F3A"/>
    <w:rsid w:val="00AA6975"/>
    <w:rsid w:val="00AA7091"/>
    <w:rsid w:val="00AB0732"/>
    <w:rsid w:val="00AB09E2"/>
    <w:rsid w:val="00AB171D"/>
    <w:rsid w:val="00AB1F70"/>
    <w:rsid w:val="00AB36AB"/>
    <w:rsid w:val="00AB3ABC"/>
    <w:rsid w:val="00AB404D"/>
    <w:rsid w:val="00AB5EC2"/>
    <w:rsid w:val="00AB5F3E"/>
    <w:rsid w:val="00AB7098"/>
    <w:rsid w:val="00AB71D0"/>
    <w:rsid w:val="00AB79AC"/>
    <w:rsid w:val="00AC0A03"/>
    <w:rsid w:val="00AC0A50"/>
    <w:rsid w:val="00AC0D42"/>
    <w:rsid w:val="00AC1E6C"/>
    <w:rsid w:val="00AC20BF"/>
    <w:rsid w:val="00AC23C2"/>
    <w:rsid w:val="00AC278A"/>
    <w:rsid w:val="00AC2B39"/>
    <w:rsid w:val="00AC3160"/>
    <w:rsid w:val="00AC4375"/>
    <w:rsid w:val="00AC4541"/>
    <w:rsid w:val="00AC4920"/>
    <w:rsid w:val="00AC4BA8"/>
    <w:rsid w:val="00AC5FAF"/>
    <w:rsid w:val="00AC6829"/>
    <w:rsid w:val="00AC6B9A"/>
    <w:rsid w:val="00AC6D79"/>
    <w:rsid w:val="00AC6FCA"/>
    <w:rsid w:val="00AC7DB1"/>
    <w:rsid w:val="00AD039F"/>
    <w:rsid w:val="00AD0B4E"/>
    <w:rsid w:val="00AD0E8E"/>
    <w:rsid w:val="00AD17F9"/>
    <w:rsid w:val="00AD2731"/>
    <w:rsid w:val="00AD2D6A"/>
    <w:rsid w:val="00AD3704"/>
    <w:rsid w:val="00AD41FD"/>
    <w:rsid w:val="00AD4AE8"/>
    <w:rsid w:val="00AD4B62"/>
    <w:rsid w:val="00AD572C"/>
    <w:rsid w:val="00AD5D5D"/>
    <w:rsid w:val="00AD6062"/>
    <w:rsid w:val="00AD6514"/>
    <w:rsid w:val="00AD6677"/>
    <w:rsid w:val="00AD68E1"/>
    <w:rsid w:val="00AD7476"/>
    <w:rsid w:val="00AD7A1B"/>
    <w:rsid w:val="00AE02B9"/>
    <w:rsid w:val="00AE0BC3"/>
    <w:rsid w:val="00AE12F2"/>
    <w:rsid w:val="00AE206C"/>
    <w:rsid w:val="00AE278B"/>
    <w:rsid w:val="00AE2FF9"/>
    <w:rsid w:val="00AE3388"/>
    <w:rsid w:val="00AE3D19"/>
    <w:rsid w:val="00AE5E22"/>
    <w:rsid w:val="00AE5E8C"/>
    <w:rsid w:val="00AF099F"/>
    <w:rsid w:val="00AF28B9"/>
    <w:rsid w:val="00AF2BD8"/>
    <w:rsid w:val="00AF2E22"/>
    <w:rsid w:val="00AF3E62"/>
    <w:rsid w:val="00AF3F89"/>
    <w:rsid w:val="00AF4BCF"/>
    <w:rsid w:val="00AF563A"/>
    <w:rsid w:val="00AF5DEB"/>
    <w:rsid w:val="00AF6548"/>
    <w:rsid w:val="00AF6553"/>
    <w:rsid w:val="00AF6A22"/>
    <w:rsid w:val="00AF6CD1"/>
    <w:rsid w:val="00AF7255"/>
    <w:rsid w:val="00AF77B1"/>
    <w:rsid w:val="00AF7F2E"/>
    <w:rsid w:val="00B00218"/>
    <w:rsid w:val="00B033B2"/>
    <w:rsid w:val="00B035E9"/>
    <w:rsid w:val="00B037A9"/>
    <w:rsid w:val="00B03BFF"/>
    <w:rsid w:val="00B04AB3"/>
    <w:rsid w:val="00B05E93"/>
    <w:rsid w:val="00B0769E"/>
    <w:rsid w:val="00B105F1"/>
    <w:rsid w:val="00B10837"/>
    <w:rsid w:val="00B10BF4"/>
    <w:rsid w:val="00B119A0"/>
    <w:rsid w:val="00B11A22"/>
    <w:rsid w:val="00B152E5"/>
    <w:rsid w:val="00B153AC"/>
    <w:rsid w:val="00B16E73"/>
    <w:rsid w:val="00B16FAB"/>
    <w:rsid w:val="00B20086"/>
    <w:rsid w:val="00B20979"/>
    <w:rsid w:val="00B22784"/>
    <w:rsid w:val="00B229E3"/>
    <w:rsid w:val="00B22CFB"/>
    <w:rsid w:val="00B22E18"/>
    <w:rsid w:val="00B235FE"/>
    <w:rsid w:val="00B2463B"/>
    <w:rsid w:val="00B24D06"/>
    <w:rsid w:val="00B25B95"/>
    <w:rsid w:val="00B26DED"/>
    <w:rsid w:val="00B26EE8"/>
    <w:rsid w:val="00B27A97"/>
    <w:rsid w:val="00B30591"/>
    <w:rsid w:val="00B306F8"/>
    <w:rsid w:val="00B307CD"/>
    <w:rsid w:val="00B30CC9"/>
    <w:rsid w:val="00B314A6"/>
    <w:rsid w:val="00B31F80"/>
    <w:rsid w:val="00B321E9"/>
    <w:rsid w:val="00B33273"/>
    <w:rsid w:val="00B33D26"/>
    <w:rsid w:val="00B34321"/>
    <w:rsid w:val="00B35CD7"/>
    <w:rsid w:val="00B364C9"/>
    <w:rsid w:val="00B36FF8"/>
    <w:rsid w:val="00B37264"/>
    <w:rsid w:val="00B4062F"/>
    <w:rsid w:val="00B40E10"/>
    <w:rsid w:val="00B413FF"/>
    <w:rsid w:val="00B41777"/>
    <w:rsid w:val="00B41A64"/>
    <w:rsid w:val="00B41E00"/>
    <w:rsid w:val="00B42E0A"/>
    <w:rsid w:val="00B42E91"/>
    <w:rsid w:val="00B43224"/>
    <w:rsid w:val="00B43D10"/>
    <w:rsid w:val="00B4419C"/>
    <w:rsid w:val="00B4507C"/>
    <w:rsid w:val="00B46BC3"/>
    <w:rsid w:val="00B474D0"/>
    <w:rsid w:val="00B478D0"/>
    <w:rsid w:val="00B47AE5"/>
    <w:rsid w:val="00B50BBE"/>
    <w:rsid w:val="00B50EDF"/>
    <w:rsid w:val="00B51A21"/>
    <w:rsid w:val="00B51DF4"/>
    <w:rsid w:val="00B52C1B"/>
    <w:rsid w:val="00B5344A"/>
    <w:rsid w:val="00B53450"/>
    <w:rsid w:val="00B53AF4"/>
    <w:rsid w:val="00B54E47"/>
    <w:rsid w:val="00B5519D"/>
    <w:rsid w:val="00B57735"/>
    <w:rsid w:val="00B609E9"/>
    <w:rsid w:val="00B60BD9"/>
    <w:rsid w:val="00B60F6E"/>
    <w:rsid w:val="00B6233C"/>
    <w:rsid w:val="00B62640"/>
    <w:rsid w:val="00B62FE4"/>
    <w:rsid w:val="00B64185"/>
    <w:rsid w:val="00B642C3"/>
    <w:rsid w:val="00B65945"/>
    <w:rsid w:val="00B6594B"/>
    <w:rsid w:val="00B65E27"/>
    <w:rsid w:val="00B667D8"/>
    <w:rsid w:val="00B67E85"/>
    <w:rsid w:val="00B707BB"/>
    <w:rsid w:val="00B70EA6"/>
    <w:rsid w:val="00B70EC3"/>
    <w:rsid w:val="00B70F38"/>
    <w:rsid w:val="00B719FD"/>
    <w:rsid w:val="00B7299C"/>
    <w:rsid w:val="00B74CA3"/>
    <w:rsid w:val="00B76B6D"/>
    <w:rsid w:val="00B76DAB"/>
    <w:rsid w:val="00B77791"/>
    <w:rsid w:val="00B77DDD"/>
    <w:rsid w:val="00B804E7"/>
    <w:rsid w:val="00B8050B"/>
    <w:rsid w:val="00B8066E"/>
    <w:rsid w:val="00B80C23"/>
    <w:rsid w:val="00B820A0"/>
    <w:rsid w:val="00B828D1"/>
    <w:rsid w:val="00B82BCF"/>
    <w:rsid w:val="00B83155"/>
    <w:rsid w:val="00B83881"/>
    <w:rsid w:val="00B838ED"/>
    <w:rsid w:val="00B839A9"/>
    <w:rsid w:val="00B83B0C"/>
    <w:rsid w:val="00B8508A"/>
    <w:rsid w:val="00B872F8"/>
    <w:rsid w:val="00B873A0"/>
    <w:rsid w:val="00B87471"/>
    <w:rsid w:val="00B87719"/>
    <w:rsid w:val="00B904AE"/>
    <w:rsid w:val="00B90A8B"/>
    <w:rsid w:val="00B9149A"/>
    <w:rsid w:val="00B91B87"/>
    <w:rsid w:val="00B92EE9"/>
    <w:rsid w:val="00B9314E"/>
    <w:rsid w:val="00B9317E"/>
    <w:rsid w:val="00B93FC9"/>
    <w:rsid w:val="00B947CB"/>
    <w:rsid w:val="00B95357"/>
    <w:rsid w:val="00B95D17"/>
    <w:rsid w:val="00B96453"/>
    <w:rsid w:val="00B96489"/>
    <w:rsid w:val="00B96BFC"/>
    <w:rsid w:val="00B97683"/>
    <w:rsid w:val="00B97A9A"/>
    <w:rsid w:val="00BA07A1"/>
    <w:rsid w:val="00BA2873"/>
    <w:rsid w:val="00BA2C58"/>
    <w:rsid w:val="00BA3149"/>
    <w:rsid w:val="00BA360D"/>
    <w:rsid w:val="00BA37E2"/>
    <w:rsid w:val="00BA3865"/>
    <w:rsid w:val="00BA392E"/>
    <w:rsid w:val="00BA398C"/>
    <w:rsid w:val="00BA411F"/>
    <w:rsid w:val="00BA59FE"/>
    <w:rsid w:val="00BA5B65"/>
    <w:rsid w:val="00BA5D9C"/>
    <w:rsid w:val="00BA65FA"/>
    <w:rsid w:val="00BA74D7"/>
    <w:rsid w:val="00BA77BD"/>
    <w:rsid w:val="00BA799B"/>
    <w:rsid w:val="00BB05B0"/>
    <w:rsid w:val="00BB0835"/>
    <w:rsid w:val="00BB124A"/>
    <w:rsid w:val="00BB1440"/>
    <w:rsid w:val="00BB23F8"/>
    <w:rsid w:val="00BB318C"/>
    <w:rsid w:val="00BB3445"/>
    <w:rsid w:val="00BB3F6C"/>
    <w:rsid w:val="00BB4345"/>
    <w:rsid w:val="00BB50C9"/>
    <w:rsid w:val="00BB736F"/>
    <w:rsid w:val="00BC0760"/>
    <w:rsid w:val="00BC0B5F"/>
    <w:rsid w:val="00BC1016"/>
    <w:rsid w:val="00BC26D0"/>
    <w:rsid w:val="00BC2B1C"/>
    <w:rsid w:val="00BC304C"/>
    <w:rsid w:val="00BC45E0"/>
    <w:rsid w:val="00BC625E"/>
    <w:rsid w:val="00BC6631"/>
    <w:rsid w:val="00BC692B"/>
    <w:rsid w:val="00BC6A69"/>
    <w:rsid w:val="00BC7079"/>
    <w:rsid w:val="00BC781C"/>
    <w:rsid w:val="00BC7D94"/>
    <w:rsid w:val="00BC7F99"/>
    <w:rsid w:val="00BD068C"/>
    <w:rsid w:val="00BD0E23"/>
    <w:rsid w:val="00BD132C"/>
    <w:rsid w:val="00BD34F8"/>
    <w:rsid w:val="00BD39C8"/>
    <w:rsid w:val="00BD3AEE"/>
    <w:rsid w:val="00BD3C2D"/>
    <w:rsid w:val="00BD3C6F"/>
    <w:rsid w:val="00BD47B5"/>
    <w:rsid w:val="00BD6681"/>
    <w:rsid w:val="00BD66AE"/>
    <w:rsid w:val="00BD7546"/>
    <w:rsid w:val="00BE156D"/>
    <w:rsid w:val="00BE24AE"/>
    <w:rsid w:val="00BE2BE9"/>
    <w:rsid w:val="00BE4406"/>
    <w:rsid w:val="00BE5050"/>
    <w:rsid w:val="00BE515B"/>
    <w:rsid w:val="00BE651E"/>
    <w:rsid w:val="00BE668E"/>
    <w:rsid w:val="00BE6B80"/>
    <w:rsid w:val="00BF0692"/>
    <w:rsid w:val="00BF0A95"/>
    <w:rsid w:val="00BF0F31"/>
    <w:rsid w:val="00BF2083"/>
    <w:rsid w:val="00BF20CE"/>
    <w:rsid w:val="00BF34F0"/>
    <w:rsid w:val="00BF39F8"/>
    <w:rsid w:val="00BF455C"/>
    <w:rsid w:val="00BF4665"/>
    <w:rsid w:val="00BF4A91"/>
    <w:rsid w:val="00BF4A96"/>
    <w:rsid w:val="00BF4CB0"/>
    <w:rsid w:val="00BF53DC"/>
    <w:rsid w:val="00BF715C"/>
    <w:rsid w:val="00BF7FC6"/>
    <w:rsid w:val="00C00B67"/>
    <w:rsid w:val="00C00CFA"/>
    <w:rsid w:val="00C05040"/>
    <w:rsid w:val="00C0634E"/>
    <w:rsid w:val="00C07698"/>
    <w:rsid w:val="00C1070C"/>
    <w:rsid w:val="00C10C9D"/>
    <w:rsid w:val="00C114A5"/>
    <w:rsid w:val="00C11A36"/>
    <w:rsid w:val="00C13787"/>
    <w:rsid w:val="00C1468E"/>
    <w:rsid w:val="00C149D6"/>
    <w:rsid w:val="00C15495"/>
    <w:rsid w:val="00C158D9"/>
    <w:rsid w:val="00C16409"/>
    <w:rsid w:val="00C16BE1"/>
    <w:rsid w:val="00C17C13"/>
    <w:rsid w:val="00C17C53"/>
    <w:rsid w:val="00C17FB9"/>
    <w:rsid w:val="00C20B06"/>
    <w:rsid w:val="00C21371"/>
    <w:rsid w:val="00C220E8"/>
    <w:rsid w:val="00C23F36"/>
    <w:rsid w:val="00C241D8"/>
    <w:rsid w:val="00C24A9B"/>
    <w:rsid w:val="00C25BAE"/>
    <w:rsid w:val="00C26DA2"/>
    <w:rsid w:val="00C2713B"/>
    <w:rsid w:val="00C2769E"/>
    <w:rsid w:val="00C27768"/>
    <w:rsid w:val="00C277CA"/>
    <w:rsid w:val="00C30DE4"/>
    <w:rsid w:val="00C30F17"/>
    <w:rsid w:val="00C32936"/>
    <w:rsid w:val="00C34210"/>
    <w:rsid w:val="00C34546"/>
    <w:rsid w:val="00C3497C"/>
    <w:rsid w:val="00C36573"/>
    <w:rsid w:val="00C368A0"/>
    <w:rsid w:val="00C370BA"/>
    <w:rsid w:val="00C401C9"/>
    <w:rsid w:val="00C40324"/>
    <w:rsid w:val="00C40598"/>
    <w:rsid w:val="00C41105"/>
    <w:rsid w:val="00C432FB"/>
    <w:rsid w:val="00C43841"/>
    <w:rsid w:val="00C443A0"/>
    <w:rsid w:val="00C44771"/>
    <w:rsid w:val="00C44A27"/>
    <w:rsid w:val="00C45DF9"/>
    <w:rsid w:val="00C46ACD"/>
    <w:rsid w:val="00C47B12"/>
    <w:rsid w:val="00C5189D"/>
    <w:rsid w:val="00C540D0"/>
    <w:rsid w:val="00C55C09"/>
    <w:rsid w:val="00C5649A"/>
    <w:rsid w:val="00C56856"/>
    <w:rsid w:val="00C57EFA"/>
    <w:rsid w:val="00C603ED"/>
    <w:rsid w:val="00C6068B"/>
    <w:rsid w:val="00C6105A"/>
    <w:rsid w:val="00C616A8"/>
    <w:rsid w:val="00C616D7"/>
    <w:rsid w:val="00C61930"/>
    <w:rsid w:val="00C61AE6"/>
    <w:rsid w:val="00C61CCB"/>
    <w:rsid w:val="00C61F09"/>
    <w:rsid w:val="00C61F56"/>
    <w:rsid w:val="00C62B44"/>
    <w:rsid w:val="00C633A0"/>
    <w:rsid w:val="00C644C9"/>
    <w:rsid w:val="00C66569"/>
    <w:rsid w:val="00C66757"/>
    <w:rsid w:val="00C66947"/>
    <w:rsid w:val="00C676FC"/>
    <w:rsid w:val="00C67A08"/>
    <w:rsid w:val="00C67D69"/>
    <w:rsid w:val="00C7069B"/>
    <w:rsid w:val="00C71614"/>
    <w:rsid w:val="00C730AF"/>
    <w:rsid w:val="00C7433B"/>
    <w:rsid w:val="00C74841"/>
    <w:rsid w:val="00C75698"/>
    <w:rsid w:val="00C75FAC"/>
    <w:rsid w:val="00C80B74"/>
    <w:rsid w:val="00C81507"/>
    <w:rsid w:val="00C8194B"/>
    <w:rsid w:val="00C81982"/>
    <w:rsid w:val="00C8260C"/>
    <w:rsid w:val="00C82669"/>
    <w:rsid w:val="00C832EA"/>
    <w:rsid w:val="00C84C9E"/>
    <w:rsid w:val="00C84FDD"/>
    <w:rsid w:val="00C8583E"/>
    <w:rsid w:val="00C85B79"/>
    <w:rsid w:val="00C8606C"/>
    <w:rsid w:val="00C86245"/>
    <w:rsid w:val="00C87007"/>
    <w:rsid w:val="00C873EB"/>
    <w:rsid w:val="00C879DE"/>
    <w:rsid w:val="00C87B4D"/>
    <w:rsid w:val="00C87DAC"/>
    <w:rsid w:val="00C90172"/>
    <w:rsid w:val="00C91995"/>
    <w:rsid w:val="00C93830"/>
    <w:rsid w:val="00C96579"/>
    <w:rsid w:val="00C96AEC"/>
    <w:rsid w:val="00C97559"/>
    <w:rsid w:val="00CA0553"/>
    <w:rsid w:val="00CA10C5"/>
    <w:rsid w:val="00CA1A99"/>
    <w:rsid w:val="00CA1C00"/>
    <w:rsid w:val="00CA2560"/>
    <w:rsid w:val="00CA25B0"/>
    <w:rsid w:val="00CA2A6B"/>
    <w:rsid w:val="00CA3907"/>
    <w:rsid w:val="00CA3FC2"/>
    <w:rsid w:val="00CA44D1"/>
    <w:rsid w:val="00CA47AF"/>
    <w:rsid w:val="00CA5AE0"/>
    <w:rsid w:val="00CA69F0"/>
    <w:rsid w:val="00CA7707"/>
    <w:rsid w:val="00CA7A94"/>
    <w:rsid w:val="00CB075C"/>
    <w:rsid w:val="00CB0936"/>
    <w:rsid w:val="00CB1E2B"/>
    <w:rsid w:val="00CB218A"/>
    <w:rsid w:val="00CB2D6E"/>
    <w:rsid w:val="00CB3453"/>
    <w:rsid w:val="00CB3C09"/>
    <w:rsid w:val="00CB47D0"/>
    <w:rsid w:val="00CB5BE2"/>
    <w:rsid w:val="00CB71A7"/>
    <w:rsid w:val="00CB76C5"/>
    <w:rsid w:val="00CC0897"/>
    <w:rsid w:val="00CC0E40"/>
    <w:rsid w:val="00CC10BB"/>
    <w:rsid w:val="00CC12BF"/>
    <w:rsid w:val="00CC40CC"/>
    <w:rsid w:val="00CC47D9"/>
    <w:rsid w:val="00CC4815"/>
    <w:rsid w:val="00CC48DB"/>
    <w:rsid w:val="00CC4BB1"/>
    <w:rsid w:val="00CC516A"/>
    <w:rsid w:val="00CC6536"/>
    <w:rsid w:val="00CD0042"/>
    <w:rsid w:val="00CD026F"/>
    <w:rsid w:val="00CD036E"/>
    <w:rsid w:val="00CD108F"/>
    <w:rsid w:val="00CD2200"/>
    <w:rsid w:val="00CD3233"/>
    <w:rsid w:val="00CD3286"/>
    <w:rsid w:val="00CD3465"/>
    <w:rsid w:val="00CD360D"/>
    <w:rsid w:val="00CD3AA0"/>
    <w:rsid w:val="00CD438E"/>
    <w:rsid w:val="00CD547A"/>
    <w:rsid w:val="00CD54C2"/>
    <w:rsid w:val="00CD5554"/>
    <w:rsid w:val="00CD5EEB"/>
    <w:rsid w:val="00CD771A"/>
    <w:rsid w:val="00CE13C2"/>
    <w:rsid w:val="00CE1B1C"/>
    <w:rsid w:val="00CE2CC5"/>
    <w:rsid w:val="00CE3464"/>
    <w:rsid w:val="00CE3797"/>
    <w:rsid w:val="00CE37C5"/>
    <w:rsid w:val="00CE4BB8"/>
    <w:rsid w:val="00CE4D22"/>
    <w:rsid w:val="00CE5E1C"/>
    <w:rsid w:val="00CE61B8"/>
    <w:rsid w:val="00CE7202"/>
    <w:rsid w:val="00CF04F5"/>
    <w:rsid w:val="00CF0E2C"/>
    <w:rsid w:val="00CF1A92"/>
    <w:rsid w:val="00CF2B4F"/>
    <w:rsid w:val="00CF30C5"/>
    <w:rsid w:val="00CF39DE"/>
    <w:rsid w:val="00CF5725"/>
    <w:rsid w:val="00CF573C"/>
    <w:rsid w:val="00D02AB0"/>
    <w:rsid w:val="00D034E8"/>
    <w:rsid w:val="00D0418E"/>
    <w:rsid w:val="00D04287"/>
    <w:rsid w:val="00D04642"/>
    <w:rsid w:val="00D05C62"/>
    <w:rsid w:val="00D074AC"/>
    <w:rsid w:val="00D074D5"/>
    <w:rsid w:val="00D07614"/>
    <w:rsid w:val="00D07B79"/>
    <w:rsid w:val="00D10CE8"/>
    <w:rsid w:val="00D116CB"/>
    <w:rsid w:val="00D11A9C"/>
    <w:rsid w:val="00D126CD"/>
    <w:rsid w:val="00D12714"/>
    <w:rsid w:val="00D133AF"/>
    <w:rsid w:val="00D133FA"/>
    <w:rsid w:val="00D13D91"/>
    <w:rsid w:val="00D167D8"/>
    <w:rsid w:val="00D20218"/>
    <w:rsid w:val="00D20D62"/>
    <w:rsid w:val="00D216F5"/>
    <w:rsid w:val="00D21DDA"/>
    <w:rsid w:val="00D227BD"/>
    <w:rsid w:val="00D24192"/>
    <w:rsid w:val="00D243EA"/>
    <w:rsid w:val="00D24442"/>
    <w:rsid w:val="00D24953"/>
    <w:rsid w:val="00D24E37"/>
    <w:rsid w:val="00D25570"/>
    <w:rsid w:val="00D257A8"/>
    <w:rsid w:val="00D26068"/>
    <w:rsid w:val="00D26B77"/>
    <w:rsid w:val="00D270A9"/>
    <w:rsid w:val="00D2750E"/>
    <w:rsid w:val="00D27A5C"/>
    <w:rsid w:val="00D30637"/>
    <w:rsid w:val="00D31310"/>
    <w:rsid w:val="00D31BFD"/>
    <w:rsid w:val="00D3270E"/>
    <w:rsid w:val="00D3464D"/>
    <w:rsid w:val="00D351A6"/>
    <w:rsid w:val="00D35E81"/>
    <w:rsid w:val="00D363A8"/>
    <w:rsid w:val="00D36E9B"/>
    <w:rsid w:val="00D379C3"/>
    <w:rsid w:val="00D379D0"/>
    <w:rsid w:val="00D40061"/>
    <w:rsid w:val="00D40DA7"/>
    <w:rsid w:val="00D415E1"/>
    <w:rsid w:val="00D41736"/>
    <w:rsid w:val="00D42BEB"/>
    <w:rsid w:val="00D43437"/>
    <w:rsid w:val="00D43659"/>
    <w:rsid w:val="00D43C71"/>
    <w:rsid w:val="00D45021"/>
    <w:rsid w:val="00D50C1F"/>
    <w:rsid w:val="00D50D2D"/>
    <w:rsid w:val="00D535D4"/>
    <w:rsid w:val="00D53965"/>
    <w:rsid w:val="00D53C55"/>
    <w:rsid w:val="00D53E3A"/>
    <w:rsid w:val="00D53FE9"/>
    <w:rsid w:val="00D540BA"/>
    <w:rsid w:val="00D544A5"/>
    <w:rsid w:val="00D552BC"/>
    <w:rsid w:val="00D55552"/>
    <w:rsid w:val="00D56AC7"/>
    <w:rsid w:val="00D56F0F"/>
    <w:rsid w:val="00D5759C"/>
    <w:rsid w:val="00D57A82"/>
    <w:rsid w:val="00D57E06"/>
    <w:rsid w:val="00D60E63"/>
    <w:rsid w:val="00D61B87"/>
    <w:rsid w:val="00D61DD5"/>
    <w:rsid w:val="00D62138"/>
    <w:rsid w:val="00D6336D"/>
    <w:rsid w:val="00D63ECF"/>
    <w:rsid w:val="00D64CFA"/>
    <w:rsid w:val="00D64FA8"/>
    <w:rsid w:val="00D659AF"/>
    <w:rsid w:val="00D65CAD"/>
    <w:rsid w:val="00D66320"/>
    <w:rsid w:val="00D66777"/>
    <w:rsid w:val="00D66821"/>
    <w:rsid w:val="00D66CA8"/>
    <w:rsid w:val="00D67EC4"/>
    <w:rsid w:val="00D7195D"/>
    <w:rsid w:val="00D71D50"/>
    <w:rsid w:val="00D72FA8"/>
    <w:rsid w:val="00D736CC"/>
    <w:rsid w:val="00D75A5D"/>
    <w:rsid w:val="00D77767"/>
    <w:rsid w:val="00D77800"/>
    <w:rsid w:val="00D80180"/>
    <w:rsid w:val="00D8031C"/>
    <w:rsid w:val="00D80D09"/>
    <w:rsid w:val="00D80E97"/>
    <w:rsid w:val="00D80F1C"/>
    <w:rsid w:val="00D81BA8"/>
    <w:rsid w:val="00D825CC"/>
    <w:rsid w:val="00D830EE"/>
    <w:rsid w:val="00D836E2"/>
    <w:rsid w:val="00D86811"/>
    <w:rsid w:val="00D86B07"/>
    <w:rsid w:val="00D87078"/>
    <w:rsid w:val="00D87BDB"/>
    <w:rsid w:val="00D914A7"/>
    <w:rsid w:val="00D918AD"/>
    <w:rsid w:val="00D91B19"/>
    <w:rsid w:val="00D92F16"/>
    <w:rsid w:val="00D94D56"/>
    <w:rsid w:val="00D9512F"/>
    <w:rsid w:val="00D952CA"/>
    <w:rsid w:val="00D95964"/>
    <w:rsid w:val="00D95CA6"/>
    <w:rsid w:val="00D9672D"/>
    <w:rsid w:val="00D97BAE"/>
    <w:rsid w:val="00DA00FF"/>
    <w:rsid w:val="00DA01F8"/>
    <w:rsid w:val="00DA0811"/>
    <w:rsid w:val="00DA093D"/>
    <w:rsid w:val="00DA1831"/>
    <w:rsid w:val="00DA3331"/>
    <w:rsid w:val="00DA48B1"/>
    <w:rsid w:val="00DA48F3"/>
    <w:rsid w:val="00DA621E"/>
    <w:rsid w:val="00DA65D7"/>
    <w:rsid w:val="00DA67C0"/>
    <w:rsid w:val="00DA75BD"/>
    <w:rsid w:val="00DB0B8D"/>
    <w:rsid w:val="00DB176A"/>
    <w:rsid w:val="00DB25FC"/>
    <w:rsid w:val="00DB3111"/>
    <w:rsid w:val="00DB39DC"/>
    <w:rsid w:val="00DB4D15"/>
    <w:rsid w:val="00DB4D5B"/>
    <w:rsid w:val="00DB5C43"/>
    <w:rsid w:val="00DB60F6"/>
    <w:rsid w:val="00DB656E"/>
    <w:rsid w:val="00DB66BE"/>
    <w:rsid w:val="00DB6862"/>
    <w:rsid w:val="00DB730A"/>
    <w:rsid w:val="00DB75C6"/>
    <w:rsid w:val="00DB7BE4"/>
    <w:rsid w:val="00DB7C99"/>
    <w:rsid w:val="00DB7F46"/>
    <w:rsid w:val="00DC12C0"/>
    <w:rsid w:val="00DC1AF0"/>
    <w:rsid w:val="00DC2804"/>
    <w:rsid w:val="00DC3E99"/>
    <w:rsid w:val="00DC45D0"/>
    <w:rsid w:val="00DC467D"/>
    <w:rsid w:val="00DC5C16"/>
    <w:rsid w:val="00DC75AD"/>
    <w:rsid w:val="00DC7740"/>
    <w:rsid w:val="00DD1423"/>
    <w:rsid w:val="00DD178B"/>
    <w:rsid w:val="00DD21AB"/>
    <w:rsid w:val="00DD25D3"/>
    <w:rsid w:val="00DD32CC"/>
    <w:rsid w:val="00DD353A"/>
    <w:rsid w:val="00DD3A9D"/>
    <w:rsid w:val="00DD4EA9"/>
    <w:rsid w:val="00DD5F68"/>
    <w:rsid w:val="00DD6DC9"/>
    <w:rsid w:val="00DD7D75"/>
    <w:rsid w:val="00DE0E7D"/>
    <w:rsid w:val="00DE1A24"/>
    <w:rsid w:val="00DE2E36"/>
    <w:rsid w:val="00DE306C"/>
    <w:rsid w:val="00DE4A3C"/>
    <w:rsid w:val="00DE50E1"/>
    <w:rsid w:val="00DE654E"/>
    <w:rsid w:val="00DF0C56"/>
    <w:rsid w:val="00DF0D78"/>
    <w:rsid w:val="00DF15FB"/>
    <w:rsid w:val="00DF189C"/>
    <w:rsid w:val="00DF1A40"/>
    <w:rsid w:val="00DF1ED8"/>
    <w:rsid w:val="00DF27E4"/>
    <w:rsid w:val="00DF2BDD"/>
    <w:rsid w:val="00DF3144"/>
    <w:rsid w:val="00DF6192"/>
    <w:rsid w:val="00DF76D9"/>
    <w:rsid w:val="00DF7AD2"/>
    <w:rsid w:val="00DF7C86"/>
    <w:rsid w:val="00E00E53"/>
    <w:rsid w:val="00E01B56"/>
    <w:rsid w:val="00E02232"/>
    <w:rsid w:val="00E0306F"/>
    <w:rsid w:val="00E03165"/>
    <w:rsid w:val="00E04BF5"/>
    <w:rsid w:val="00E04E8F"/>
    <w:rsid w:val="00E05D7C"/>
    <w:rsid w:val="00E05FB0"/>
    <w:rsid w:val="00E06900"/>
    <w:rsid w:val="00E06E19"/>
    <w:rsid w:val="00E07445"/>
    <w:rsid w:val="00E07C7C"/>
    <w:rsid w:val="00E110C8"/>
    <w:rsid w:val="00E1334D"/>
    <w:rsid w:val="00E14015"/>
    <w:rsid w:val="00E14B07"/>
    <w:rsid w:val="00E159D6"/>
    <w:rsid w:val="00E15CDC"/>
    <w:rsid w:val="00E15FBD"/>
    <w:rsid w:val="00E161DF"/>
    <w:rsid w:val="00E16788"/>
    <w:rsid w:val="00E168D1"/>
    <w:rsid w:val="00E17639"/>
    <w:rsid w:val="00E20B99"/>
    <w:rsid w:val="00E21846"/>
    <w:rsid w:val="00E21EFA"/>
    <w:rsid w:val="00E22911"/>
    <w:rsid w:val="00E240AE"/>
    <w:rsid w:val="00E24BAE"/>
    <w:rsid w:val="00E25054"/>
    <w:rsid w:val="00E25785"/>
    <w:rsid w:val="00E26087"/>
    <w:rsid w:val="00E2730C"/>
    <w:rsid w:val="00E2746F"/>
    <w:rsid w:val="00E276F9"/>
    <w:rsid w:val="00E27B27"/>
    <w:rsid w:val="00E3037B"/>
    <w:rsid w:val="00E3089B"/>
    <w:rsid w:val="00E30CA1"/>
    <w:rsid w:val="00E31674"/>
    <w:rsid w:val="00E318BD"/>
    <w:rsid w:val="00E31DA3"/>
    <w:rsid w:val="00E3203D"/>
    <w:rsid w:val="00E32F0C"/>
    <w:rsid w:val="00E34012"/>
    <w:rsid w:val="00E350B4"/>
    <w:rsid w:val="00E3706A"/>
    <w:rsid w:val="00E400D1"/>
    <w:rsid w:val="00E43B72"/>
    <w:rsid w:val="00E43F25"/>
    <w:rsid w:val="00E445B1"/>
    <w:rsid w:val="00E45293"/>
    <w:rsid w:val="00E45A7E"/>
    <w:rsid w:val="00E4660E"/>
    <w:rsid w:val="00E46B3F"/>
    <w:rsid w:val="00E46EAA"/>
    <w:rsid w:val="00E47265"/>
    <w:rsid w:val="00E47329"/>
    <w:rsid w:val="00E50597"/>
    <w:rsid w:val="00E50F89"/>
    <w:rsid w:val="00E537B6"/>
    <w:rsid w:val="00E541A5"/>
    <w:rsid w:val="00E5460D"/>
    <w:rsid w:val="00E54DE9"/>
    <w:rsid w:val="00E54FD5"/>
    <w:rsid w:val="00E552E6"/>
    <w:rsid w:val="00E55DCE"/>
    <w:rsid w:val="00E560F3"/>
    <w:rsid w:val="00E5754D"/>
    <w:rsid w:val="00E578DC"/>
    <w:rsid w:val="00E60515"/>
    <w:rsid w:val="00E60B4C"/>
    <w:rsid w:val="00E6192D"/>
    <w:rsid w:val="00E622A4"/>
    <w:rsid w:val="00E62A1A"/>
    <w:rsid w:val="00E636CB"/>
    <w:rsid w:val="00E63764"/>
    <w:rsid w:val="00E638CA"/>
    <w:rsid w:val="00E647B0"/>
    <w:rsid w:val="00E64B46"/>
    <w:rsid w:val="00E655CF"/>
    <w:rsid w:val="00E657E5"/>
    <w:rsid w:val="00E65A52"/>
    <w:rsid w:val="00E6622C"/>
    <w:rsid w:val="00E676A0"/>
    <w:rsid w:val="00E7013B"/>
    <w:rsid w:val="00E70172"/>
    <w:rsid w:val="00E707FA"/>
    <w:rsid w:val="00E716DA"/>
    <w:rsid w:val="00E71F2A"/>
    <w:rsid w:val="00E71F84"/>
    <w:rsid w:val="00E721CC"/>
    <w:rsid w:val="00E72B83"/>
    <w:rsid w:val="00E7300C"/>
    <w:rsid w:val="00E7400C"/>
    <w:rsid w:val="00E749F1"/>
    <w:rsid w:val="00E76CB2"/>
    <w:rsid w:val="00E80213"/>
    <w:rsid w:val="00E8391A"/>
    <w:rsid w:val="00E83A9F"/>
    <w:rsid w:val="00E84251"/>
    <w:rsid w:val="00E843AA"/>
    <w:rsid w:val="00E84C3D"/>
    <w:rsid w:val="00E84DDC"/>
    <w:rsid w:val="00E84EA1"/>
    <w:rsid w:val="00E85B25"/>
    <w:rsid w:val="00E87A78"/>
    <w:rsid w:val="00E903F5"/>
    <w:rsid w:val="00E90EFE"/>
    <w:rsid w:val="00E920FF"/>
    <w:rsid w:val="00E922EF"/>
    <w:rsid w:val="00E92EFC"/>
    <w:rsid w:val="00E94B05"/>
    <w:rsid w:val="00E9568B"/>
    <w:rsid w:val="00E959C4"/>
    <w:rsid w:val="00E95B05"/>
    <w:rsid w:val="00E9736B"/>
    <w:rsid w:val="00E97DBC"/>
    <w:rsid w:val="00EA0321"/>
    <w:rsid w:val="00EA0CA2"/>
    <w:rsid w:val="00EA372E"/>
    <w:rsid w:val="00EA3E57"/>
    <w:rsid w:val="00EA446E"/>
    <w:rsid w:val="00EA4E4F"/>
    <w:rsid w:val="00EA506D"/>
    <w:rsid w:val="00EA5F63"/>
    <w:rsid w:val="00EA650F"/>
    <w:rsid w:val="00EA6686"/>
    <w:rsid w:val="00EB0CE4"/>
    <w:rsid w:val="00EB14C7"/>
    <w:rsid w:val="00EB182E"/>
    <w:rsid w:val="00EB3DAD"/>
    <w:rsid w:val="00EB4980"/>
    <w:rsid w:val="00EB57BA"/>
    <w:rsid w:val="00EB5F7B"/>
    <w:rsid w:val="00EB60C6"/>
    <w:rsid w:val="00EB6E77"/>
    <w:rsid w:val="00EB794D"/>
    <w:rsid w:val="00EC00E9"/>
    <w:rsid w:val="00EC0800"/>
    <w:rsid w:val="00EC0B10"/>
    <w:rsid w:val="00EC25C6"/>
    <w:rsid w:val="00EC27E4"/>
    <w:rsid w:val="00EC48FA"/>
    <w:rsid w:val="00EC565F"/>
    <w:rsid w:val="00EC6123"/>
    <w:rsid w:val="00EC6207"/>
    <w:rsid w:val="00EC6333"/>
    <w:rsid w:val="00EC6A88"/>
    <w:rsid w:val="00EC6CCA"/>
    <w:rsid w:val="00EC7744"/>
    <w:rsid w:val="00ED02CF"/>
    <w:rsid w:val="00ED1C32"/>
    <w:rsid w:val="00ED1FA6"/>
    <w:rsid w:val="00ED2CD2"/>
    <w:rsid w:val="00ED302F"/>
    <w:rsid w:val="00ED3D3F"/>
    <w:rsid w:val="00ED40B8"/>
    <w:rsid w:val="00ED4706"/>
    <w:rsid w:val="00ED549E"/>
    <w:rsid w:val="00ED5910"/>
    <w:rsid w:val="00ED5C11"/>
    <w:rsid w:val="00ED7D6F"/>
    <w:rsid w:val="00EE1AFC"/>
    <w:rsid w:val="00EE214C"/>
    <w:rsid w:val="00EE2302"/>
    <w:rsid w:val="00EE27A9"/>
    <w:rsid w:val="00EE2D35"/>
    <w:rsid w:val="00EE33DA"/>
    <w:rsid w:val="00EE4745"/>
    <w:rsid w:val="00EE4F88"/>
    <w:rsid w:val="00EE5063"/>
    <w:rsid w:val="00EE5C2B"/>
    <w:rsid w:val="00EE5DDB"/>
    <w:rsid w:val="00EE69AD"/>
    <w:rsid w:val="00EE7A09"/>
    <w:rsid w:val="00EE7CF3"/>
    <w:rsid w:val="00EF19D9"/>
    <w:rsid w:val="00EF2CA6"/>
    <w:rsid w:val="00EF3805"/>
    <w:rsid w:val="00EF3807"/>
    <w:rsid w:val="00EF4A25"/>
    <w:rsid w:val="00EF57AD"/>
    <w:rsid w:val="00EF5CC1"/>
    <w:rsid w:val="00EF6145"/>
    <w:rsid w:val="00EF6217"/>
    <w:rsid w:val="00EF720C"/>
    <w:rsid w:val="00EF795E"/>
    <w:rsid w:val="00F0098A"/>
    <w:rsid w:val="00F00D38"/>
    <w:rsid w:val="00F00ECD"/>
    <w:rsid w:val="00F0310A"/>
    <w:rsid w:val="00F04145"/>
    <w:rsid w:val="00F0418D"/>
    <w:rsid w:val="00F04881"/>
    <w:rsid w:val="00F04E64"/>
    <w:rsid w:val="00F06053"/>
    <w:rsid w:val="00F07D7E"/>
    <w:rsid w:val="00F102B9"/>
    <w:rsid w:val="00F1032A"/>
    <w:rsid w:val="00F108A5"/>
    <w:rsid w:val="00F10FA0"/>
    <w:rsid w:val="00F1183C"/>
    <w:rsid w:val="00F11F42"/>
    <w:rsid w:val="00F120C8"/>
    <w:rsid w:val="00F12ADC"/>
    <w:rsid w:val="00F12B2B"/>
    <w:rsid w:val="00F12C3F"/>
    <w:rsid w:val="00F13079"/>
    <w:rsid w:val="00F1347E"/>
    <w:rsid w:val="00F13619"/>
    <w:rsid w:val="00F13E03"/>
    <w:rsid w:val="00F14C17"/>
    <w:rsid w:val="00F16082"/>
    <w:rsid w:val="00F16BDB"/>
    <w:rsid w:val="00F16C23"/>
    <w:rsid w:val="00F1732B"/>
    <w:rsid w:val="00F17F09"/>
    <w:rsid w:val="00F20331"/>
    <w:rsid w:val="00F21930"/>
    <w:rsid w:val="00F21934"/>
    <w:rsid w:val="00F2228F"/>
    <w:rsid w:val="00F22341"/>
    <w:rsid w:val="00F231C8"/>
    <w:rsid w:val="00F2326D"/>
    <w:rsid w:val="00F23290"/>
    <w:rsid w:val="00F23ECD"/>
    <w:rsid w:val="00F24535"/>
    <w:rsid w:val="00F250B5"/>
    <w:rsid w:val="00F256C9"/>
    <w:rsid w:val="00F2678B"/>
    <w:rsid w:val="00F278CF"/>
    <w:rsid w:val="00F27D79"/>
    <w:rsid w:val="00F31FA5"/>
    <w:rsid w:val="00F3242A"/>
    <w:rsid w:val="00F325EC"/>
    <w:rsid w:val="00F32DEC"/>
    <w:rsid w:val="00F32F2F"/>
    <w:rsid w:val="00F33ACF"/>
    <w:rsid w:val="00F33D03"/>
    <w:rsid w:val="00F34141"/>
    <w:rsid w:val="00F342BF"/>
    <w:rsid w:val="00F34E97"/>
    <w:rsid w:val="00F35219"/>
    <w:rsid w:val="00F36247"/>
    <w:rsid w:val="00F366AE"/>
    <w:rsid w:val="00F36FD9"/>
    <w:rsid w:val="00F43007"/>
    <w:rsid w:val="00F43866"/>
    <w:rsid w:val="00F438A7"/>
    <w:rsid w:val="00F43A0E"/>
    <w:rsid w:val="00F43A67"/>
    <w:rsid w:val="00F44646"/>
    <w:rsid w:val="00F44C31"/>
    <w:rsid w:val="00F45EB5"/>
    <w:rsid w:val="00F47740"/>
    <w:rsid w:val="00F47936"/>
    <w:rsid w:val="00F4796B"/>
    <w:rsid w:val="00F51543"/>
    <w:rsid w:val="00F523F2"/>
    <w:rsid w:val="00F5338E"/>
    <w:rsid w:val="00F54568"/>
    <w:rsid w:val="00F54DC7"/>
    <w:rsid w:val="00F54F99"/>
    <w:rsid w:val="00F56065"/>
    <w:rsid w:val="00F56B3B"/>
    <w:rsid w:val="00F57710"/>
    <w:rsid w:val="00F610CE"/>
    <w:rsid w:val="00F61654"/>
    <w:rsid w:val="00F6189F"/>
    <w:rsid w:val="00F6228C"/>
    <w:rsid w:val="00F624CD"/>
    <w:rsid w:val="00F645B9"/>
    <w:rsid w:val="00F64D3E"/>
    <w:rsid w:val="00F65658"/>
    <w:rsid w:val="00F664FF"/>
    <w:rsid w:val="00F67234"/>
    <w:rsid w:val="00F678B6"/>
    <w:rsid w:val="00F7091B"/>
    <w:rsid w:val="00F71070"/>
    <w:rsid w:val="00F714F2"/>
    <w:rsid w:val="00F71E9E"/>
    <w:rsid w:val="00F7256B"/>
    <w:rsid w:val="00F7338C"/>
    <w:rsid w:val="00F74A63"/>
    <w:rsid w:val="00F74F1C"/>
    <w:rsid w:val="00F75357"/>
    <w:rsid w:val="00F7541D"/>
    <w:rsid w:val="00F75D4E"/>
    <w:rsid w:val="00F765B0"/>
    <w:rsid w:val="00F76B6A"/>
    <w:rsid w:val="00F76C8B"/>
    <w:rsid w:val="00F80564"/>
    <w:rsid w:val="00F80FEC"/>
    <w:rsid w:val="00F814FF"/>
    <w:rsid w:val="00F823BE"/>
    <w:rsid w:val="00F82758"/>
    <w:rsid w:val="00F82B99"/>
    <w:rsid w:val="00F841A7"/>
    <w:rsid w:val="00F846C4"/>
    <w:rsid w:val="00F84CAA"/>
    <w:rsid w:val="00F855E1"/>
    <w:rsid w:val="00F86C21"/>
    <w:rsid w:val="00F86F13"/>
    <w:rsid w:val="00F8703C"/>
    <w:rsid w:val="00F872C7"/>
    <w:rsid w:val="00F9037B"/>
    <w:rsid w:val="00F9062A"/>
    <w:rsid w:val="00F90799"/>
    <w:rsid w:val="00F90C6F"/>
    <w:rsid w:val="00F93447"/>
    <w:rsid w:val="00F934AD"/>
    <w:rsid w:val="00F93C5C"/>
    <w:rsid w:val="00F9461E"/>
    <w:rsid w:val="00F9541A"/>
    <w:rsid w:val="00F957D0"/>
    <w:rsid w:val="00F96169"/>
    <w:rsid w:val="00F963DA"/>
    <w:rsid w:val="00F96403"/>
    <w:rsid w:val="00F96C09"/>
    <w:rsid w:val="00F97392"/>
    <w:rsid w:val="00FA05F2"/>
    <w:rsid w:val="00FA0C16"/>
    <w:rsid w:val="00FA1B6E"/>
    <w:rsid w:val="00FA1C44"/>
    <w:rsid w:val="00FA1C69"/>
    <w:rsid w:val="00FA2009"/>
    <w:rsid w:val="00FA3185"/>
    <w:rsid w:val="00FA33C9"/>
    <w:rsid w:val="00FA3550"/>
    <w:rsid w:val="00FA3EDF"/>
    <w:rsid w:val="00FA3F69"/>
    <w:rsid w:val="00FA4843"/>
    <w:rsid w:val="00FA5A87"/>
    <w:rsid w:val="00FA75EC"/>
    <w:rsid w:val="00FA7673"/>
    <w:rsid w:val="00FA7FBC"/>
    <w:rsid w:val="00FB10B9"/>
    <w:rsid w:val="00FB1127"/>
    <w:rsid w:val="00FB1175"/>
    <w:rsid w:val="00FB28A7"/>
    <w:rsid w:val="00FB3670"/>
    <w:rsid w:val="00FB4569"/>
    <w:rsid w:val="00FB4CD7"/>
    <w:rsid w:val="00FB530A"/>
    <w:rsid w:val="00FB5649"/>
    <w:rsid w:val="00FC0292"/>
    <w:rsid w:val="00FC0A07"/>
    <w:rsid w:val="00FC0DE3"/>
    <w:rsid w:val="00FC1B95"/>
    <w:rsid w:val="00FC21A1"/>
    <w:rsid w:val="00FC2533"/>
    <w:rsid w:val="00FC2CF5"/>
    <w:rsid w:val="00FC38D2"/>
    <w:rsid w:val="00FC3C87"/>
    <w:rsid w:val="00FC623D"/>
    <w:rsid w:val="00FC6C5A"/>
    <w:rsid w:val="00FC72E8"/>
    <w:rsid w:val="00FC7A6A"/>
    <w:rsid w:val="00FD0659"/>
    <w:rsid w:val="00FD0858"/>
    <w:rsid w:val="00FD1125"/>
    <w:rsid w:val="00FD1A22"/>
    <w:rsid w:val="00FD1EF2"/>
    <w:rsid w:val="00FD2545"/>
    <w:rsid w:val="00FD37D6"/>
    <w:rsid w:val="00FD42F6"/>
    <w:rsid w:val="00FD4466"/>
    <w:rsid w:val="00FD4860"/>
    <w:rsid w:val="00FD4C42"/>
    <w:rsid w:val="00FD718F"/>
    <w:rsid w:val="00FD777D"/>
    <w:rsid w:val="00FE04E9"/>
    <w:rsid w:val="00FE0E6A"/>
    <w:rsid w:val="00FE0EBE"/>
    <w:rsid w:val="00FE0FA9"/>
    <w:rsid w:val="00FE1D43"/>
    <w:rsid w:val="00FE1D5F"/>
    <w:rsid w:val="00FE2502"/>
    <w:rsid w:val="00FE2E64"/>
    <w:rsid w:val="00FE3637"/>
    <w:rsid w:val="00FE3DAD"/>
    <w:rsid w:val="00FE3E5C"/>
    <w:rsid w:val="00FE4C26"/>
    <w:rsid w:val="00FE4F94"/>
    <w:rsid w:val="00FE55E7"/>
    <w:rsid w:val="00FE5638"/>
    <w:rsid w:val="00FE59AA"/>
    <w:rsid w:val="00FE612C"/>
    <w:rsid w:val="00FE641F"/>
    <w:rsid w:val="00FE6B8F"/>
    <w:rsid w:val="00FE7747"/>
    <w:rsid w:val="00FE7DED"/>
    <w:rsid w:val="00FE7F59"/>
    <w:rsid w:val="00FF0E2D"/>
    <w:rsid w:val="00FF1153"/>
    <w:rsid w:val="00FF2BB9"/>
    <w:rsid w:val="00FF2DFE"/>
    <w:rsid w:val="00FF3029"/>
    <w:rsid w:val="00FF3921"/>
    <w:rsid w:val="00FF3B6D"/>
    <w:rsid w:val="00FF4426"/>
    <w:rsid w:val="00FF5790"/>
    <w:rsid w:val="00FF587F"/>
    <w:rsid w:val="00FF5C32"/>
    <w:rsid w:val="00FF5ECF"/>
    <w:rsid w:val="00FF60A2"/>
    <w:rsid w:val="00FF6345"/>
    <w:rsid w:val="00FF694C"/>
    <w:rsid w:val="00FF6D28"/>
    <w:rsid w:val="00FF70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B8D39"/>
  <w15:chartTrackingRefBased/>
  <w15:docId w15:val="{D02EA4CE-C806-46FD-B1D5-052E72258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5AB3"/>
    <w:rPr>
      <w:rFonts w:ascii="Ping LCG" w:hAnsi="Ping LCG" w:cs="Times New Roman (Body CS)"/>
    </w:rPr>
  </w:style>
  <w:style w:type="paragraph" w:styleId="1">
    <w:name w:val="heading 1"/>
    <w:basedOn w:val="a"/>
    <w:next w:val="a"/>
    <w:link w:val="1Char"/>
    <w:autoRedefine/>
    <w:uiPriority w:val="9"/>
    <w:qFormat/>
    <w:rsid w:val="000E10BE"/>
    <w:pPr>
      <w:keepNext/>
      <w:keepLines/>
      <w:spacing w:before="240"/>
      <w:outlineLvl w:val="0"/>
    </w:pPr>
    <w:rPr>
      <w:rFonts w:eastAsiaTheme="majorEastAsia" w:cstheme="majorBidi"/>
      <w:color w:val="2F5496" w:themeColor="accent1" w:themeShade="BF"/>
      <w:sz w:val="32"/>
      <w:szCs w:val="32"/>
    </w:rPr>
  </w:style>
  <w:style w:type="paragraph" w:styleId="2">
    <w:name w:val="heading 2"/>
    <w:basedOn w:val="a"/>
    <w:next w:val="a"/>
    <w:link w:val="2Char"/>
    <w:uiPriority w:val="9"/>
    <w:unhideWhenUsed/>
    <w:qFormat/>
    <w:rsid w:val="000E10BE"/>
    <w:pPr>
      <w:keepNext/>
      <w:keepLines/>
      <w:spacing w:before="40"/>
      <w:outlineLvl w:val="1"/>
    </w:pPr>
    <w:rPr>
      <w:rFonts w:eastAsiaTheme="majorEastAsia"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autoRedefine/>
    <w:uiPriority w:val="10"/>
    <w:qFormat/>
    <w:rsid w:val="000E10BE"/>
    <w:pPr>
      <w:contextualSpacing/>
    </w:pPr>
    <w:rPr>
      <w:rFonts w:eastAsiaTheme="majorEastAsia" w:cstheme="majorBidi"/>
      <w:spacing w:val="-10"/>
      <w:kern w:val="28"/>
      <w:sz w:val="56"/>
      <w:szCs w:val="56"/>
    </w:rPr>
  </w:style>
  <w:style w:type="character" w:customStyle="1" w:styleId="Char">
    <w:name w:val="Τίτλος Char"/>
    <w:basedOn w:val="a0"/>
    <w:link w:val="a3"/>
    <w:uiPriority w:val="10"/>
    <w:rsid w:val="000E10BE"/>
    <w:rPr>
      <w:rFonts w:ascii="Ping LCG" w:eastAsiaTheme="majorEastAsia" w:hAnsi="Ping LCG" w:cstheme="majorBidi"/>
      <w:spacing w:val="-10"/>
      <w:kern w:val="28"/>
      <w:sz w:val="56"/>
      <w:szCs w:val="56"/>
    </w:rPr>
  </w:style>
  <w:style w:type="character" w:customStyle="1" w:styleId="1Char">
    <w:name w:val="Επικεφαλίδα 1 Char"/>
    <w:basedOn w:val="a0"/>
    <w:link w:val="1"/>
    <w:uiPriority w:val="9"/>
    <w:rsid w:val="000E10BE"/>
    <w:rPr>
      <w:rFonts w:ascii="Ping LCG" w:eastAsiaTheme="majorEastAsia" w:hAnsi="Ping LCG" w:cstheme="majorBidi"/>
      <w:color w:val="2F5496" w:themeColor="accent1" w:themeShade="BF"/>
      <w:sz w:val="32"/>
      <w:szCs w:val="32"/>
    </w:rPr>
  </w:style>
  <w:style w:type="character" w:customStyle="1" w:styleId="2Char">
    <w:name w:val="Επικεφαλίδα 2 Char"/>
    <w:basedOn w:val="a0"/>
    <w:link w:val="2"/>
    <w:uiPriority w:val="9"/>
    <w:rsid w:val="000E10BE"/>
    <w:rPr>
      <w:rFonts w:ascii="Ping LCG" w:eastAsiaTheme="majorEastAsia" w:hAnsi="Ping LCG" w:cstheme="majorBidi"/>
      <w:color w:val="2F5496" w:themeColor="accent1" w:themeShade="BF"/>
      <w:sz w:val="26"/>
      <w:szCs w:val="26"/>
    </w:rPr>
  </w:style>
  <w:style w:type="paragraph" w:styleId="a4">
    <w:name w:val="Subtitle"/>
    <w:basedOn w:val="a"/>
    <w:next w:val="a"/>
    <w:link w:val="Char0"/>
    <w:autoRedefine/>
    <w:uiPriority w:val="11"/>
    <w:qFormat/>
    <w:rsid w:val="000E10BE"/>
    <w:pPr>
      <w:numPr>
        <w:ilvl w:val="1"/>
      </w:numPr>
      <w:spacing w:after="160"/>
    </w:pPr>
    <w:rPr>
      <w:rFonts w:eastAsiaTheme="minorEastAsia" w:cstheme="minorBidi"/>
      <w:color w:val="5A5A5A" w:themeColor="text1" w:themeTint="A5"/>
      <w:spacing w:val="15"/>
      <w:sz w:val="22"/>
      <w:szCs w:val="22"/>
    </w:rPr>
  </w:style>
  <w:style w:type="character" w:customStyle="1" w:styleId="Char0">
    <w:name w:val="Υπότιτλος Char"/>
    <w:basedOn w:val="a0"/>
    <w:link w:val="a4"/>
    <w:uiPriority w:val="11"/>
    <w:rsid w:val="000E10BE"/>
    <w:rPr>
      <w:rFonts w:ascii="Ping LCG" w:eastAsiaTheme="minorEastAsia" w:hAnsi="Ping LCG"/>
      <w:color w:val="5A5A5A" w:themeColor="text1" w:themeTint="A5"/>
      <w:spacing w:val="15"/>
      <w:sz w:val="22"/>
      <w:szCs w:val="22"/>
    </w:rPr>
  </w:style>
  <w:style w:type="character" w:styleId="a5">
    <w:name w:val="Subtle Emphasis"/>
    <w:basedOn w:val="a0"/>
    <w:uiPriority w:val="19"/>
    <w:qFormat/>
    <w:rsid w:val="000E10BE"/>
    <w:rPr>
      <w:rFonts w:ascii="Ping LCG" w:hAnsi="Ping LCG"/>
      <w:i/>
      <w:iCs/>
      <w:color w:val="404040" w:themeColor="text1" w:themeTint="BF"/>
    </w:rPr>
  </w:style>
  <w:style w:type="character" w:styleId="a6">
    <w:name w:val="Book Title"/>
    <w:basedOn w:val="a0"/>
    <w:uiPriority w:val="33"/>
    <w:qFormat/>
    <w:rsid w:val="000E10BE"/>
    <w:rPr>
      <w:rFonts w:ascii="Ping LCG" w:hAnsi="Ping LCG"/>
      <w:b/>
      <w:bCs/>
      <w:i/>
      <w:iCs/>
      <w:spacing w:val="5"/>
    </w:rPr>
  </w:style>
  <w:style w:type="character" w:styleId="a7">
    <w:name w:val="Intense Reference"/>
    <w:basedOn w:val="a0"/>
    <w:uiPriority w:val="32"/>
    <w:qFormat/>
    <w:rsid w:val="000E10BE"/>
    <w:rPr>
      <w:rFonts w:ascii="Ping LCG" w:hAnsi="Ping LCG"/>
      <w:b/>
      <w:bCs/>
      <w:smallCaps/>
      <w:color w:val="4472C4" w:themeColor="accent1"/>
      <w:spacing w:val="5"/>
    </w:rPr>
  </w:style>
  <w:style w:type="character" w:styleId="a8">
    <w:name w:val="Subtle Reference"/>
    <w:basedOn w:val="a0"/>
    <w:uiPriority w:val="31"/>
    <w:qFormat/>
    <w:rsid w:val="000E10BE"/>
    <w:rPr>
      <w:rFonts w:ascii="Ping LCG" w:hAnsi="Ping LCG"/>
      <w:smallCaps/>
      <w:color w:val="5A5A5A" w:themeColor="text1" w:themeTint="A5"/>
    </w:rPr>
  </w:style>
  <w:style w:type="character" w:styleId="a9">
    <w:name w:val="Strong"/>
    <w:basedOn w:val="a0"/>
    <w:uiPriority w:val="22"/>
    <w:qFormat/>
    <w:rsid w:val="000E10BE"/>
    <w:rPr>
      <w:rFonts w:ascii="Ping LCG" w:hAnsi="Ping LCG"/>
      <w:b/>
      <w:bCs/>
    </w:rPr>
  </w:style>
  <w:style w:type="paragraph" w:styleId="aa">
    <w:name w:val="Quote"/>
    <w:basedOn w:val="a"/>
    <w:next w:val="a"/>
    <w:link w:val="Char1"/>
    <w:uiPriority w:val="29"/>
    <w:qFormat/>
    <w:rsid w:val="000E10BE"/>
    <w:pPr>
      <w:spacing w:before="200" w:after="160"/>
      <w:ind w:left="864" w:right="864"/>
      <w:jc w:val="center"/>
    </w:pPr>
    <w:rPr>
      <w:i/>
      <w:iCs/>
      <w:color w:val="404040" w:themeColor="text1" w:themeTint="BF"/>
    </w:rPr>
  </w:style>
  <w:style w:type="character" w:customStyle="1" w:styleId="Char1">
    <w:name w:val="Απόσπασμα Char"/>
    <w:basedOn w:val="a0"/>
    <w:link w:val="aa"/>
    <w:uiPriority w:val="29"/>
    <w:rsid w:val="000E10BE"/>
    <w:rPr>
      <w:rFonts w:ascii="Ping LCG" w:hAnsi="Ping LCG" w:cs="Times New Roman (Body CS)"/>
      <w:i/>
      <w:iCs/>
      <w:color w:val="404040" w:themeColor="text1" w:themeTint="BF"/>
    </w:rPr>
  </w:style>
  <w:style w:type="paragraph" w:styleId="ab">
    <w:name w:val="Intense Quote"/>
    <w:basedOn w:val="a"/>
    <w:next w:val="a"/>
    <w:link w:val="Char2"/>
    <w:uiPriority w:val="30"/>
    <w:qFormat/>
    <w:rsid w:val="000E10B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2">
    <w:name w:val="Έντονο απόσπ. Char"/>
    <w:basedOn w:val="a0"/>
    <w:link w:val="ab"/>
    <w:uiPriority w:val="30"/>
    <w:rsid w:val="000E10BE"/>
    <w:rPr>
      <w:rFonts w:ascii="Ping LCG" w:hAnsi="Ping LCG" w:cs="Times New Roman (Body CS)"/>
      <w:i/>
      <w:iCs/>
      <w:color w:val="4472C4" w:themeColor="accent1"/>
    </w:rPr>
  </w:style>
  <w:style w:type="character" w:styleId="ac">
    <w:name w:val="Emphasis"/>
    <w:basedOn w:val="a0"/>
    <w:uiPriority w:val="20"/>
    <w:qFormat/>
    <w:rsid w:val="000E10BE"/>
    <w:rPr>
      <w:rFonts w:ascii="Ping LCG" w:hAnsi="Ping LCG"/>
      <w:i/>
      <w:iCs/>
    </w:rPr>
  </w:style>
  <w:style w:type="character" w:styleId="ad">
    <w:name w:val="Intense Emphasis"/>
    <w:basedOn w:val="a0"/>
    <w:uiPriority w:val="21"/>
    <w:qFormat/>
    <w:rsid w:val="000E10BE"/>
    <w:rPr>
      <w:rFonts w:ascii="Ping LCG" w:hAnsi="Ping LCG"/>
      <w:i/>
      <w:iCs/>
      <w:color w:val="4472C4" w:themeColor="accent1"/>
    </w:rPr>
  </w:style>
  <w:style w:type="paragraph" w:styleId="ae">
    <w:name w:val="header"/>
    <w:basedOn w:val="a"/>
    <w:link w:val="Char3"/>
    <w:uiPriority w:val="99"/>
    <w:unhideWhenUsed/>
    <w:rsid w:val="000E10BE"/>
    <w:pPr>
      <w:tabs>
        <w:tab w:val="center" w:pos="4680"/>
        <w:tab w:val="right" w:pos="9360"/>
      </w:tabs>
    </w:pPr>
  </w:style>
  <w:style w:type="character" w:customStyle="1" w:styleId="Char3">
    <w:name w:val="Κεφαλίδα Char"/>
    <w:basedOn w:val="a0"/>
    <w:link w:val="ae"/>
    <w:uiPriority w:val="99"/>
    <w:rsid w:val="000E10BE"/>
    <w:rPr>
      <w:rFonts w:ascii="Ping LCG" w:hAnsi="Ping LCG" w:cs="Times New Roman (Body CS)"/>
    </w:rPr>
  </w:style>
  <w:style w:type="paragraph" w:styleId="af">
    <w:name w:val="footer"/>
    <w:basedOn w:val="a"/>
    <w:link w:val="Char4"/>
    <w:uiPriority w:val="99"/>
    <w:unhideWhenUsed/>
    <w:rsid w:val="000E10BE"/>
    <w:pPr>
      <w:tabs>
        <w:tab w:val="center" w:pos="4680"/>
        <w:tab w:val="right" w:pos="9360"/>
      </w:tabs>
    </w:pPr>
  </w:style>
  <w:style w:type="character" w:customStyle="1" w:styleId="Char4">
    <w:name w:val="Υποσέλιδο Char"/>
    <w:basedOn w:val="a0"/>
    <w:link w:val="af"/>
    <w:uiPriority w:val="99"/>
    <w:rsid w:val="000E10BE"/>
    <w:rPr>
      <w:rFonts w:ascii="Ping LCG" w:hAnsi="Ping LCG" w:cs="Times New Roman (Body CS)"/>
    </w:rPr>
  </w:style>
  <w:style w:type="table" w:styleId="af0">
    <w:name w:val="Table Grid"/>
    <w:basedOn w:val="a1"/>
    <w:uiPriority w:val="39"/>
    <w:rsid w:val="00BB4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A249A6"/>
    <w:pPr>
      <w:ind w:left="720"/>
      <w:contextualSpacing/>
    </w:pPr>
    <w:rPr>
      <w:rFonts w:ascii="Times New Roman" w:eastAsia="Times New Roman" w:hAnsi="Times New Roman" w:cs="Times New Roman"/>
      <w:lang w:val="el-GR" w:eastAsia="el-GR"/>
    </w:rPr>
  </w:style>
  <w:style w:type="paragraph" w:customStyle="1" w:styleId="Default">
    <w:name w:val="Default"/>
    <w:rsid w:val="00A249A6"/>
    <w:pPr>
      <w:autoSpaceDE w:val="0"/>
      <w:autoSpaceDN w:val="0"/>
      <w:adjustRightInd w:val="0"/>
    </w:pPr>
    <w:rPr>
      <w:rFonts w:ascii="Calibri" w:hAnsi="Calibri" w:cs="Calibri"/>
      <w:color w:val="000000"/>
      <w:lang w:val="el-GR"/>
    </w:rPr>
  </w:style>
  <w:style w:type="character" w:styleId="-">
    <w:name w:val="Hyperlink"/>
    <w:basedOn w:val="a0"/>
    <w:uiPriority w:val="99"/>
    <w:unhideWhenUsed/>
    <w:rsid w:val="00A249A6"/>
    <w:rPr>
      <w:color w:val="0563C1" w:themeColor="hyperlink"/>
      <w:u w:val="single"/>
    </w:rPr>
  </w:style>
  <w:style w:type="character" w:styleId="af2">
    <w:name w:val="Unresolved Mention"/>
    <w:basedOn w:val="a0"/>
    <w:uiPriority w:val="99"/>
    <w:semiHidden/>
    <w:unhideWhenUsed/>
    <w:rsid w:val="00A249A6"/>
    <w:rPr>
      <w:color w:val="605E5C"/>
      <w:shd w:val="clear" w:color="auto" w:fill="E1DFDD"/>
    </w:rPr>
  </w:style>
  <w:style w:type="paragraph" w:styleId="af3">
    <w:name w:val="Balloon Text"/>
    <w:basedOn w:val="a"/>
    <w:link w:val="Char5"/>
    <w:uiPriority w:val="99"/>
    <w:semiHidden/>
    <w:unhideWhenUsed/>
    <w:rsid w:val="00173777"/>
    <w:rPr>
      <w:rFonts w:ascii="Segoe UI" w:hAnsi="Segoe UI" w:cs="Segoe UI"/>
      <w:sz w:val="18"/>
      <w:szCs w:val="18"/>
    </w:rPr>
  </w:style>
  <w:style w:type="character" w:customStyle="1" w:styleId="Char5">
    <w:name w:val="Κείμενο πλαισίου Char"/>
    <w:basedOn w:val="a0"/>
    <w:link w:val="af3"/>
    <w:uiPriority w:val="99"/>
    <w:semiHidden/>
    <w:rsid w:val="00173777"/>
    <w:rPr>
      <w:rFonts w:ascii="Segoe UI" w:hAnsi="Segoe UI" w:cs="Segoe UI"/>
      <w:sz w:val="18"/>
      <w:szCs w:val="18"/>
    </w:rPr>
  </w:style>
  <w:style w:type="character" w:styleId="af4">
    <w:name w:val="annotation reference"/>
    <w:basedOn w:val="a0"/>
    <w:uiPriority w:val="99"/>
    <w:semiHidden/>
    <w:unhideWhenUsed/>
    <w:rsid w:val="002F17FD"/>
    <w:rPr>
      <w:sz w:val="16"/>
      <w:szCs w:val="16"/>
    </w:rPr>
  </w:style>
  <w:style w:type="paragraph" w:styleId="af5">
    <w:name w:val="annotation text"/>
    <w:basedOn w:val="a"/>
    <w:link w:val="Char6"/>
    <w:uiPriority w:val="99"/>
    <w:semiHidden/>
    <w:unhideWhenUsed/>
    <w:rsid w:val="002F17FD"/>
    <w:rPr>
      <w:sz w:val="20"/>
      <w:szCs w:val="20"/>
    </w:rPr>
  </w:style>
  <w:style w:type="character" w:customStyle="1" w:styleId="Char6">
    <w:name w:val="Κείμενο σχολίου Char"/>
    <w:basedOn w:val="a0"/>
    <w:link w:val="af5"/>
    <w:uiPriority w:val="99"/>
    <w:semiHidden/>
    <w:rsid w:val="002F17FD"/>
    <w:rPr>
      <w:rFonts w:ascii="Ping LCG" w:hAnsi="Ping LCG" w:cs="Times New Roman (Body CS)"/>
      <w:sz w:val="20"/>
      <w:szCs w:val="20"/>
    </w:rPr>
  </w:style>
  <w:style w:type="paragraph" w:styleId="af6">
    <w:name w:val="annotation subject"/>
    <w:basedOn w:val="af5"/>
    <w:next w:val="af5"/>
    <w:link w:val="Char7"/>
    <w:uiPriority w:val="99"/>
    <w:semiHidden/>
    <w:unhideWhenUsed/>
    <w:rsid w:val="002F17FD"/>
    <w:rPr>
      <w:b/>
      <w:bCs/>
    </w:rPr>
  </w:style>
  <w:style w:type="character" w:customStyle="1" w:styleId="Char7">
    <w:name w:val="Θέμα σχολίου Char"/>
    <w:basedOn w:val="Char6"/>
    <w:link w:val="af6"/>
    <w:uiPriority w:val="99"/>
    <w:semiHidden/>
    <w:rsid w:val="002F17FD"/>
    <w:rPr>
      <w:rFonts w:ascii="Ping LCG" w:hAnsi="Ping LCG" w:cs="Times New Roman (Body CS)"/>
      <w:b/>
      <w:bCs/>
      <w:sz w:val="20"/>
      <w:szCs w:val="20"/>
    </w:rPr>
  </w:style>
  <w:style w:type="paragraph" w:styleId="af7">
    <w:name w:val="Revision"/>
    <w:hidden/>
    <w:uiPriority w:val="99"/>
    <w:semiHidden/>
    <w:rsid w:val="002F17FD"/>
    <w:rPr>
      <w:rFonts w:ascii="Ping LCG" w:hAnsi="Ping LCG" w:cs="Times New Roman (Body CS)"/>
    </w:rPr>
  </w:style>
  <w:style w:type="paragraph" w:styleId="af8">
    <w:name w:val="footnote text"/>
    <w:basedOn w:val="a"/>
    <w:link w:val="Char8"/>
    <w:uiPriority w:val="99"/>
    <w:semiHidden/>
    <w:unhideWhenUsed/>
    <w:rsid w:val="00FE7DED"/>
    <w:rPr>
      <w:sz w:val="20"/>
      <w:szCs w:val="20"/>
    </w:rPr>
  </w:style>
  <w:style w:type="character" w:customStyle="1" w:styleId="Char8">
    <w:name w:val="Κείμενο υποσημείωσης Char"/>
    <w:basedOn w:val="a0"/>
    <w:link w:val="af8"/>
    <w:uiPriority w:val="99"/>
    <w:semiHidden/>
    <w:rsid w:val="00FE7DED"/>
    <w:rPr>
      <w:rFonts w:ascii="Ping LCG" w:hAnsi="Ping LCG" w:cs="Times New Roman (Body CS)"/>
      <w:sz w:val="20"/>
      <w:szCs w:val="20"/>
    </w:rPr>
  </w:style>
  <w:style w:type="character" w:styleId="af9">
    <w:name w:val="footnote reference"/>
    <w:basedOn w:val="a0"/>
    <w:uiPriority w:val="99"/>
    <w:semiHidden/>
    <w:unhideWhenUsed/>
    <w:rsid w:val="00FE7DED"/>
    <w:rPr>
      <w:vertAlign w:val="superscript"/>
    </w:rPr>
  </w:style>
  <w:style w:type="paragraph" w:styleId="Web">
    <w:name w:val="Normal (Web)"/>
    <w:basedOn w:val="a"/>
    <w:uiPriority w:val="99"/>
    <w:unhideWhenUsed/>
    <w:rsid w:val="00486A4F"/>
    <w:pPr>
      <w:spacing w:before="100" w:beforeAutospacing="1" w:after="100" w:afterAutospacing="1"/>
    </w:pPr>
    <w:rPr>
      <w:rFonts w:ascii="Times New Roman" w:eastAsia="Times New Roman" w:hAnsi="Times New Roman" w:cs="Times New Roman"/>
      <w:lang w:val="el-GR" w:eastAsia="el-GR"/>
    </w:rPr>
  </w:style>
  <w:style w:type="paragraph" w:styleId="afa">
    <w:name w:val="No Spacing"/>
    <w:link w:val="Char9"/>
    <w:uiPriority w:val="1"/>
    <w:qFormat/>
    <w:rsid w:val="00903455"/>
    <w:rPr>
      <w:rFonts w:ascii="Times New Roman" w:eastAsia="Batang" w:hAnsi="Times New Roman" w:cs="Times New Roman"/>
      <w:lang w:val="el-GR" w:eastAsia="ko-KR"/>
    </w:rPr>
  </w:style>
  <w:style w:type="character" w:customStyle="1" w:styleId="Char9">
    <w:name w:val="Χωρίς διάστιχο Char"/>
    <w:link w:val="afa"/>
    <w:uiPriority w:val="1"/>
    <w:rsid w:val="00903455"/>
    <w:rPr>
      <w:rFonts w:ascii="Times New Roman" w:eastAsia="Batang" w:hAnsi="Times New Roman" w:cs="Times New Roman"/>
      <w:lang w:val="el-GR" w:eastAsia="ko-KR"/>
    </w:rPr>
  </w:style>
  <w:style w:type="paragraph" w:customStyle="1" w:styleId="pf0">
    <w:name w:val="pf0"/>
    <w:basedOn w:val="a"/>
    <w:rsid w:val="00762450"/>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a0"/>
    <w:rsid w:val="00762450"/>
    <w:rPr>
      <w:rFonts w:ascii="Segoe UI" w:hAnsi="Segoe UI" w:cs="Segoe UI" w:hint="default"/>
      <w:sz w:val="18"/>
      <w:szCs w:val="18"/>
    </w:rPr>
  </w:style>
  <w:style w:type="character" w:customStyle="1" w:styleId="cf11">
    <w:name w:val="cf11"/>
    <w:basedOn w:val="a0"/>
    <w:rsid w:val="00762450"/>
    <w:rPr>
      <w:rFonts w:ascii="Segoe UI" w:hAnsi="Segoe UI" w:cs="Segoe UI" w:hint="default"/>
      <w:sz w:val="18"/>
      <w:szCs w:val="18"/>
    </w:rPr>
  </w:style>
  <w:style w:type="paragraph" w:styleId="afb">
    <w:name w:val="Body Text"/>
    <w:basedOn w:val="a"/>
    <w:link w:val="Chara"/>
    <w:rsid w:val="006237D3"/>
    <w:pPr>
      <w:jc w:val="both"/>
    </w:pPr>
    <w:rPr>
      <w:rFonts w:ascii="Times New Roman" w:eastAsia="Times New Roman" w:hAnsi="Times New Roman" w:cs="Times New Roman"/>
      <w:bCs/>
      <w:lang w:val="el-GR"/>
    </w:rPr>
  </w:style>
  <w:style w:type="character" w:customStyle="1" w:styleId="Chara">
    <w:name w:val="Σώμα κειμένου Char"/>
    <w:basedOn w:val="a0"/>
    <w:link w:val="afb"/>
    <w:rsid w:val="006237D3"/>
    <w:rPr>
      <w:rFonts w:ascii="Times New Roman" w:eastAsia="Times New Roman" w:hAnsi="Times New Roman" w:cs="Times New Roman"/>
      <w:bCs/>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23874">
      <w:bodyDiv w:val="1"/>
      <w:marLeft w:val="0"/>
      <w:marRight w:val="0"/>
      <w:marTop w:val="0"/>
      <w:marBottom w:val="0"/>
      <w:divBdr>
        <w:top w:val="none" w:sz="0" w:space="0" w:color="auto"/>
        <w:left w:val="none" w:sz="0" w:space="0" w:color="auto"/>
        <w:bottom w:val="none" w:sz="0" w:space="0" w:color="auto"/>
        <w:right w:val="none" w:sz="0" w:space="0" w:color="auto"/>
      </w:divBdr>
    </w:div>
    <w:div w:id="214850101">
      <w:bodyDiv w:val="1"/>
      <w:marLeft w:val="0"/>
      <w:marRight w:val="0"/>
      <w:marTop w:val="0"/>
      <w:marBottom w:val="0"/>
      <w:divBdr>
        <w:top w:val="none" w:sz="0" w:space="0" w:color="auto"/>
        <w:left w:val="none" w:sz="0" w:space="0" w:color="auto"/>
        <w:bottom w:val="none" w:sz="0" w:space="0" w:color="auto"/>
        <w:right w:val="none" w:sz="0" w:space="0" w:color="auto"/>
      </w:divBdr>
    </w:div>
    <w:div w:id="366420146">
      <w:bodyDiv w:val="1"/>
      <w:marLeft w:val="0"/>
      <w:marRight w:val="0"/>
      <w:marTop w:val="0"/>
      <w:marBottom w:val="0"/>
      <w:divBdr>
        <w:top w:val="none" w:sz="0" w:space="0" w:color="auto"/>
        <w:left w:val="none" w:sz="0" w:space="0" w:color="auto"/>
        <w:bottom w:val="none" w:sz="0" w:space="0" w:color="auto"/>
        <w:right w:val="none" w:sz="0" w:space="0" w:color="auto"/>
      </w:divBdr>
      <w:divsChild>
        <w:div w:id="604767963">
          <w:marLeft w:val="0"/>
          <w:marRight w:val="0"/>
          <w:marTop w:val="0"/>
          <w:marBottom w:val="0"/>
          <w:divBdr>
            <w:top w:val="none" w:sz="0" w:space="0" w:color="auto"/>
            <w:left w:val="none" w:sz="0" w:space="0" w:color="auto"/>
            <w:bottom w:val="none" w:sz="0" w:space="0" w:color="auto"/>
            <w:right w:val="none" w:sz="0" w:space="0" w:color="auto"/>
          </w:divBdr>
          <w:divsChild>
            <w:div w:id="453864703">
              <w:marLeft w:val="0"/>
              <w:marRight w:val="0"/>
              <w:marTop w:val="0"/>
              <w:marBottom w:val="0"/>
              <w:divBdr>
                <w:top w:val="none" w:sz="0" w:space="0" w:color="auto"/>
                <w:left w:val="none" w:sz="0" w:space="0" w:color="auto"/>
                <w:bottom w:val="none" w:sz="0" w:space="0" w:color="auto"/>
                <w:right w:val="none" w:sz="0" w:space="0" w:color="auto"/>
              </w:divBdr>
              <w:divsChild>
                <w:div w:id="158657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849241">
      <w:bodyDiv w:val="1"/>
      <w:marLeft w:val="0"/>
      <w:marRight w:val="0"/>
      <w:marTop w:val="0"/>
      <w:marBottom w:val="0"/>
      <w:divBdr>
        <w:top w:val="none" w:sz="0" w:space="0" w:color="auto"/>
        <w:left w:val="none" w:sz="0" w:space="0" w:color="auto"/>
        <w:bottom w:val="none" w:sz="0" w:space="0" w:color="auto"/>
        <w:right w:val="none" w:sz="0" w:space="0" w:color="auto"/>
      </w:divBdr>
    </w:div>
    <w:div w:id="473371395">
      <w:bodyDiv w:val="1"/>
      <w:marLeft w:val="0"/>
      <w:marRight w:val="0"/>
      <w:marTop w:val="0"/>
      <w:marBottom w:val="0"/>
      <w:divBdr>
        <w:top w:val="none" w:sz="0" w:space="0" w:color="auto"/>
        <w:left w:val="none" w:sz="0" w:space="0" w:color="auto"/>
        <w:bottom w:val="none" w:sz="0" w:space="0" w:color="auto"/>
        <w:right w:val="none" w:sz="0" w:space="0" w:color="auto"/>
      </w:divBdr>
    </w:div>
    <w:div w:id="575211679">
      <w:bodyDiv w:val="1"/>
      <w:marLeft w:val="0"/>
      <w:marRight w:val="0"/>
      <w:marTop w:val="0"/>
      <w:marBottom w:val="0"/>
      <w:divBdr>
        <w:top w:val="none" w:sz="0" w:space="0" w:color="auto"/>
        <w:left w:val="none" w:sz="0" w:space="0" w:color="auto"/>
        <w:bottom w:val="none" w:sz="0" w:space="0" w:color="auto"/>
        <w:right w:val="none" w:sz="0" w:space="0" w:color="auto"/>
      </w:divBdr>
    </w:div>
    <w:div w:id="595867028">
      <w:bodyDiv w:val="1"/>
      <w:marLeft w:val="0"/>
      <w:marRight w:val="0"/>
      <w:marTop w:val="0"/>
      <w:marBottom w:val="0"/>
      <w:divBdr>
        <w:top w:val="none" w:sz="0" w:space="0" w:color="auto"/>
        <w:left w:val="none" w:sz="0" w:space="0" w:color="auto"/>
        <w:bottom w:val="none" w:sz="0" w:space="0" w:color="auto"/>
        <w:right w:val="none" w:sz="0" w:space="0" w:color="auto"/>
      </w:divBdr>
    </w:div>
    <w:div w:id="660236966">
      <w:bodyDiv w:val="1"/>
      <w:marLeft w:val="0"/>
      <w:marRight w:val="0"/>
      <w:marTop w:val="0"/>
      <w:marBottom w:val="0"/>
      <w:divBdr>
        <w:top w:val="none" w:sz="0" w:space="0" w:color="auto"/>
        <w:left w:val="none" w:sz="0" w:space="0" w:color="auto"/>
        <w:bottom w:val="none" w:sz="0" w:space="0" w:color="auto"/>
        <w:right w:val="none" w:sz="0" w:space="0" w:color="auto"/>
      </w:divBdr>
    </w:div>
    <w:div w:id="699428838">
      <w:bodyDiv w:val="1"/>
      <w:marLeft w:val="0"/>
      <w:marRight w:val="0"/>
      <w:marTop w:val="0"/>
      <w:marBottom w:val="0"/>
      <w:divBdr>
        <w:top w:val="none" w:sz="0" w:space="0" w:color="auto"/>
        <w:left w:val="none" w:sz="0" w:space="0" w:color="auto"/>
        <w:bottom w:val="none" w:sz="0" w:space="0" w:color="auto"/>
        <w:right w:val="none" w:sz="0" w:space="0" w:color="auto"/>
      </w:divBdr>
    </w:div>
    <w:div w:id="748775521">
      <w:bodyDiv w:val="1"/>
      <w:marLeft w:val="0"/>
      <w:marRight w:val="0"/>
      <w:marTop w:val="0"/>
      <w:marBottom w:val="0"/>
      <w:divBdr>
        <w:top w:val="none" w:sz="0" w:space="0" w:color="auto"/>
        <w:left w:val="none" w:sz="0" w:space="0" w:color="auto"/>
        <w:bottom w:val="none" w:sz="0" w:space="0" w:color="auto"/>
        <w:right w:val="none" w:sz="0" w:space="0" w:color="auto"/>
      </w:divBdr>
    </w:div>
    <w:div w:id="751466016">
      <w:bodyDiv w:val="1"/>
      <w:marLeft w:val="0"/>
      <w:marRight w:val="0"/>
      <w:marTop w:val="0"/>
      <w:marBottom w:val="0"/>
      <w:divBdr>
        <w:top w:val="none" w:sz="0" w:space="0" w:color="auto"/>
        <w:left w:val="none" w:sz="0" w:space="0" w:color="auto"/>
        <w:bottom w:val="none" w:sz="0" w:space="0" w:color="auto"/>
        <w:right w:val="none" w:sz="0" w:space="0" w:color="auto"/>
      </w:divBdr>
    </w:div>
    <w:div w:id="769356194">
      <w:bodyDiv w:val="1"/>
      <w:marLeft w:val="0"/>
      <w:marRight w:val="0"/>
      <w:marTop w:val="0"/>
      <w:marBottom w:val="0"/>
      <w:divBdr>
        <w:top w:val="none" w:sz="0" w:space="0" w:color="auto"/>
        <w:left w:val="none" w:sz="0" w:space="0" w:color="auto"/>
        <w:bottom w:val="none" w:sz="0" w:space="0" w:color="auto"/>
        <w:right w:val="none" w:sz="0" w:space="0" w:color="auto"/>
      </w:divBdr>
    </w:div>
    <w:div w:id="770514423">
      <w:bodyDiv w:val="1"/>
      <w:marLeft w:val="0"/>
      <w:marRight w:val="0"/>
      <w:marTop w:val="0"/>
      <w:marBottom w:val="0"/>
      <w:divBdr>
        <w:top w:val="none" w:sz="0" w:space="0" w:color="auto"/>
        <w:left w:val="none" w:sz="0" w:space="0" w:color="auto"/>
        <w:bottom w:val="none" w:sz="0" w:space="0" w:color="auto"/>
        <w:right w:val="none" w:sz="0" w:space="0" w:color="auto"/>
      </w:divBdr>
      <w:divsChild>
        <w:div w:id="1937471734">
          <w:marLeft w:val="0"/>
          <w:marRight w:val="0"/>
          <w:marTop w:val="0"/>
          <w:marBottom w:val="0"/>
          <w:divBdr>
            <w:top w:val="none" w:sz="0" w:space="0" w:color="auto"/>
            <w:left w:val="none" w:sz="0" w:space="0" w:color="auto"/>
            <w:bottom w:val="none" w:sz="0" w:space="0" w:color="auto"/>
            <w:right w:val="none" w:sz="0" w:space="0" w:color="auto"/>
          </w:divBdr>
          <w:divsChild>
            <w:div w:id="1550411586">
              <w:marLeft w:val="0"/>
              <w:marRight w:val="0"/>
              <w:marTop w:val="0"/>
              <w:marBottom w:val="0"/>
              <w:divBdr>
                <w:top w:val="none" w:sz="0" w:space="0" w:color="auto"/>
                <w:left w:val="none" w:sz="0" w:space="0" w:color="auto"/>
                <w:bottom w:val="none" w:sz="0" w:space="0" w:color="auto"/>
                <w:right w:val="none" w:sz="0" w:space="0" w:color="auto"/>
              </w:divBdr>
              <w:divsChild>
                <w:div w:id="77105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746">
          <w:marLeft w:val="0"/>
          <w:marRight w:val="0"/>
          <w:marTop w:val="0"/>
          <w:marBottom w:val="0"/>
          <w:divBdr>
            <w:top w:val="none" w:sz="0" w:space="0" w:color="auto"/>
            <w:left w:val="none" w:sz="0" w:space="0" w:color="auto"/>
            <w:bottom w:val="none" w:sz="0" w:space="0" w:color="auto"/>
            <w:right w:val="none" w:sz="0" w:space="0" w:color="auto"/>
          </w:divBdr>
          <w:divsChild>
            <w:div w:id="1397896262">
              <w:marLeft w:val="0"/>
              <w:marRight w:val="0"/>
              <w:marTop w:val="0"/>
              <w:marBottom w:val="0"/>
              <w:divBdr>
                <w:top w:val="none" w:sz="0" w:space="0" w:color="auto"/>
                <w:left w:val="none" w:sz="0" w:space="0" w:color="auto"/>
                <w:bottom w:val="none" w:sz="0" w:space="0" w:color="auto"/>
                <w:right w:val="none" w:sz="0" w:space="0" w:color="auto"/>
              </w:divBdr>
              <w:divsChild>
                <w:div w:id="1397362034">
                  <w:marLeft w:val="0"/>
                  <w:marRight w:val="0"/>
                  <w:marTop w:val="0"/>
                  <w:marBottom w:val="0"/>
                  <w:divBdr>
                    <w:top w:val="none" w:sz="0" w:space="0" w:color="auto"/>
                    <w:left w:val="none" w:sz="0" w:space="0" w:color="auto"/>
                    <w:bottom w:val="none" w:sz="0" w:space="0" w:color="auto"/>
                    <w:right w:val="none" w:sz="0" w:space="0" w:color="auto"/>
                  </w:divBdr>
                  <w:divsChild>
                    <w:div w:id="62945571">
                      <w:marLeft w:val="0"/>
                      <w:marRight w:val="0"/>
                      <w:marTop w:val="0"/>
                      <w:marBottom w:val="0"/>
                      <w:divBdr>
                        <w:top w:val="none" w:sz="0" w:space="0" w:color="auto"/>
                        <w:left w:val="none" w:sz="0" w:space="0" w:color="auto"/>
                        <w:bottom w:val="none" w:sz="0" w:space="0" w:color="auto"/>
                        <w:right w:val="none" w:sz="0" w:space="0" w:color="auto"/>
                      </w:divBdr>
                      <w:divsChild>
                        <w:div w:id="116012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784660">
      <w:bodyDiv w:val="1"/>
      <w:marLeft w:val="0"/>
      <w:marRight w:val="0"/>
      <w:marTop w:val="0"/>
      <w:marBottom w:val="0"/>
      <w:divBdr>
        <w:top w:val="none" w:sz="0" w:space="0" w:color="auto"/>
        <w:left w:val="none" w:sz="0" w:space="0" w:color="auto"/>
        <w:bottom w:val="none" w:sz="0" w:space="0" w:color="auto"/>
        <w:right w:val="none" w:sz="0" w:space="0" w:color="auto"/>
      </w:divBdr>
    </w:div>
    <w:div w:id="785543866">
      <w:bodyDiv w:val="1"/>
      <w:marLeft w:val="0"/>
      <w:marRight w:val="0"/>
      <w:marTop w:val="0"/>
      <w:marBottom w:val="0"/>
      <w:divBdr>
        <w:top w:val="none" w:sz="0" w:space="0" w:color="auto"/>
        <w:left w:val="none" w:sz="0" w:space="0" w:color="auto"/>
        <w:bottom w:val="none" w:sz="0" w:space="0" w:color="auto"/>
        <w:right w:val="none" w:sz="0" w:space="0" w:color="auto"/>
      </w:divBdr>
    </w:div>
    <w:div w:id="876359314">
      <w:bodyDiv w:val="1"/>
      <w:marLeft w:val="0"/>
      <w:marRight w:val="0"/>
      <w:marTop w:val="0"/>
      <w:marBottom w:val="0"/>
      <w:divBdr>
        <w:top w:val="none" w:sz="0" w:space="0" w:color="auto"/>
        <w:left w:val="none" w:sz="0" w:space="0" w:color="auto"/>
        <w:bottom w:val="none" w:sz="0" w:space="0" w:color="auto"/>
        <w:right w:val="none" w:sz="0" w:space="0" w:color="auto"/>
      </w:divBdr>
    </w:div>
    <w:div w:id="895507921">
      <w:bodyDiv w:val="1"/>
      <w:marLeft w:val="0"/>
      <w:marRight w:val="0"/>
      <w:marTop w:val="0"/>
      <w:marBottom w:val="0"/>
      <w:divBdr>
        <w:top w:val="none" w:sz="0" w:space="0" w:color="auto"/>
        <w:left w:val="none" w:sz="0" w:space="0" w:color="auto"/>
        <w:bottom w:val="none" w:sz="0" w:space="0" w:color="auto"/>
        <w:right w:val="none" w:sz="0" w:space="0" w:color="auto"/>
      </w:divBdr>
      <w:divsChild>
        <w:div w:id="357001404">
          <w:marLeft w:val="0"/>
          <w:marRight w:val="0"/>
          <w:marTop w:val="0"/>
          <w:marBottom w:val="0"/>
          <w:divBdr>
            <w:top w:val="none" w:sz="0" w:space="0" w:color="auto"/>
            <w:left w:val="none" w:sz="0" w:space="0" w:color="auto"/>
            <w:bottom w:val="none" w:sz="0" w:space="0" w:color="auto"/>
            <w:right w:val="none" w:sz="0" w:space="0" w:color="auto"/>
          </w:divBdr>
          <w:divsChild>
            <w:div w:id="1655528131">
              <w:marLeft w:val="0"/>
              <w:marRight w:val="0"/>
              <w:marTop w:val="0"/>
              <w:marBottom w:val="0"/>
              <w:divBdr>
                <w:top w:val="none" w:sz="0" w:space="0" w:color="auto"/>
                <w:left w:val="none" w:sz="0" w:space="0" w:color="auto"/>
                <w:bottom w:val="none" w:sz="0" w:space="0" w:color="auto"/>
                <w:right w:val="none" w:sz="0" w:space="0" w:color="auto"/>
              </w:divBdr>
              <w:divsChild>
                <w:div w:id="1346979978">
                  <w:marLeft w:val="0"/>
                  <w:marRight w:val="0"/>
                  <w:marTop w:val="0"/>
                  <w:marBottom w:val="0"/>
                  <w:divBdr>
                    <w:top w:val="none" w:sz="0" w:space="0" w:color="auto"/>
                    <w:left w:val="none" w:sz="0" w:space="0" w:color="auto"/>
                    <w:bottom w:val="none" w:sz="0" w:space="0" w:color="auto"/>
                    <w:right w:val="none" w:sz="0" w:space="0" w:color="auto"/>
                  </w:divBdr>
                  <w:divsChild>
                    <w:div w:id="743450715">
                      <w:marLeft w:val="0"/>
                      <w:marRight w:val="0"/>
                      <w:marTop w:val="0"/>
                      <w:marBottom w:val="0"/>
                      <w:divBdr>
                        <w:top w:val="none" w:sz="0" w:space="0" w:color="auto"/>
                        <w:left w:val="none" w:sz="0" w:space="0" w:color="auto"/>
                        <w:bottom w:val="none" w:sz="0" w:space="0" w:color="auto"/>
                        <w:right w:val="none" w:sz="0" w:space="0" w:color="auto"/>
                      </w:divBdr>
                      <w:divsChild>
                        <w:div w:id="50640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837445">
          <w:marLeft w:val="0"/>
          <w:marRight w:val="0"/>
          <w:marTop w:val="0"/>
          <w:marBottom w:val="0"/>
          <w:divBdr>
            <w:top w:val="none" w:sz="0" w:space="0" w:color="auto"/>
            <w:left w:val="none" w:sz="0" w:space="0" w:color="auto"/>
            <w:bottom w:val="none" w:sz="0" w:space="0" w:color="auto"/>
            <w:right w:val="none" w:sz="0" w:space="0" w:color="auto"/>
          </w:divBdr>
          <w:divsChild>
            <w:div w:id="1702512386">
              <w:marLeft w:val="0"/>
              <w:marRight w:val="0"/>
              <w:marTop w:val="0"/>
              <w:marBottom w:val="0"/>
              <w:divBdr>
                <w:top w:val="none" w:sz="0" w:space="0" w:color="auto"/>
                <w:left w:val="none" w:sz="0" w:space="0" w:color="auto"/>
                <w:bottom w:val="none" w:sz="0" w:space="0" w:color="auto"/>
                <w:right w:val="none" w:sz="0" w:space="0" w:color="auto"/>
              </w:divBdr>
              <w:divsChild>
                <w:div w:id="42947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38652">
      <w:bodyDiv w:val="1"/>
      <w:marLeft w:val="0"/>
      <w:marRight w:val="0"/>
      <w:marTop w:val="0"/>
      <w:marBottom w:val="0"/>
      <w:divBdr>
        <w:top w:val="none" w:sz="0" w:space="0" w:color="auto"/>
        <w:left w:val="none" w:sz="0" w:space="0" w:color="auto"/>
        <w:bottom w:val="none" w:sz="0" w:space="0" w:color="auto"/>
        <w:right w:val="none" w:sz="0" w:space="0" w:color="auto"/>
      </w:divBdr>
    </w:div>
    <w:div w:id="993295644">
      <w:bodyDiv w:val="1"/>
      <w:marLeft w:val="0"/>
      <w:marRight w:val="0"/>
      <w:marTop w:val="0"/>
      <w:marBottom w:val="0"/>
      <w:divBdr>
        <w:top w:val="none" w:sz="0" w:space="0" w:color="auto"/>
        <w:left w:val="none" w:sz="0" w:space="0" w:color="auto"/>
        <w:bottom w:val="none" w:sz="0" w:space="0" w:color="auto"/>
        <w:right w:val="none" w:sz="0" w:space="0" w:color="auto"/>
      </w:divBdr>
    </w:div>
    <w:div w:id="1019619093">
      <w:bodyDiv w:val="1"/>
      <w:marLeft w:val="0"/>
      <w:marRight w:val="0"/>
      <w:marTop w:val="0"/>
      <w:marBottom w:val="0"/>
      <w:divBdr>
        <w:top w:val="none" w:sz="0" w:space="0" w:color="auto"/>
        <w:left w:val="none" w:sz="0" w:space="0" w:color="auto"/>
        <w:bottom w:val="none" w:sz="0" w:space="0" w:color="auto"/>
        <w:right w:val="none" w:sz="0" w:space="0" w:color="auto"/>
      </w:divBdr>
    </w:div>
    <w:div w:id="1034816461">
      <w:bodyDiv w:val="1"/>
      <w:marLeft w:val="0"/>
      <w:marRight w:val="0"/>
      <w:marTop w:val="0"/>
      <w:marBottom w:val="0"/>
      <w:divBdr>
        <w:top w:val="none" w:sz="0" w:space="0" w:color="auto"/>
        <w:left w:val="none" w:sz="0" w:space="0" w:color="auto"/>
        <w:bottom w:val="none" w:sz="0" w:space="0" w:color="auto"/>
        <w:right w:val="none" w:sz="0" w:space="0" w:color="auto"/>
      </w:divBdr>
    </w:div>
    <w:div w:id="1035733016">
      <w:bodyDiv w:val="1"/>
      <w:marLeft w:val="0"/>
      <w:marRight w:val="0"/>
      <w:marTop w:val="0"/>
      <w:marBottom w:val="0"/>
      <w:divBdr>
        <w:top w:val="none" w:sz="0" w:space="0" w:color="auto"/>
        <w:left w:val="none" w:sz="0" w:space="0" w:color="auto"/>
        <w:bottom w:val="none" w:sz="0" w:space="0" w:color="auto"/>
        <w:right w:val="none" w:sz="0" w:space="0" w:color="auto"/>
      </w:divBdr>
    </w:div>
    <w:div w:id="1063985980">
      <w:bodyDiv w:val="1"/>
      <w:marLeft w:val="0"/>
      <w:marRight w:val="0"/>
      <w:marTop w:val="0"/>
      <w:marBottom w:val="0"/>
      <w:divBdr>
        <w:top w:val="none" w:sz="0" w:space="0" w:color="auto"/>
        <w:left w:val="none" w:sz="0" w:space="0" w:color="auto"/>
        <w:bottom w:val="none" w:sz="0" w:space="0" w:color="auto"/>
        <w:right w:val="none" w:sz="0" w:space="0" w:color="auto"/>
      </w:divBdr>
      <w:divsChild>
        <w:div w:id="107311080">
          <w:marLeft w:val="547"/>
          <w:marRight w:val="0"/>
          <w:marTop w:val="0"/>
          <w:marBottom w:val="200"/>
          <w:divBdr>
            <w:top w:val="none" w:sz="0" w:space="0" w:color="auto"/>
            <w:left w:val="none" w:sz="0" w:space="0" w:color="auto"/>
            <w:bottom w:val="none" w:sz="0" w:space="0" w:color="auto"/>
            <w:right w:val="none" w:sz="0" w:space="0" w:color="auto"/>
          </w:divBdr>
        </w:div>
      </w:divsChild>
    </w:div>
    <w:div w:id="1165707547">
      <w:bodyDiv w:val="1"/>
      <w:marLeft w:val="0"/>
      <w:marRight w:val="0"/>
      <w:marTop w:val="0"/>
      <w:marBottom w:val="0"/>
      <w:divBdr>
        <w:top w:val="none" w:sz="0" w:space="0" w:color="auto"/>
        <w:left w:val="none" w:sz="0" w:space="0" w:color="auto"/>
        <w:bottom w:val="none" w:sz="0" w:space="0" w:color="auto"/>
        <w:right w:val="none" w:sz="0" w:space="0" w:color="auto"/>
      </w:divBdr>
    </w:div>
    <w:div w:id="1187906504">
      <w:bodyDiv w:val="1"/>
      <w:marLeft w:val="0"/>
      <w:marRight w:val="0"/>
      <w:marTop w:val="0"/>
      <w:marBottom w:val="0"/>
      <w:divBdr>
        <w:top w:val="none" w:sz="0" w:space="0" w:color="auto"/>
        <w:left w:val="none" w:sz="0" w:space="0" w:color="auto"/>
        <w:bottom w:val="none" w:sz="0" w:space="0" w:color="auto"/>
        <w:right w:val="none" w:sz="0" w:space="0" w:color="auto"/>
      </w:divBdr>
    </w:div>
    <w:div w:id="1280062805">
      <w:bodyDiv w:val="1"/>
      <w:marLeft w:val="0"/>
      <w:marRight w:val="0"/>
      <w:marTop w:val="0"/>
      <w:marBottom w:val="0"/>
      <w:divBdr>
        <w:top w:val="none" w:sz="0" w:space="0" w:color="auto"/>
        <w:left w:val="none" w:sz="0" w:space="0" w:color="auto"/>
        <w:bottom w:val="none" w:sz="0" w:space="0" w:color="auto"/>
        <w:right w:val="none" w:sz="0" w:space="0" w:color="auto"/>
      </w:divBdr>
    </w:div>
    <w:div w:id="1349989360">
      <w:bodyDiv w:val="1"/>
      <w:marLeft w:val="0"/>
      <w:marRight w:val="0"/>
      <w:marTop w:val="0"/>
      <w:marBottom w:val="0"/>
      <w:divBdr>
        <w:top w:val="none" w:sz="0" w:space="0" w:color="auto"/>
        <w:left w:val="none" w:sz="0" w:space="0" w:color="auto"/>
        <w:bottom w:val="none" w:sz="0" w:space="0" w:color="auto"/>
        <w:right w:val="none" w:sz="0" w:space="0" w:color="auto"/>
      </w:divBdr>
      <w:divsChild>
        <w:div w:id="1889759098">
          <w:marLeft w:val="0"/>
          <w:marRight w:val="0"/>
          <w:marTop w:val="0"/>
          <w:marBottom w:val="0"/>
          <w:divBdr>
            <w:top w:val="none" w:sz="0" w:space="0" w:color="auto"/>
            <w:left w:val="none" w:sz="0" w:space="0" w:color="auto"/>
            <w:bottom w:val="none" w:sz="0" w:space="0" w:color="auto"/>
            <w:right w:val="none" w:sz="0" w:space="0" w:color="auto"/>
          </w:divBdr>
        </w:div>
      </w:divsChild>
    </w:div>
    <w:div w:id="1432117443">
      <w:bodyDiv w:val="1"/>
      <w:marLeft w:val="0"/>
      <w:marRight w:val="0"/>
      <w:marTop w:val="0"/>
      <w:marBottom w:val="0"/>
      <w:divBdr>
        <w:top w:val="none" w:sz="0" w:space="0" w:color="auto"/>
        <w:left w:val="none" w:sz="0" w:space="0" w:color="auto"/>
        <w:bottom w:val="none" w:sz="0" w:space="0" w:color="auto"/>
        <w:right w:val="none" w:sz="0" w:space="0" w:color="auto"/>
      </w:divBdr>
    </w:div>
    <w:div w:id="1553350824">
      <w:bodyDiv w:val="1"/>
      <w:marLeft w:val="0"/>
      <w:marRight w:val="0"/>
      <w:marTop w:val="0"/>
      <w:marBottom w:val="0"/>
      <w:divBdr>
        <w:top w:val="none" w:sz="0" w:space="0" w:color="auto"/>
        <w:left w:val="none" w:sz="0" w:space="0" w:color="auto"/>
        <w:bottom w:val="none" w:sz="0" w:space="0" w:color="auto"/>
        <w:right w:val="none" w:sz="0" w:space="0" w:color="auto"/>
      </w:divBdr>
    </w:div>
    <w:div w:id="1588491341">
      <w:bodyDiv w:val="1"/>
      <w:marLeft w:val="0"/>
      <w:marRight w:val="0"/>
      <w:marTop w:val="0"/>
      <w:marBottom w:val="0"/>
      <w:divBdr>
        <w:top w:val="none" w:sz="0" w:space="0" w:color="auto"/>
        <w:left w:val="none" w:sz="0" w:space="0" w:color="auto"/>
        <w:bottom w:val="none" w:sz="0" w:space="0" w:color="auto"/>
        <w:right w:val="none" w:sz="0" w:space="0" w:color="auto"/>
      </w:divBdr>
    </w:div>
    <w:div w:id="1807236013">
      <w:bodyDiv w:val="1"/>
      <w:marLeft w:val="0"/>
      <w:marRight w:val="0"/>
      <w:marTop w:val="0"/>
      <w:marBottom w:val="0"/>
      <w:divBdr>
        <w:top w:val="none" w:sz="0" w:space="0" w:color="auto"/>
        <w:left w:val="none" w:sz="0" w:space="0" w:color="auto"/>
        <w:bottom w:val="none" w:sz="0" w:space="0" w:color="auto"/>
        <w:right w:val="none" w:sz="0" w:space="0" w:color="auto"/>
      </w:divBdr>
    </w:div>
    <w:div w:id="1877549142">
      <w:bodyDiv w:val="1"/>
      <w:marLeft w:val="0"/>
      <w:marRight w:val="0"/>
      <w:marTop w:val="0"/>
      <w:marBottom w:val="0"/>
      <w:divBdr>
        <w:top w:val="none" w:sz="0" w:space="0" w:color="auto"/>
        <w:left w:val="none" w:sz="0" w:space="0" w:color="auto"/>
        <w:bottom w:val="none" w:sz="0" w:space="0" w:color="auto"/>
        <w:right w:val="none" w:sz="0" w:space="0" w:color="auto"/>
      </w:divBdr>
    </w:div>
    <w:div w:id="2005469848">
      <w:bodyDiv w:val="1"/>
      <w:marLeft w:val="0"/>
      <w:marRight w:val="0"/>
      <w:marTop w:val="0"/>
      <w:marBottom w:val="0"/>
      <w:divBdr>
        <w:top w:val="none" w:sz="0" w:space="0" w:color="auto"/>
        <w:left w:val="none" w:sz="0" w:space="0" w:color="auto"/>
        <w:bottom w:val="none" w:sz="0" w:space="0" w:color="auto"/>
        <w:right w:val="none" w:sz="0" w:space="0" w:color="auto"/>
      </w:divBdr>
    </w:div>
    <w:div w:id="2013019790">
      <w:bodyDiv w:val="1"/>
      <w:marLeft w:val="0"/>
      <w:marRight w:val="0"/>
      <w:marTop w:val="0"/>
      <w:marBottom w:val="0"/>
      <w:divBdr>
        <w:top w:val="none" w:sz="0" w:space="0" w:color="auto"/>
        <w:left w:val="none" w:sz="0" w:space="0" w:color="auto"/>
        <w:bottom w:val="none" w:sz="0" w:space="0" w:color="auto"/>
        <w:right w:val="none" w:sz="0" w:space="0" w:color="auto"/>
      </w:divBdr>
    </w:div>
    <w:div w:id="2031683708">
      <w:bodyDiv w:val="1"/>
      <w:marLeft w:val="0"/>
      <w:marRight w:val="0"/>
      <w:marTop w:val="0"/>
      <w:marBottom w:val="0"/>
      <w:divBdr>
        <w:top w:val="none" w:sz="0" w:space="0" w:color="auto"/>
        <w:left w:val="none" w:sz="0" w:space="0" w:color="auto"/>
        <w:bottom w:val="none" w:sz="0" w:space="0" w:color="auto"/>
        <w:right w:val="none" w:sz="0" w:space="0" w:color="auto"/>
      </w:divBdr>
      <w:divsChild>
        <w:div w:id="370541178">
          <w:marLeft w:val="0"/>
          <w:marRight w:val="0"/>
          <w:marTop w:val="0"/>
          <w:marBottom w:val="0"/>
          <w:divBdr>
            <w:top w:val="none" w:sz="0" w:space="0" w:color="auto"/>
            <w:left w:val="none" w:sz="0" w:space="0" w:color="auto"/>
            <w:bottom w:val="none" w:sz="0" w:space="0" w:color="auto"/>
            <w:right w:val="none" w:sz="0" w:space="0" w:color="auto"/>
          </w:divBdr>
          <w:divsChild>
            <w:div w:id="1241327389">
              <w:marLeft w:val="0"/>
              <w:marRight w:val="0"/>
              <w:marTop w:val="0"/>
              <w:marBottom w:val="0"/>
              <w:divBdr>
                <w:top w:val="none" w:sz="0" w:space="0" w:color="auto"/>
                <w:left w:val="none" w:sz="0" w:space="0" w:color="auto"/>
                <w:bottom w:val="none" w:sz="0" w:space="0" w:color="auto"/>
                <w:right w:val="none" w:sz="0" w:space="0" w:color="auto"/>
              </w:divBdr>
              <w:divsChild>
                <w:div w:id="7046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8719">
          <w:marLeft w:val="0"/>
          <w:marRight w:val="0"/>
          <w:marTop w:val="0"/>
          <w:marBottom w:val="0"/>
          <w:divBdr>
            <w:top w:val="none" w:sz="0" w:space="0" w:color="auto"/>
            <w:left w:val="none" w:sz="0" w:space="0" w:color="auto"/>
            <w:bottom w:val="none" w:sz="0" w:space="0" w:color="auto"/>
            <w:right w:val="none" w:sz="0" w:space="0" w:color="auto"/>
          </w:divBdr>
          <w:divsChild>
            <w:div w:id="351493729">
              <w:marLeft w:val="0"/>
              <w:marRight w:val="0"/>
              <w:marTop w:val="0"/>
              <w:marBottom w:val="0"/>
              <w:divBdr>
                <w:top w:val="none" w:sz="0" w:space="0" w:color="auto"/>
                <w:left w:val="none" w:sz="0" w:space="0" w:color="auto"/>
                <w:bottom w:val="none" w:sz="0" w:space="0" w:color="auto"/>
                <w:right w:val="none" w:sz="0" w:space="0" w:color="auto"/>
              </w:divBdr>
              <w:divsChild>
                <w:div w:id="753549487">
                  <w:marLeft w:val="0"/>
                  <w:marRight w:val="0"/>
                  <w:marTop w:val="0"/>
                  <w:marBottom w:val="0"/>
                  <w:divBdr>
                    <w:top w:val="none" w:sz="0" w:space="0" w:color="auto"/>
                    <w:left w:val="none" w:sz="0" w:space="0" w:color="auto"/>
                    <w:bottom w:val="none" w:sz="0" w:space="0" w:color="auto"/>
                    <w:right w:val="none" w:sz="0" w:space="0" w:color="auto"/>
                  </w:divBdr>
                  <w:divsChild>
                    <w:div w:id="1923878153">
                      <w:marLeft w:val="0"/>
                      <w:marRight w:val="0"/>
                      <w:marTop w:val="0"/>
                      <w:marBottom w:val="0"/>
                      <w:divBdr>
                        <w:top w:val="none" w:sz="0" w:space="0" w:color="auto"/>
                        <w:left w:val="none" w:sz="0" w:space="0" w:color="auto"/>
                        <w:bottom w:val="none" w:sz="0" w:space="0" w:color="auto"/>
                        <w:right w:val="none" w:sz="0" w:space="0" w:color="auto"/>
                      </w:divBdr>
                      <w:divsChild>
                        <w:div w:id="100879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953214">
      <w:bodyDiv w:val="1"/>
      <w:marLeft w:val="0"/>
      <w:marRight w:val="0"/>
      <w:marTop w:val="0"/>
      <w:marBottom w:val="0"/>
      <w:divBdr>
        <w:top w:val="none" w:sz="0" w:space="0" w:color="auto"/>
        <w:left w:val="none" w:sz="0" w:space="0" w:color="auto"/>
        <w:bottom w:val="none" w:sz="0" w:space="0" w:color="auto"/>
        <w:right w:val="none" w:sz="0" w:space="0" w:color="auto"/>
      </w:divBdr>
    </w:div>
    <w:div w:id="2119058556">
      <w:bodyDiv w:val="1"/>
      <w:marLeft w:val="0"/>
      <w:marRight w:val="0"/>
      <w:marTop w:val="0"/>
      <w:marBottom w:val="0"/>
      <w:divBdr>
        <w:top w:val="none" w:sz="0" w:space="0" w:color="auto"/>
        <w:left w:val="none" w:sz="0" w:space="0" w:color="auto"/>
        <w:bottom w:val="none" w:sz="0" w:space="0" w:color="auto"/>
        <w:right w:val="none" w:sz="0" w:space="0" w:color="auto"/>
      </w:divBdr>
      <w:divsChild>
        <w:div w:id="1051346832">
          <w:marLeft w:val="0"/>
          <w:marRight w:val="0"/>
          <w:marTop w:val="0"/>
          <w:marBottom w:val="0"/>
          <w:divBdr>
            <w:top w:val="none" w:sz="0" w:space="0" w:color="auto"/>
            <w:left w:val="none" w:sz="0" w:space="0" w:color="auto"/>
            <w:bottom w:val="none" w:sz="0" w:space="0" w:color="auto"/>
            <w:right w:val="none" w:sz="0" w:space="0" w:color="auto"/>
          </w:divBdr>
          <w:divsChild>
            <w:div w:id="2147236119">
              <w:marLeft w:val="0"/>
              <w:marRight w:val="0"/>
              <w:marTop w:val="0"/>
              <w:marBottom w:val="0"/>
              <w:divBdr>
                <w:top w:val="none" w:sz="0" w:space="0" w:color="auto"/>
                <w:left w:val="none" w:sz="0" w:space="0" w:color="auto"/>
                <w:bottom w:val="none" w:sz="0" w:space="0" w:color="auto"/>
                <w:right w:val="none" w:sz="0" w:space="0" w:color="auto"/>
              </w:divBdr>
              <w:divsChild>
                <w:div w:id="1380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1353">
          <w:marLeft w:val="0"/>
          <w:marRight w:val="0"/>
          <w:marTop w:val="0"/>
          <w:marBottom w:val="0"/>
          <w:divBdr>
            <w:top w:val="none" w:sz="0" w:space="0" w:color="auto"/>
            <w:left w:val="none" w:sz="0" w:space="0" w:color="auto"/>
            <w:bottom w:val="none" w:sz="0" w:space="0" w:color="auto"/>
            <w:right w:val="none" w:sz="0" w:space="0" w:color="auto"/>
          </w:divBdr>
          <w:divsChild>
            <w:div w:id="865169696">
              <w:marLeft w:val="0"/>
              <w:marRight w:val="0"/>
              <w:marTop w:val="0"/>
              <w:marBottom w:val="0"/>
              <w:divBdr>
                <w:top w:val="none" w:sz="0" w:space="0" w:color="auto"/>
                <w:left w:val="none" w:sz="0" w:space="0" w:color="auto"/>
                <w:bottom w:val="none" w:sz="0" w:space="0" w:color="auto"/>
                <w:right w:val="none" w:sz="0" w:space="0" w:color="auto"/>
              </w:divBdr>
              <w:divsChild>
                <w:div w:id="729771621">
                  <w:marLeft w:val="0"/>
                  <w:marRight w:val="0"/>
                  <w:marTop w:val="0"/>
                  <w:marBottom w:val="0"/>
                  <w:divBdr>
                    <w:top w:val="none" w:sz="0" w:space="0" w:color="auto"/>
                    <w:left w:val="none" w:sz="0" w:space="0" w:color="auto"/>
                    <w:bottom w:val="none" w:sz="0" w:space="0" w:color="auto"/>
                    <w:right w:val="none" w:sz="0" w:space="0" w:color="auto"/>
                  </w:divBdr>
                  <w:divsChild>
                    <w:div w:id="1553686462">
                      <w:marLeft w:val="0"/>
                      <w:marRight w:val="0"/>
                      <w:marTop w:val="0"/>
                      <w:marBottom w:val="0"/>
                      <w:divBdr>
                        <w:top w:val="none" w:sz="0" w:space="0" w:color="auto"/>
                        <w:left w:val="none" w:sz="0" w:space="0" w:color="auto"/>
                        <w:bottom w:val="none" w:sz="0" w:space="0" w:color="auto"/>
                        <w:right w:val="none" w:sz="0" w:space="0" w:color="auto"/>
                      </w:divBdr>
                      <w:divsChild>
                        <w:div w:id="150053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65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e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ei.g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e.hatzakis@dei.com.gr"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e01fe4-ae50-4c57-9906-a3e0af1b3929" xsi:nil="true"/>
    <lcf76f155ced4ddcb4097134ff3c332f xmlns="d4a73344-bfe6-440b-9b69-98a86bbafe6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Έγγραφο" ma:contentTypeID="0x010100156DD0188A2F454B943ADEE99353ADCA" ma:contentTypeVersion="18" ma:contentTypeDescription="Δημιουργία νέου εγγράφου" ma:contentTypeScope="" ma:versionID="cd25fc5f604134c190bd745933007d63">
  <xsd:schema xmlns:xsd="http://www.w3.org/2001/XMLSchema" xmlns:xs="http://www.w3.org/2001/XMLSchema" xmlns:p="http://schemas.microsoft.com/office/2006/metadata/properties" xmlns:ns2="d4a73344-bfe6-440b-9b69-98a86bbafe65" xmlns:ns3="a7e01fe4-ae50-4c57-9906-a3e0af1b3929" targetNamespace="http://schemas.microsoft.com/office/2006/metadata/properties" ma:root="true" ma:fieldsID="ee5c58de320599c31b4725ac09a7aab8" ns2:_="" ns3:_="">
    <xsd:import namespace="d4a73344-bfe6-440b-9b69-98a86bbafe65"/>
    <xsd:import namespace="a7e01fe4-ae50-4c57-9906-a3e0af1b39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73344-bfe6-440b-9b69-98a86bbaf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Ετικέτες εικόνας" ma:readOnly="false" ma:fieldId="{5cf76f15-5ced-4ddc-b409-7134ff3c332f}" ma:taxonomyMulti="true" ma:sspId="8e84d12a-bbe8-425e-a1dd-79ebf8e7e8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e01fe4-ae50-4c57-9906-a3e0af1b392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ce3957d-0996-4bd8-adeb-86c932f9cb50}" ma:internalName="TaxCatchAll" ma:showField="CatchAllData" ma:web="a7e01fe4-ae50-4c57-9906-a3e0af1b392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FE1BC7-5640-4020-8325-B140F59D03C4}">
  <ds:schemaRefs>
    <ds:schemaRef ds:uri="http://schemas.microsoft.com/office/2006/metadata/properties"/>
    <ds:schemaRef ds:uri="http://schemas.microsoft.com/office/infopath/2007/PartnerControls"/>
    <ds:schemaRef ds:uri="a7e01fe4-ae50-4c57-9906-a3e0af1b3929"/>
    <ds:schemaRef ds:uri="d4a73344-bfe6-440b-9b69-98a86bbafe65"/>
  </ds:schemaRefs>
</ds:datastoreItem>
</file>

<file path=customXml/itemProps2.xml><?xml version="1.0" encoding="utf-8"?>
<ds:datastoreItem xmlns:ds="http://schemas.openxmlformats.org/officeDocument/2006/customXml" ds:itemID="{5B4AACCF-D683-4349-B513-15DE69A4A1E8}">
  <ds:schemaRefs>
    <ds:schemaRef ds:uri="http://schemas.openxmlformats.org/officeDocument/2006/bibliography"/>
  </ds:schemaRefs>
</ds:datastoreItem>
</file>

<file path=customXml/itemProps3.xml><?xml version="1.0" encoding="utf-8"?>
<ds:datastoreItem xmlns:ds="http://schemas.openxmlformats.org/officeDocument/2006/customXml" ds:itemID="{B5831344-C7C0-49D4-94B2-766F3A8F7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73344-bfe6-440b-9b69-98a86bbafe65"/>
    <ds:schemaRef ds:uri="a7e01fe4-ae50-4c57-9906-a3e0af1b3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A7B659-5033-4759-8217-A7252D371D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3013</Words>
  <Characters>16275</Characters>
  <Application>Microsoft Office Word</Application>
  <DocSecurity>0</DocSecurity>
  <Lines>135</Lines>
  <Paragraphs>38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19250</CharactersWithSpaces>
  <SharedDoc>false</SharedDoc>
  <HLinks>
    <vt:vector size="12" baseType="variant">
      <vt:variant>
        <vt:i4>7209065</vt:i4>
      </vt:variant>
      <vt:variant>
        <vt:i4>3</vt:i4>
      </vt:variant>
      <vt:variant>
        <vt:i4>0</vt:i4>
      </vt:variant>
      <vt:variant>
        <vt:i4>5</vt:i4>
      </vt:variant>
      <vt:variant>
        <vt:lpwstr>http://www.dei.gr/</vt:lpwstr>
      </vt:variant>
      <vt:variant>
        <vt:lpwstr/>
      </vt:variant>
      <vt:variant>
        <vt:i4>2818051</vt:i4>
      </vt:variant>
      <vt:variant>
        <vt:i4>0</vt:i4>
      </vt:variant>
      <vt:variant>
        <vt:i4>0</vt:i4>
      </vt:variant>
      <vt:variant>
        <vt:i4>5</vt:i4>
      </vt:variant>
      <vt:variant>
        <vt:lpwstr>mailto:e.hatzakis@dei.com.gr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Anastasia Kyrianidi Nikolaidi</cp:lastModifiedBy>
  <cp:revision>2</cp:revision>
  <cp:lastPrinted>2023-03-16T00:08:00Z</cp:lastPrinted>
  <dcterms:created xsi:type="dcterms:W3CDTF">2023-03-23T16:40:00Z</dcterms:created>
  <dcterms:modified xsi:type="dcterms:W3CDTF">2023-03-23T16:40:00Z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0x01010082403F24492C124C881519555580D2E4</vt:lpwstr>
  </property>
  <property fmtid="{D5CDD505-2E9C-101B-9397-08002B2CF9AE}" pid="3" name="Order">
    <vt:r8>5826600</vt:r8>
  </property>
  <property fmtid="{D5CDD505-2E9C-101B-9397-08002B2CF9AE}" pid="4" name="MediaServiceImageTags">
    <vt:lpwstr/>
  </property>
</Properties>
</file>