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90C83" w14:textId="77777777" w:rsidR="00BC2CB7" w:rsidRPr="00DD592C" w:rsidRDefault="00957F52" w:rsidP="004C1FC9">
      <w:pPr>
        <w:spacing w:before="99" w:line="276" w:lineRule="auto"/>
        <w:jc w:val="both"/>
        <w:rPr>
          <w:rFonts w:ascii="Tahoma" w:hAnsi="Tahoma" w:cs="Tahoma"/>
        </w:rPr>
      </w:pPr>
      <w:bookmarkStart w:id="0" w:name="_GoBack"/>
      <w:bookmarkEnd w:id="0"/>
      <w:r w:rsidRPr="00DD592C">
        <w:rPr>
          <w:rFonts w:ascii="Tahoma" w:hAnsi="Tahoma" w:cs="Tahoma"/>
          <w:noProof/>
          <w:lang w:eastAsia="el-GR"/>
        </w:rPr>
        <w:drawing>
          <wp:anchor distT="0" distB="0" distL="114300" distR="114300" simplePos="0" relativeHeight="487252992" behindDoc="1" locked="0" layoutInCell="1" allowOverlap="1" wp14:anchorId="77771B60" wp14:editId="5B0F2E8C">
            <wp:simplePos x="0" y="0"/>
            <wp:positionH relativeFrom="page">
              <wp:posOffset>-6985</wp:posOffset>
            </wp:positionH>
            <wp:positionV relativeFrom="page">
              <wp:align>top</wp:align>
            </wp:positionV>
            <wp:extent cx="7592060" cy="10723880"/>
            <wp:effectExtent l="0" t="0" r="889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tretch>
                      <a:fillRect/>
                    </a:stretch>
                  </pic:blipFill>
                  <pic:spPr>
                    <a:xfrm>
                      <a:off x="0" y="0"/>
                      <a:ext cx="7592060" cy="10723880"/>
                    </a:xfrm>
                    <a:prstGeom prst="rect">
                      <a:avLst/>
                    </a:prstGeom>
                  </pic:spPr>
                </pic:pic>
              </a:graphicData>
            </a:graphic>
            <wp14:sizeRelH relativeFrom="margin">
              <wp14:pctWidth>0</wp14:pctWidth>
            </wp14:sizeRelH>
            <wp14:sizeRelV relativeFrom="margin">
              <wp14:pctHeight>0</wp14:pctHeight>
            </wp14:sizeRelV>
          </wp:anchor>
        </w:drawing>
      </w:r>
    </w:p>
    <w:p w14:paraId="2A61D69B" w14:textId="77777777" w:rsidR="00BC2CB7" w:rsidRPr="00DD592C" w:rsidRDefault="00BC2CB7" w:rsidP="004C1FC9">
      <w:pPr>
        <w:spacing w:before="99" w:line="276" w:lineRule="auto"/>
        <w:jc w:val="both"/>
        <w:rPr>
          <w:rFonts w:ascii="Tahoma" w:hAnsi="Tahoma" w:cs="Tahoma"/>
        </w:rPr>
      </w:pPr>
    </w:p>
    <w:p w14:paraId="0672CA0F" w14:textId="77777777" w:rsidR="00BC2CB7" w:rsidRPr="00DD592C" w:rsidRDefault="00BC2CB7" w:rsidP="004C1FC9">
      <w:pPr>
        <w:spacing w:before="99" w:line="276" w:lineRule="auto"/>
        <w:jc w:val="both"/>
        <w:rPr>
          <w:rFonts w:ascii="Tahoma" w:hAnsi="Tahoma" w:cs="Tahoma"/>
        </w:rPr>
      </w:pPr>
    </w:p>
    <w:p w14:paraId="7CBE5B71" w14:textId="77777777" w:rsidR="00BC2CB7" w:rsidRPr="00DD592C" w:rsidRDefault="00BC2CB7" w:rsidP="004C1FC9">
      <w:pPr>
        <w:spacing w:before="99" w:line="276" w:lineRule="auto"/>
        <w:jc w:val="both"/>
        <w:rPr>
          <w:rFonts w:ascii="Tahoma" w:hAnsi="Tahoma" w:cs="Tahoma"/>
        </w:rPr>
      </w:pPr>
    </w:p>
    <w:p w14:paraId="2DC6EE85" w14:textId="77777777" w:rsidR="00BC2CB7" w:rsidRPr="00DD592C" w:rsidRDefault="00BC2CB7" w:rsidP="004C1FC9">
      <w:pPr>
        <w:spacing w:before="99" w:line="276" w:lineRule="auto"/>
        <w:jc w:val="both"/>
        <w:rPr>
          <w:rFonts w:ascii="Tahoma" w:hAnsi="Tahoma" w:cs="Tahoma"/>
        </w:rPr>
      </w:pPr>
    </w:p>
    <w:p w14:paraId="43B93085" w14:textId="77777777" w:rsidR="00BC2CB7" w:rsidRPr="00DD592C" w:rsidRDefault="00BC2CB7" w:rsidP="004C1FC9">
      <w:pPr>
        <w:spacing w:before="99" w:line="276" w:lineRule="auto"/>
        <w:jc w:val="both"/>
        <w:rPr>
          <w:rFonts w:ascii="Tahoma" w:hAnsi="Tahoma" w:cs="Tahoma"/>
        </w:rPr>
      </w:pPr>
    </w:p>
    <w:p w14:paraId="32872DBE" w14:textId="77777777" w:rsidR="00BC2CB7" w:rsidRPr="00DD592C" w:rsidRDefault="00BC2CB7" w:rsidP="004C1FC9">
      <w:pPr>
        <w:spacing w:before="99" w:line="276" w:lineRule="auto"/>
        <w:jc w:val="both"/>
        <w:rPr>
          <w:rFonts w:ascii="Tahoma" w:hAnsi="Tahoma" w:cs="Tahoma"/>
        </w:rPr>
      </w:pPr>
    </w:p>
    <w:p w14:paraId="06F29A2F" w14:textId="77777777" w:rsidR="00B9364E" w:rsidRPr="00DD592C" w:rsidRDefault="00B9364E" w:rsidP="004C1FC9">
      <w:pPr>
        <w:pStyle w:val="BodyText"/>
        <w:spacing w:line="276" w:lineRule="auto"/>
        <w:jc w:val="both"/>
        <w:rPr>
          <w:rFonts w:ascii="Tahoma" w:hAnsi="Tahoma" w:cs="Tahoma"/>
          <w:sz w:val="22"/>
          <w:szCs w:val="22"/>
        </w:rPr>
      </w:pPr>
    </w:p>
    <w:p w14:paraId="5A549D4A" w14:textId="77777777" w:rsidR="00EC38E8" w:rsidRDefault="00EC38E8" w:rsidP="004C1FC9">
      <w:pPr>
        <w:pStyle w:val="BodyText"/>
        <w:tabs>
          <w:tab w:val="left" w:pos="3731"/>
        </w:tabs>
        <w:spacing w:line="276" w:lineRule="auto"/>
        <w:jc w:val="right"/>
        <w:rPr>
          <w:rFonts w:ascii="Tahoma" w:hAnsi="Tahoma" w:cs="Tahoma"/>
          <w:sz w:val="22"/>
          <w:szCs w:val="22"/>
        </w:rPr>
      </w:pPr>
    </w:p>
    <w:p w14:paraId="1D00FC05" w14:textId="77777777" w:rsidR="00D631B9" w:rsidRPr="00D631B9" w:rsidRDefault="00D631B9" w:rsidP="00D631B9">
      <w:pPr>
        <w:pStyle w:val="Title"/>
        <w:tabs>
          <w:tab w:val="left" w:pos="2670"/>
          <w:tab w:val="left" w:pos="2820"/>
        </w:tabs>
        <w:ind w:right="142"/>
        <w:jc w:val="right"/>
        <w:rPr>
          <w:b w:val="0"/>
          <w:i/>
          <w:color w:val="FF0000"/>
          <w:sz w:val="22"/>
        </w:rPr>
      </w:pPr>
      <w:r w:rsidRPr="00D631B9">
        <w:rPr>
          <w:b w:val="0"/>
          <w:i/>
          <w:color w:val="000000" w:themeColor="text1"/>
          <w:sz w:val="20"/>
        </w:rPr>
        <w:t>Δελτίο Τύπου της 25/08/2021</w:t>
      </w:r>
    </w:p>
    <w:p w14:paraId="49D10416" w14:textId="77777777" w:rsidR="00D631B9" w:rsidRDefault="00D631B9" w:rsidP="00D631B9">
      <w:pPr>
        <w:pStyle w:val="Title"/>
        <w:ind w:left="1701" w:firstLine="0"/>
        <w:jc w:val="center"/>
        <w:rPr>
          <w:rFonts w:ascii="Segoe UI" w:hAnsi="Segoe UI" w:cs="Segoe UI"/>
          <w:color w:val="000000" w:themeColor="text1"/>
          <w:sz w:val="40"/>
          <w:lang w:val="en-US"/>
        </w:rPr>
      </w:pPr>
    </w:p>
    <w:p w14:paraId="7296A9A3" w14:textId="77777777" w:rsidR="00D631B9" w:rsidRDefault="00D631B9" w:rsidP="003940D2">
      <w:pPr>
        <w:pStyle w:val="Title"/>
        <w:ind w:left="0" w:right="0" w:firstLine="0"/>
        <w:jc w:val="center"/>
        <w:rPr>
          <w:rFonts w:ascii="Segoe UI" w:hAnsi="Segoe UI" w:cs="Segoe UI"/>
          <w:color w:val="000000" w:themeColor="text1"/>
          <w:sz w:val="48"/>
          <w:lang w:val="en-US"/>
        </w:rPr>
      </w:pPr>
      <w:r w:rsidRPr="00AF5B47">
        <w:rPr>
          <w:rFonts w:ascii="Segoe UI" w:hAnsi="Segoe UI" w:cs="Segoe UI"/>
          <w:color w:val="000000" w:themeColor="text1"/>
          <w:sz w:val="48"/>
          <w:lang w:val="en-US"/>
        </w:rPr>
        <w:t>Attica</w:t>
      </w:r>
      <w:r w:rsidRPr="00AF5B47">
        <w:rPr>
          <w:rFonts w:ascii="Segoe UI" w:hAnsi="Segoe UI" w:cs="Segoe UI"/>
          <w:color w:val="000000" w:themeColor="text1"/>
          <w:sz w:val="48"/>
        </w:rPr>
        <w:t xml:space="preserve"> </w:t>
      </w:r>
      <w:r w:rsidRPr="00AF5B47">
        <w:rPr>
          <w:rFonts w:ascii="Segoe UI" w:hAnsi="Segoe UI" w:cs="Segoe UI"/>
          <w:color w:val="000000" w:themeColor="text1"/>
          <w:sz w:val="48"/>
          <w:lang w:val="en-US"/>
        </w:rPr>
        <w:t>Bank</w:t>
      </w:r>
    </w:p>
    <w:p w14:paraId="5099DD1E" w14:textId="77777777" w:rsidR="00D631B9" w:rsidRPr="00AF5B47" w:rsidRDefault="00D631B9" w:rsidP="003940D2">
      <w:pPr>
        <w:pStyle w:val="Title"/>
        <w:numPr>
          <w:ilvl w:val="0"/>
          <w:numId w:val="20"/>
        </w:numPr>
        <w:ind w:right="0"/>
        <w:jc w:val="both"/>
        <w:rPr>
          <w:rFonts w:ascii="Segoe UI" w:hAnsi="Segoe UI" w:cs="Segoe UI"/>
          <w:color w:val="000000" w:themeColor="text1"/>
        </w:rPr>
      </w:pPr>
      <w:r w:rsidRPr="00AF5B47">
        <w:rPr>
          <w:rFonts w:ascii="Segoe UI" w:hAnsi="Segoe UI" w:cs="Segoe UI"/>
          <w:color w:val="000000" w:themeColor="text1"/>
        </w:rPr>
        <w:t>Αποδίδει καρπούς το πρόγραμμα εξυγίανσης και μετασχηματισμού της</w:t>
      </w:r>
    </w:p>
    <w:p w14:paraId="39C49F6A" w14:textId="3F47DDA5" w:rsidR="00D631B9" w:rsidRPr="00AF5B47" w:rsidRDefault="00D631B9" w:rsidP="003940D2">
      <w:pPr>
        <w:pStyle w:val="Title"/>
        <w:numPr>
          <w:ilvl w:val="0"/>
          <w:numId w:val="20"/>
        </w:numPr>
        <w:ind w:right="0"/>
        <w:jc w:val="both"/>
        <w:rPr>
          <w:rFonts w:ascii="Segoe UI" w:hAnsi="Segoe UI" w:cs="Segoe UI"/>
          <w:color w:val="000000" w:themeColor="text1"/>
        </w:rPr>
      </w:pPr>
      <w:r w:rsidRPr="00AF5B47">
        <w:rPr>
          <w:rFonts w:ascii="Segoe UI" w:hAnsi="Segoe UI" w:cs="Segoe UI"/>
          <w:color w:val="000000" w:themeColor="text1"/>
        </w:rPr>
        <w:t xml:space="preserve">Έκτακτη Γενική Συνέλευση στις 15 Σεπτεμβρίου για έγκριση των όρων της αύξησης </w:t>
      </w:r>
      <w:r w:rsidR="000D1BEC">
        <w:rPr>
          <w:rFonts w:ascii="Segoe UI" w:hAnsi="Segoe UI" w:cs="Segoe UI"/>
          <w:color w:val="000000" w:themeColor="text1"/>
        </w:rPr>
        <w:t xml:space="preserve">μετοχικού </w:t>
      </w:r>
      <w:r w:rsidRPr="00AF5B47">
        <w:rPr>
          <w:rFonts w:ascii="Segoe UI" w:hAnsi="Segoe UI" w:cs="Segoe UI"/>
          <w:color w:val="000000" w:themeColor="text1"/>
        </w:rPr>
        <w:t>κεφαλαίου</w:t>
      </w:r>
    </w:p>
    <w:p w14:paraId="47248557" w14:textId="27DAD7BE" w:rsidR="00D631B9" w:rsidRPr="00AF5B47" w:rsidRDefault="00D631B9" w:rsidP="003940D2">
      <w:pPr>
        <w:pStyle w:val="Title"/>
        <w:numPr>
          <w:ilvl w:val="0"/>
          <w:numId w:val="20"/>
        </w:numPr>
        <w:ind w:right="0"/>
        <w:jc w:val="both"/>
        <w:rPr>
          <w:rFonts w:ascii="Segoe UI" w:hAnsi="Segoe UI" w:cs="Segoe UI"/>
          <w:color w:val="000000" w:themeColor="text1"/>
        </w:rPr>
      </w:pPr>
      <w:r w:rsidRPr="00AF5B47">
        <w:rPr>
          <w:rFonts w:ascii="Segoe UI" w:hAnsi="Segoe UI" w:cs="Segoe UI"/>
          <w:color w:val="000000" w:themeColor="text1"/>
        </w:rPr>
        <w:t xml:space="preserve">Σημαντική αύξηση </w:t>
      </w:r>
      <w:r w:rsidR="00D91E56">
        <w:rPr>
          <w:rFonts w:ascii="Segoe UI" w:hAnsi="Segoe UI" w:cs="Segoe UI"/>
          <w:color w:val="000000" w:themeColor="text1"/>
        </w:rPr>
        <w:t xml:space="preserve">σε όλες σχεδόν τις λειτουργικές γραμμές των </w:t>
      </w:r>
      <w:r w:rsidR="00F03B4F">
        <w:rPr>
          <w:rFonts w:ascii="Segoe UI" w:hAnsi="Segoe UI" w:cs="Segoe UI"/>
          <w:color w:val="000000" w:themeColor="text1"/>
        </w:rPr>
        <w:t xml:space="preserve">οικονομικών </w:t>
      </w:r>
      <w:r w:rsidR="00D91E56">
        <w:rPr>
          <w:rFonts w:ascii="Segoe UI" w:hAnsi="Segoe UI" w:cs="Segoe UI"/>
          <w:color w:val="000000" w:themeColor="text1"/>
        </w:rPr>
        <w:t>αποτελεσμάτων κατά το α’ εξάμηνο 2021</w:t>
      </w:r>
    </w:p>
    <w:p w14:paraId="5F1C40A8" w14:textId="77777777" w:rsidR="00D631B9" w:rsidRPr="00B109AA" w:rsidRDefault="00D631B9" w:rsidP="00D631B9">
      <w:pPr>
        <w:pStyle w:val="Title"/>
        <w:ind w:left="426" w:firstLine="0"/>
        <w:jc w:val="center"/>
        <w:rPr>
          <w:rFonts w:ascii="Segoe UI" w:hAnsi="Segoe UI" w:cs="Segoe UI"/>
          <w:color w:val="000000" w:themeColor="text1"/>
          <w:sz w:val="20"/>
        </w:rPr>
      </w:pPr>
    </w:p>
    <w:p w14:paraId="59E95601" w14:textId="65BB645C" w:rsidR="00D631B9" w:rsidRPr="00AF5B47" w:rsidRDefault="00D631B9" w:rsidP="00D631B9">
      <w:pPr>
        <w:pStyle w:val="Title"/>
        <w:ind w:left="0" w:right="0" w:firstLine="0"/>
        <w:jc w:val="both"/>
        <w:rPr>
          <w:rFonts w:ascii="Segoe UI" w:hAnsi="Segoe UI" w:cs="Segoe UI"/>
          <w:b w:val="0"/>
          <w:color w:val="000000" w:themeColor="text1"/>
          <w:sz w:val="24"/>
        </w:rPr>
      </w:pPr>
      <w:r w:rsidRPr="00AF5B47">
        <w:rPr>
          <w:rFonts w:ascii="Segoe UI" w:hAnsi="Segoe UI" w:cs="Segoe UI"/>
          <w:b w:val="0"/>
          <w:color w:val="000000" w:themeColor="text1"/>
          <w:sz w:val="24"/>
        </w:rPr>
        <w:t xml:space="preserve">Ορατά πλέον είναι τα </w:t>
      </w:r>
      <w:r>
        <w:rPr>
          <w:rFonts w:ascii="Segoe UI" w:hAnsi="Segoe UI" w:cs="Segoe UI"/>
          <w:b w:val="0"/>
          <w:color w:val="000000" w:themeColor="text1"/>
          <w:sz w:val="24"/>
        </w:rPr>
        <w:t xml:space="preserve">θετικά </w:t>
      </w:r>
      <w:r w:rsidRPr="00AF5B47">
        <w:rPr>
          <w:rFonts w:ascii="Segoe UI" w:hAnsi="Segoe UI" w:cs="Segoe UI"/>
          <w:b w:val="0"/>
          <w:color w:val="000000" w:themeColor="text1"/>
          <w:sz w:val="24"/>
        </w:rPr>
        <w:t xml:space="preserve">αποτελέσματα </w:t>
      </w:r>
      <w:r>
        <w:rPr>
          <w:rFonts w:ascii="Segoe UI" w:hAnsi="Segoe UI" w:cs="Segoe UI"/>
          <w:b w:val="0"/>
          <w:color w:val="000000" w:themeColor="text1"/>
          <w:sz w:val="24"/>
        </w:rPr>
        <w:t xml:space="preserve">που επιφέρει η πιστή εφαρμογή του 3ετούς επιχειρηματικού σχεδίου που εκπόνησε η Διοίκηση της </w:t>
      </w:r>
      <w:r w:rsidRPr="001D360E">
        <w:rPr>
          <w:rFonts w:ascii="Segoe UI" w:hAnsi="Segoe UI" w:cs="Segoe UI"/>
          <w:b w:val="0"/>
          <w:color w:val="000000" w:themeColor="text1"/>
          <w:sz w:val="24"/>
        </w:rPr>
        <w:t xml:space="preserve">Attica Bank </w:t>
      </w:r>
      <w:r>
        <w:rPr>
          <w:rFonts w:ascii="Segoe UI" w:hAnsi="Segoe UI" w:cs="Segoe UI"/>
          <w:b w:val="0"/>
          <w:color w:val="000000" w:themeColor="text1"/>
          <w:sz w:val="24"/>
        </w:rPr>
        <w:t xml:space="preserve">για τη </w:t>
      </w:r>
      <w:r w:rsidRPr="00AF5B47">
        <w:rPr>
          <w:rFonts w:ascii="Segoe UI" w:hAnsi="Segoe UI" w:cs="Segoe UI"/>
          <w:b w:val="0"/>
          <w:color w:val="000000" w:themeColor="text1"/>
          <w:sz w:val="24"/>
        </w:rPr>
        <w:t>δυναμική επανεκκίνησ</w:t>
      </w:r>
      <w:r>
        <w:rPr>
          <w:rFonts w:ascii="Segoe UI" w:hAnsi="Segoe UI" w:cs="Segoe UI"/>
          <w:b w:val="0"/>
          <w:color w:val="000000" w:themeColor="text1"/>
          <w:sz w:val="24"/>
        </w:rPr>
        <w:t>ή της</w:t>
      </w:r>
      <w:r w:rsidRPr="00AF5B47">
        <w:rPr>
          <w:rFonts w:ascii="Segoe UI" w:hAnsi="Segoe UI" w:cs="Segoe UI"/>
          <w:b w:val="0"/>
          <w:color w:val="000000" w:themeColor="text1"/>
          <w:sz w:val="24"/>
        </w:rPr>
        <w:t xml:space="preserve"> </w:t>
      </w:r>
      <w:r>
        <w:rPr>
          <w:rFonts w:ascii="Segoe UI" w:hAnsi="Segoe UI" w:cs="Segoe UI"/>
          <w:b w:val="0"/>
          <w:color w:val="000000" w:themeColor="text1"/>
          <w:sz w:val="24"/>
        </w:rPr>
        <w:t xml:space="preserve">Τράπεζας </w:t>
      </w:r>
      <w:r w:rsidRPr="00AF5B47">
        <w:rPr>
          <w:rFonts w:ascii="Segoe UI" w:hAnsi="Segoe UI" w:cs="Segoe UI"/>
          <w:b w:val="0"/>
          <w:color w:val="000000" w:themeColor="text1"/>
          <w:sz w:val="24"/>
        </w:rPr>
        <w:t xml:space="preserve">και </w:t>
      </w:r>
      <w:r>
        <w:rPr>
          <w:rFonts w:ascii="Segoe UI" w:hAnsi="Segoe UI" w:cs="Segoe UI"/>
          <w:b w:val="0"/>
          <w:color w:val="000000" w:themeColor="text1"/>
          <w:sz w:val="24"/>
        </w:rPr>
        <w:t xml:space="preserve">την </w:t>
      </w:r>
      <w:r w:rsidRPr="00AF5B47">
        <w:rPr>
          <w:rFonts w:ascii="Segoe UI" w:hAnsi="Segoe UI" w:cs="Segoe UI"/>
          <w:b w:val="0"/>
          <w:color w:val="000000" w:themeColor="text1"/>
          <w:sz w:val="24"/>
        </w:rPr>
        <w:t xml:space="preserve">επιστροφή </w:t>
      </w:r>
      <w:r>
        <w:rPr>
          <w:rFonts w:ascii="Segoe UI" w:hAnsi="Segoe UI" w:cs="Segoe UI"/>
          <w:b w:val="0"/>
          <w:color w:val="000000" w:themeColor="text1"/>
          <w:sz w:val="24"/>
        </w:rPr>
        <w:t xml:space="preserve">της </w:t>
      </w:r>
      <w:r w:rsidRPr="00AF5B47">
        <w:rPr>
          <w:rFonts w:ascii="Segoe UI" w:hAnsi="Segoe UI" w:cs="Segoe UI"/>
          <w:b w:val="0"/>
          <w:color w:val="000000" w:themeColor="text1"/>
          <w:sz w:val="24"/>
        </w:rPr>
        <w:t>σε τροχιά βιώσιμης ανάπτυξης και προόδου</w:t>
      </w:r>
      <w:r>
        <w:rPr>
          <w:rFonts w:ascii="Segoe UI" w:hAnsi="Segoe UI" w:cs="Segoe UI"/>
          <w:b w:val="0"/>
          <w:color w:val="000000" w:themeColor="text1"/>
          <w:sz w:val="24"/>
        </w:rPr>
        <w:t>,</w:t>
      </w:r>
      <w:r w:rsidRPr="00AF5B47">
        <w:rPr>
          <w:rFonts w:ascii="Segoe UI" w:hAnsi="Segoe UI" w:cs="Segoe UI"/>
          <w:b w:val="0"/>
          <w:color w:val="000000" w:themeColor="text1"/>
          <w:sz w:val="24"/>
        </w:rPr>
        <w:t xml:space="preserve"> </w:t>
      </w:r>
      <w:r>
        <w:rPr>
          <w:rFonts w:ascii="Segoe UI" w:hAnsi="Segoe UI" w:cs="Segoe UI"/>
          <w:b w:val="0"/>
          <w:color w:val="000000" w:themeColor="text1"/>
          <w:sz w:val="24"/>
        </w:rPr>
        <w:t>όπως καταδεικνύεται από τ</w:t>
      </w:r>
      <w:r w:rsidRPr="00AF5B47">
        <w:rPr>
          <w:rFonts w:ascii="Segoe UI" w:hAnsi="Segoe UI" w:cs="Segoe UI"/>
          <w:b w:val="0"/>
          <w:color w:val="000000" w:themeColor="text1"/>
          <w:sz w:val="24"/>
        </w:rPr>
        <w:t xml:space="preserve">η συνολική εικόνα βελτίωσης </w:t>
      </w:r>
      <w:r w:rsidR="000670A2">
        <w:rPr>
          <w:rFonts w:ascii="Segoe UI" w:hAnsi="Segoe UI" w:cs="Segoe UI"/>
          <w:b w:val="0"/>
          <w:color w:val="000000" w:themeColor="text1"/>
          <w:sz w:val="24"/>
        </w:rPr>
        <w:t xml:space="preserve">σχεδόν σε όλους τους οικονομικούς δείκτες </w:t>
      </w:r>
      <w:r w:rsidRPr="00AF5B47">
        <w:rPr>
          <w:rFonts w:ascii="Segoe UI" w:hAnsi="Segoe UI" w:cs="Segoe UI"/>
          <w:b w:val="0"/>
          <w:color w:val="000000" w:themeColor="text1"/>
          <w:sz w:val="24"/>
        </w:rPr>
        <w:t>κατά το πρώτο εξάμηνο της τρέχουσας χρήσης</w:t>
      </w:r>
      <w:r>
        <w:rPr>
          <w:rFonts w:ascii="Segoe UI" w:hAnsi="Segoe UI" w:cs="Segoe UI"/>
          <w:b w:val="0"/>
          <w:color w:val="000000" w:themeColor="text1"/>
          <w:sz w:val="24"/>
        </w:rPr>
        <w:t>.</w:t>
      </w:r>
      <w:r w:rsidRPr="00AF5B47">
        <w:rPr>
          <w:rFonts w:ascii="Segoe UI" w:hAnsi="Segoe UI" w:cs="Segoe UI"/>
          <w:b w:val="0"/>
          <w:color w:val="000000" w:themeColor="text1"/>
          <w:sz w:val="24"/>
        </w:rPr>
        <w:t xml:space="preserve"> Η βελτίωση αυτή έρχεται να καταγράψει με εμφατικό τρόπο τα πρώτα δείγματα ουσιαστικής ανάπτυξής της και να σηματοδοτήσει την επιτυχία του προγράμματος μετασχηματισμού της</w:t>
      </w:r>
      <w:r>
        <w:rPr>
          <w:rFonts w:ascii="Segoe UI" w:hAnsi="Segoe UI" w:cs="Segoe UI"/>
          <w:b w:val="0"/>
          <w:color w:val="000000" w:themeColor="text1"/>
          <w:sz w:val="24"/>
        </w:rPr>
        <w:t>.</w:t>
      </w:r>
    </w:p>
    <w:p w14:paraId="6795508F" w14:textId="5F80526B" w:rsidR="00D631B9" w:rsidRPr="00AF5B47" w:rsidRDefault="00D631B9" w:rsidP="00D631B9">
      <w:pPr>
        <w:pStyle w:val="Title"/>
        <w:ind w:left="0" w:right="0" w:firstLine="0"/>
        <w:jc w:val="both"/>
        <w:rPr>
          <w:rFonts w:ascii="Segoe UI" w:hAnsi="Segoe UI" w:cs="Segoe UI"/>
          <w:b w:val="0"/>
          <w:color w:val="000000" w:themeColor="text1"/>
          <w:sz w:val="24"/>
        </w:rPr>
      </w:pPr>
      <w:r>
        <w:rPr>
          <w:rFonts w:ascii="Segoe UI" w:hAnsi="Segoe UI" w:cs="Segoe UI"/>
          <w:b w:val="0"/>
          <w:color w:val="000000" w:themeColor="text1"/>
          <w:sz w:val="24"/>
        </w:rPr>
        <w:t>Υιοθετώντας έναν ολοκληρωμένο και ενεργητικό σχεδιασμό εξυγίανσης και ανάπτυξης</w:t>
      </w:r>
      <w:r w:rsidRPr="00AF5B47">
        <w:rPr>
          <w:rFonts w:ascii="Segoe UI" w:hAnsi="Segoe UI" w:cs="Segoe UI"/>
          <w:b w:val="0"/>
          <w:color w:val="000000" w:themeColor="text1"/>
          <w:sz w:val="24"/>
        </w:rPr>
        <w:t xml:space="preserve"> </w:t>
      </w:r>
      <w:r>
        <w:rPr>
          <w:rFonts w:ascii="Segoe UI" w:hAnsi="Segoe UI" w:cs="Segoe UI"/>
          <w:b w:val="0"/>
          <w:color w:val="000000" w:themeColor="text1"/>
          <w:sz w:val="24"/>
        </w:rPr>
        <w:t xml:space="preserve">και έχοντας </w:t>
      </w:r>
      <w:r w:rsidRPr="00AF5B47">
        <w:rPr>
          <w:rFonts w:ascii="Segoe UI" w:hAnsi="Segoe UI" w:cs="Segoe UI"/>
          <w:b w:val="0"/>
          <w:color w:val="000000" w:themeColor="text1"/>
          <w:sz w:val="24"/>
        </w:rPr>
        <w:t>ήδη ρυθμίσει το θέμα του αναβαλλόμενου φόρου, με την έκδοση των αντίστοιχων παραστατικών τίτλων</w:t>
      </w:r>
      <w:r w:rsidR="00A87EB7">
        <w:rPr>
          <w:rFonts w:ascii="Segoe UI" w:hAnsi="Segoe UI" w:cs="Segoe UI"/>
          <w:b w:val="0"/>
          <w:color w:val="000000" w:themeColor="text1"/>
          <w:sz w:val="24"/>
        </w:rPr>
        <w:t xml:space="preserve">, η </w:t>
      </w:r>
      <w:r w:rsidRPr="00AF5B47">
        <w:rPr>
          <w:rFonts w:ascii="Segoe UI" w:hAnsi="Segoe UI" w:cs="Segoe UI"/>
          <w:b w:val="0"/>
          <w:color w:val="000000" w:themeColor="text1"/>
          <w:sz w:val="24"/>
        </w:rPr>
        <w:t xml:space="preserve"> </w:t>
      </w:r>
      <w:r w:rsidRPr="00AF5B47">
        <w:rPr>
          <w:rFonts w:ascii="Segoe UI" w:hAnsi="Segoe UI" w:cs="Segoe UI"/>
          <w:b w:val="0"/>
          <w:color w:val="000000" w:themeColor="text1"/>
          <w:sz w:val="24"/>
          <w:lang w:val="en-US"/>
        </w:rPr>
        <w:t>Attica</w:t>
      </w:r>
      <w:r w:rsidRPr="00AF5B47">
        <w:rPr>
          <w:rFonts w:ascii="Segoe UI" w:hAnsi="Segoe UI" w:cs="Segoe UI"/>
          <w:b w:val="0"/>
          <w:color w:val="000000" w:themeColor="text1"/>
          <w:sz w:val="24"/>
        </w:rPr>
        <w:t xml:space="preserve"> </w:t>
      </w:r>
      <w:r w:rsidRPr="00AF5B47">
        <w:rPr>
          <w:rFonts w:ascii="Segoe UI" w:hAnsi="Segoe UI" w:cs="Segoe UI"/>
          <w:b w:val="0"/>
          <w:color w:val="000000" w:themeColor="text1"/>
          <w:sz w:val="24"/>
          <w:lang w:val="en-US"/>
        </w:rPr>
        <w:t>Bank</w:t>
      </w:r>
      <w:r w:rsidRPr="00AF5B47">
        <w:rPr>
          <w:rFonts w:ascii="Segoe UI" w:hAnsi="Segoe UI" w:cs="Segoe UI"/>
          <w:b w:val="0"/>
          <w:color w:val="000000" w:themeColor="text1"/>
          <w:sz w:val="24"/>
        </w:rPr>
        <w:t xml:space="preserve"> </w:t>
      </w:r>
      <w:r>
        <w:rPr>
          <w:rFonts w:ascii="Segoe UI" w:hAnsi="Segoe UI" w:cs="Segoe UI"/>
          <w:b w:val="0"/>
          <w:color w:val="000000" w:themeColor="text1"/>
          <w:sz w:val="24"/>
        </w:rPr>
        <w:t>προχωρά στην υλοποίηση της απόφασής της</w:t>
      </w:r>
      <w:r w:rsidRPr="00AF5B47">
        <w:rPr>
          <w:rFonts w:ascii="Segoe UI" w:hAnsi="Segoe UI" w:cs="Segoe UI"/>
          <w:b w:val="0"/>
          <w:color w:val="000000" w:themeColor="text1"/>
          <w:sz w:val="24"/>
        </w:rPr>
        <w:t xml:space="preserve"> </w:t>
      </w:r>
      <w:r>
        <w:rPr>
          <w:rFonts w:ascii="Segoe UI" w:hAnsi="Segoe UI" w:cs="Segoe UI"/>
          <w:b w:val="0"/>
          <w:color w:val="000000" w:themeColor="text1"/>
          <w:sz w:val="24"/>
        </w:rPr>
        <w:t>να προχωρήσει σε</w:t>
      </w:r>
      <w:r w:rsidRPr="00AF5B47">
        <w:rPr>
          <w:rFonts w:ascii="Segoe UI" w:hAnsi="Segoe UI" w:cs="Segoe UI"/>
          <w:b w:val="0"/>
          <w:color w:val="000000" w:themeColor="text1"/>
          <w:sz w:val="24"/>
        </w:rPr>
        <w:t xml:space="preserve"> αναπτυξιακή αύξηση </w:t>
      </w:r>
      <w:r w:rsidR="00913A28">
        <w:rPr>
          <w:rFonts w:ascii="Segoe UI" w:hAnsi="Segoe UI" w:cs="Segoe UI"/>
          <w:b w:val="0"/>
          <w:color w:val="000000" w:themeColor="text1"/>
          <w:sz w:val="24"/>
        </w:rPr>
        <w:t xml:space="preserve">μετοχικού </w:t>
      </w:r>
      <w:r w:rsidRPr="00AF5B47">
        <w:rPr>
          <w:rFonts w:ascii="Segoe UI" w:hAnsi="Segoe UI" w:cs="Segoe UI"/>
          <w:b w:val="0"/>
          <w:color w:val="000000" w:themeColor="text1"/>
          <w:sz w:val="24"/>
        </w:rPr>
        <w:t>κεφαλαίου, με στόχο την αποκατάσταση των δεικτών κεφαλαιακής της επάρκειας</w:t>
      </w:r>
      <w:r>
        <w:rPr>
          <w:rFonts w:ascii="Segoe UI" w:hAnsi="Segoe UI" w:cs="Segoe UI"/>
          <w:b w:val="0"/>
          <w:color w:val="000000" w:themeColor="text1"/>
          <w:sz w:val="24"/>
        </w:rPr>
        <w:t>,</w:t>
      </w:r>
      <w:r w:rsidRPr="00AF5B47">
        <w:rPr>
          <w:rFonts w:ascii="Segoe UI" w:hAnsi="Segoe UI" w:cs="Segoe UI"/>
          <w:b w:val="0"/>
          <w:color w:val="000000" w:themeColor="text1"/>
          <w:sz w:val="24"/>
        </w:rPr>
        <w:t xml:space="preserve"> την αύξηση των χορηγήσεων της</w:t>
      </w:r>
      <w:r>
        <w:rPr>
          <w:rFonts w:ascii="Segoe UI" w:hAnsi="Segoe UI" w:cs="Segoe UI"/>
          <w:b w:val="0"/>
          <w:color w:val="000000" w:themeColor="text1"/>
          <w:sz w:val="24"/>
        </w:rPr>
        <w:t xml:space="preserve"> και τη δυναμική επέκτασή της.</w:t>
      </w:r>
      <w:r w:rsidRPr="00AF5B47">
        <w:rPr>
          <w:rFonts w:ascii="Segoe UI" w:hAnsi="Segoe UI" w:cs="Segoe UI"/>
          <w:b w:val="0"/>
          <w:color w:val="000000" w:themeColor="text1"/>
          <w:sz w:val="24"/>
        </w:rPr>
        <w:t xml:space="preserve"> </w:t>
      </w:r>
    </w:p>
    <w:p w14:paraId="2EFDE3DD" w14:textId="77777777" w:rsidR="00D631B9" w:rsidRDefault="00D631B9">
      <w:pPr>
        <w:rPr>
          <w:rFonts w:ascii="Segoe UI" w:eastAsia="Verdana" w:hAnsi="Segoe UI" w:cs="Segoe UI"/>
          <w:bCs/>
          <w:color w:val="000000" w:themeColor="text1"/>
          <w:sz w:val="24"/>
          <w:szCs w:val="28"/>
        </w:rPr>
      </w:pPr>
      <w:r>
        <w:rPr>
          <w:rFonts w:ascii="Segoe UI" w:hAnsi="Segoe UI" w:cs="Segoe UI"/>
          <w:b/>
          <w:color w:val="000000" w:themeColor="text1"/>
          <w:sz w:val="24"/>
        </w:rPr>
        <w:br w:type="page"/>
      </w:r>
    </w:p>
    <w:p w14:paraId="664062E0" w14:textId="6B58212E" w:rsidR="00D631B9" w:rsidRPr="00AF5B47" w:rsidRDefault="00D631B9" w:rsidP="00D631B9">
      <w:pPr>
        <w:pStyle w:val="Title"/>
        <w:ind w:left="0" w:right="0" w:firstLine="0"/>
        <w:jc w:val="both"/>
        <w:rPr>
          <w:rFonts w:ascii="Segoe UI" w:hAnsi="Segoe UI" w:cs="Segoe UI"/>
          <w:b w:val="0"/>
          <w:color w:val="000000" w:themeColor="text1"/>
          <w:sz w:val="24"/>
        </w:rPr>
      </w:pPr>
      <w:r w:rsidRPr="00AF5B47">
        <w:rPr>
          <w:rFonts w:ascii="Segoe UI" w:hAnsi="Segoe UI" w:cs="Segoe UI"/>
          <w:b w:val="0"/>
          <w:color w:val="000000" w:themeColor="text1"/>
          <w:sz w:val="24"/>
        </w:rPr>
        <w:lastRenderedPageBreak/>
        <w:t xml:space="preserve">Προς το σκοπό αυτό και προκειμένου να επιταχυνθεί η όλη διαδικασία, η </w:t>
      </w:r>
      <w:r w:rsidRPr="00AF5B47">
        <w:rPr>
          <w:rFonts w:ascii="Segoe UI" w:hAnsi="Segoe UI" w:cs="Segoe UI"/>
          <w:b w:val="0"/>
          <w:color w:val="000000" w:themeColor="text1"/>
          <w:sz w:val="24"/>
          <w:lang w:val="en-US"/>
        </w:rPr>
        <w:t>Attica</w:t>
      </w:r>
      <w:r w:rsidRPr="00AF5B47">
        <w:rPr>
          <w:rFonts w:ascii="Segoe UI" w:hAnsi="Segoe UI" w:cs="Segoe UI"/>
          <w:b w:val="0"/>
          <w:color w:val="000000" w:themeColor="text1"/>
          <w:sz w:val="24"/>
        </w:rPr>
        <w:t xml:space="preserve"> </w:t>
      </w:r>
      <w:r w:rsidRPr="00AF5B47">
        <w:rPr>
          <w:rFonts w:ascii="Segoe UI" w:hAnsi="Segoe UI" w:cs="Segoe UI"/>
          <w:b w:val="0"/>
          <w:color w:val="000000" w:themeColor="text1"/>
          <w:sz w:val="24"/>
          <w:lang w:val="en-US"/>
        </w:rPr>
        <w:t>Bank</w:t>
      </w:r>
      <w:r w:rsidRPr="00AF5B47">
        <w:rPr>
          <w:rFonts w:ascii="Segoe UI" w:hAnsi="Segoe UI" w:cs="Segoe UI"/>
          <w:b w:val="0"/>
          <w:color w:val="000000" w:themeColor="text1"/>
          <w:sz w:val="24"/>
        </w:rPr>
        <w:t xml:space="preserve"> συγκαλεί Έκτακτη Γενική Συνέλευση των μετόχων της στις 15 Σεπτεμβρίου, ημέρα Τετάρτη και ώρα 12:00, η οποία – λόγω των προληπτικών μέτρων της πανδημίας που εξακολουθούν να ισχύουν – θα πραγματοποιηθεί μέσω τηλεδιάσκεψης στα γραφεία του Χρηματιστηρίου Αθηνών, προκειμένου να ληφθούν αποφάσεις επί των προτεινόμενων όρων  της αύξησης.</w:t>
      </w:r>
    </w:p>
    <w:p w14:paraId="4F1E1EEA" w14:textId="77777777" w:rsidR="00D631B9" w:rsidRPr="00AF5B47" w:rsidRDefault="00D631B9" w:rsidP="00D631B9">
      <w:pPr>
        <w:pStyle w:val="Title"/>
        <w:ind w:left="0" w:right="0" w:firstLine="0"/>
        <w:jc w:val="both"/>
        <w:rPr>
          <w:rFonts w:ascii="Segoe UI" w:hAnsi="Segoe UI" w:cs="Segoe UI"/>
          <w:b w:val="0"/>
          <w:color w:val="000000" w:themeColor="text1"/>
          <w:sz w:val="24"/>
        </w:rPr>
      </w:pPr>
      <w:r w:rsidRPr="00AF5B47">
        <w:rPr>
          <w:rFonts w:ascii="Segoe UI" w:hAnsi="Segoe UI" w:cs="Segoe UI"/>
          <w:b w:val="0"/>
          <w:color w:val="000000" w:themeColor="text1"/>
          <w:sz w:val="24"/>
        </w:rPr>
        <w:t xml:space="preserve">Ειδικότερα, με σημερινή του απόφαση το Διοικητικό Συμβούλιο της τράπεζας, ενέκρινε τα θέματα της ημερήσιας διάταξης της επικείμενης Έκτακτης Γενικής Συνέλευσης, στα οποία περιλαμβάνονται: </w:t>
      </w:r>
    </w:p>
    <w:p w14:paraId="5194D44B" w14:textId="51335162" w:rsidR="00D631B9" w:rsidRPr="00AF5B47" w:rsidRDefault="00D631B9" w:rsidP="00D631B9">
      <w:pPr>
        <w:pStyle w:val="Title"/>
        <w:numPr>
          <w:ilvl w:val="0"/>
          <w:numId w:val="13"/>
        </w:numPr>
        <w:ind w:left="426" w:right="0"/>
        <w:jc w:val="both"/>
        <w:rPr>
          <w:rFonts w:ascii="Segoe UI" w:hAnsi="Segoe UI" w:cs="Segoe UI"/>
          <w:b w:val="0"/>
          <w:color w:val="000000" w:themeColor="text1"/>
          <w:sz w:val="24"/>
        </w:rPr>
      </w:pPr>
      <w:r w:rsidRPr="00AF5B47">
        <w:rPr>
          <w:rFonts w:ascii="Segoe UI" w:hAnsi="Segoe UI" w:cs="Segoe UI"/>
          <w:b w:val="0"/>
          <w:color w:val="000000" w:themeColor="text1"/>
          <w:sz w:val="24"/>
        </w:rPr>
        <w:t>Αύξηση ονομαστικής αξίας υφιστάμενων</w:t>
      </w:r>
      <w:r w:rsidR="00913A28">
        <w:rPr>
          <w:rFonts w:ascii="Segoe UI" w:hAnsi="Segoe UI" w:cs="Segoe UI"/>
          <w:b w:val="0"/>
          <w:color w:val="000000" w:themeColor="text1"/>
          <w:sz w:val="24"/>
        </w:rPr>
        <w:t xml:space="preserve"> κοινών </w:t>
      </w:r>
      <w:r w:rsidRPr="00AF5B47">
        <w:rPr>
          <w:rFonts w:ascii="Segoe UI" w:hAnsi="Segoe UI" w:cs="Segoe UI"/>
          <w:b w:val="0"/>
          <w:color w:val="000000" w:themeColor="text1"/>
          <w:sz w:val="24"/>
        </w:rPr>
        <w:t xml:space="preserve"> μετοχών από 0,30 ευρώ σε 18 ευρώ, με ταυτόχρονη μείωση του συνολικού αριθμού των υφιστάμενων </w:t>
      </w:r>
      <w:r w:rsidR="00913A28">
        <w:rPr>
          <w:rFonts w:ascii="Segoe UI" w:hAnsi="Segoe UI" w:cs="Segoe UI"/>
          <w:b w:val="0"/>
          <w:color w:val="000000" w:themeColor="text1"/>
          <w:sz w:val="24"/>
        </w:rPr>
        <w:t xml:space="preserve">κοινών </w:t>
      </w:r>
      <w:r w:rsidRPr="00AF5B47">
        <w:rPr>
          <w:rFonts w:ascii="Segoe UI" w:hAnsi="Segoe UI" w:cs="Segoe UI"/>
          <w:b w:val="0"/>
          <w:color w:val="000000" w:themeColor="text1"/>
          <w:sz w:val="24"/>
        </w:rPr>
        <w:t>μετοχών με τη συνένωση 60 μετοχών σε 1 (</w:t>
      </w:r>
      <w:r w:rsidRPr="00AF5B47">
        <w:rPr>
          <w:rFonts w:ascii="Segoe UI" w:hAnsi="Segoe UI" w:cs="Segoe UI"/>
          <w:b w:val="0"/>
          <w:color w:val="000000" w:themeColor="text1"/>
          <w:sz w:val="24"/>
          <w:lang w:val="en-US"/>
        </w:rPr>
        <w:t>reverse</w:t>
      </w:r>
      <w:r w:rsidRPr="00AF5B47">
        <w:rPr>
          <w:rFonts w:ascii="Segoe UI" w:hAnsi="Segoe UI" w:cs="Segoe UI"/>
          <w:b w:val="0"/>
          <w:color w:val="000000" w:themeColor="text1"/>
          <w:sz w:val="24"/>
        </w:rPr>
        <w:t xml:space="preserve"> </w:t>
      </w:r>
      <w:r w:rsidRPr="00AF5B47">
        <w:rPr>
          <w:rFonts w:ascii="Segoe UI" w:hAnsi="Segoe UI" w:cs="Segoe UI"/>
          <w:b w:val="0"/>
          <w:color w:val="000000" w:themeColor="text1"/>
          <w:sz w:val="24"/>
          <w:lang w:val="en-US"/>
        </w:rPr>
        <w:t>split</w:t>
      </w:r>
      <w:r w:rsidRPr="00AF5B47">
        <w:rPr>
          <w:rFonts w:ascii="Segoe UI" w:hAnsi="Segoe UI" w:cs="Segoe UI"/>
          <w:b w:val="0"/>
          <w:color w:val="000000" w:themeColor="text1"/>
          <w:sz w:val="24"/>
        </w:rPr>
        <w:t>)</w:t>
      </w:r>
    </w:p>
    <w:p w14:paraId="55A1208E" w14:textId="77777777" w:rsidR="00D631B9" w:rsidRPr="00AF5B47" w:rsidRDefault="00D631B9" w:rsidP="00D631B9">
      <w:pPr>
        <w:pStyle w:val="Title"/>
        <w:numPr>
          <w:ilvl w:val="0"/>
          <w:numId w:val="13"/>
        </w:numPr>
        <w:ind w:left="426" w:right="0"/>
        <w:jc w:val="both"/>
        <w:rPr>
          <w:rFonts w:ascii="Segoe UI" w:hAnsi="Segoe UI" w:cs="Segoe UI"/>
          <w:b w:val="0"/>
          <w:color w:val="000000" w:themeColor="text1"/>
          <w:sz w:val="24"/>
        </w:rPr>
      </w:pPr>
      <w:r w:rsidRPr="00AF5B47">
        <w:rPr>
          <w:rFonts w:ascii="Segoe UI" w:hAnsi="Segoe UI" w:cs="Segoe UI"/>
          <w:b w:val="0"/>
          <w:color w:val="000000" w:themeColor="text1"/>
          <w:sz w:val="24"/>
        </w:rPr>
        <w:t>Μείωση του μετοχικού κεφαλαίου κατά 136.838.692,60 ευρώ, με μείωση της ονομαστικής αξίας κάθε μετοχής από 18 ευρώ σε 0,20 ευρώ, με σκοπό τον σχηματισμό ειδικού αποθεματικού</w:t>
      </w:r>
    </w:p>
    <w:p w14:paraId="216AC33A" w14:textId="77777777" w:rsidR="00D631B9" w:rsidRPr="00AF5B47" w:rsidRDefault="00D631B9" w:rsidP="00D631B9">
      <w:pPr>
        <w:pStyle w:val="Title"/>
        <w:numPr>
          <w:ilvl w:val="0"/>
          <w:numId w:val="13"/>
        </w:numPr>
        <w:ind w:left="426" w:right="0"/>
        <w:jc w:val="both"/>
        <w:rPr>
          <w:rFonts w:ascii="Segoe UI" w:hAnsi="Segoe UI" w:cs="Segoe UI"/>
          <w:b w:val="0"/>
          <w:color w:val="000000" w:themeColor="text1"/>
          <w:sz w:val="24"/>
        </w:rPr>
      </w:pPr>
      <w:r w:rsidRPr="00AF5B47">
        <w:rPr>
          <w:rFonts w:ascii="Segoe UI" w:hAnsi="Segoe UI" w:cs="Segoe UI"/>
          <w:b w:val="0"/>
          <w:color w:val="000000" w:themeColor="text1"/>
          <w:sz w:val="24"/>
        </w:rPr>
        <w:t>Παροχή δυνατότητας στο Δ.Σ. της τράπεζας να περιορίσει ή να καταργήσει το δικαίωμα προτίμησης των υφιστάμενων μετόχων</w:t>
      </w:r>
    </w:p>
    <w:p w14:paraId="17D0412B" w14:textId="77777777" w:rsidR="00D631B9" w:rsidRPr="00B109AA" w:rsidRDefault="00D631B9" w:rsidP="00D631B9">
      <w:pPr>
        <w:pStyle w:val="Title"/>
        <w:tabs>
          <w:tab w:val="left" w:pos="7125"/>
        </w:tabs>
        <w:ind w:left="426" w:right="0"/>
        <w:jc w:val="both"/>
        <w:rPr>
          <w:rFonts w:ascii="Segoe UI" w:hAnsi="Segoe UI" w:cs="Segoe UI"/>
          <w:b w:val="0"/>
          <w:color w:val="000000" w:themeColor="text1"/>
          <w:sz w:val="22"/>
        </w:rPr>
      </w:pPr>
      <w:r w:rsidRPr="00B109AA">
        <w:rPr>
          <w:rFonts w:ascii="Segoe UI" w:hAnsi="Segoe UI" w:cs="Segoe UI"/>
          <w:b w:val="0"/>
          <w:color w:val="000000" w:themeColor="text1"/>
          <w:sz w:val="22"/>
        </w:rPr>
        <w:tab/>
      </w:r>
      <w:r w:rsidRPr="00B109AA">
        <w:rPr>
          <w:rFonts w:ascii="Segoe UI" w:hAnsi="Segoe UI" w:cs="Segoe UI"/>
          <w:b w:val="0"/>
          <w:color w:val="000000" w:themeColor="text1"/>
          <w:sz w:val="22"/>
        </w:rPr>
        <w:tab/>
      </w:r>
    </w:p>
    <w:p w14:paraId="2B60D1D5" w14:textId="77777777" w:rsidR="00D631B9" w:rsidRDefault="00D631B9" w:rsidP="00D631B9">
      <w:pPr>
        <w:rPr>
          <w:rFonts w:ascii="Segoe UI" w:hAnsi="Segoe UI" w:cs="Segoe UI"/>
          <w:bCs/>
          <w:color w:val="000000" w:themeColor="text1"/>
          <w:sz w:val="20"/>
          <w:szCs w:val="28"/>
        </w:rPr>
      </w:pPr>
      <w:r>
        <w:rPr>
          <w:rFonts w:ascii="Segoe UI" w:hAnsi="Segoe UI" w:cs="Segoe UI"/>
          <w:b/>
          <w:color w:val="000000" w:themeColor="text1"/>
          <w:sz w:val="20"/>
        </w:rPr>
        <w:br w:type="page"/>
      </w:r>
    </w:p>
    <w:p w14:paraId="3C5EAF99" w14:textId="77777777" w:rsidR="00D631B9" w:rsidRPr="00B109AA" w:rsidRDefault="00D631B9" w:rsidP="00D631B9">
      <w:pPr>
        <w:pStyle w:val="Title"/>
        <w:tabs>
          <w:tab w:val="left" w:pos="7125"/>
        </w:tabs>
        <w:ind w:left="0" w:firstLine="0"/>
        <w:rPr>
          <w:rFonts w:ascii="Segoe UI" w:hAnsi="Segoe UI" w:cs="Segoe UI"/>
          <w:b w:val="0"/>
          <w:color w:val="000000" w:themeColor="text1"/>
          <w:sz w:val="20"/>
        </w:rPr>
      </w:pPr>
    </w:p>
    <w:p w14:paraId="1783448B" w14:textId="77777777" w:rsidR="00D631B9" w:rsidRPr="000D7D31" w:rsidRDefault="00D631B9" w:rsidP="00D631B9">
      <w:pPr>
        <w:pStyle w:val="Title"/>
        <w:ind w:left="0" w:firstLine="0"/>
        <w:rPr>
          <w:rFonts w:ascii="Segoe UI" w:hAnsi="Segoe UI" w:cs="Segoe UI"/>
          <w:i/>
          <w:color w:val="000000" w:themeColor="text1"/>
          <w:sz w:val="36"/>
          <w:szCs w:val="36"/>
          <w:u w:val="single"/>
        </w:rPr>
      </w:pPr>
      <w:r w:rsidRPr="00F03B4F">
        <w:rPr>
          <w:rFonts w:ascii="Segoe UI" w:hAnsi="Segoe UI" w:cs="Segoe UI"/>
          <w:i/>
          <w:color w:val="000000" w:themeColor="text1"/>
          <w:sz w:val="36"/>
          <w:szCs w:val="36"/>
          <w:u w:val="single"/>
        </w:rPr>
        <w:t xml:space="preserve">Οι σημαντικότερες μεταβολές μεγεθών της </w:t>
      </w:r>
      <w:r w:rsidRPr="00F03B4F">
        <w:rPr>
          <w:rFonts w:ascii="Segoe UI" w:hAnsi="Segoe UI" w:cs="Segoe UI"/>
          <w:i/>
          <w:color w:val="000000" w:themeColor="text1"/>
          <w:sz w:val="36"/>
          <w:szCs w:val="36"/>
          <w:u w:val="single"/>
          <w:lang w:val="en-US"/>
        </w:rPr>
        <w:t>Attica</w:t>
      </w:r>
      <w:r w:rsidRPr="00F03B4F">
        <w:rPr>
          <w:rFonts w:ascii="Segoe UI" w:hAnsi="Segoe UI" w:cs="Segoe UI"/>
          <w:i/>
          <w:color w:val="000000" w:themeColor="text1"/>
          <w:sz w:val="36"/>
          <w:szCs w:val="36"/>
          <w:u w:val="single"/>
        </w:rPr>
        <w:t xml:space="preserve"> </w:t>
      </w:r>
      <w:r w:rsidRPr="00F03B4F">
        <w:rPr>
          <w:rFonts w:ascii="Segoe UI" w:hAnsi="Segoe UI" w:cs="Segoe UI"/>
          <w:i/>
          <w:color w:val="000000" w:themeColor="text1"/>
          <w:sz w:val="36"/>
          <w:szCs w:val="36"/>
          <w:u w:val="single"/>
          <w:lang w:val="en-US"/>
        </w:rPr>
        <w:t>Bank</w:t>
      </w:r>
      <w:r w:rsidRPr="00F03B4F">
        <w:rPr>
          <w:rFonts w:ascii="Segoe UI" w:hAnsi="Segoe UI" w:cs="Segoe UI"/>
          <w:i/>
          <w:color w:val="000000" w:themeColor="text1"/>
          <w:sz w:val="36"/>
          <w:szCs w:val="36"/>
          <w:u w:val="single"/>
        </w:rPr>
        <w:t xml:space="preserve"> κατά το Α΄ εξάμηνο:</w:t>
      </w:r>
      <w:r w:rsidRPr="000D7D31">
        <w:rPr>
          <w:rFonts w:ascii="Segoe UI" w:hAnsi="Segoe UI" w:cs="Segoe UI"/>
          <w:i/>
          <w:color w:val="000000" w:themeColor="text1"/>
          <w:sz w:val="36"/>
          <w:szCs w:val="36"/>
          <w:u w:val="single"/>
        </w:rPr>
        <w:t xml:space="preserve"> </w:t>
      </w:r>
    </w:p>
    <w:p w14:paraId="21E958AC" w14:textId="60FD2461" w:rsidR="00D631B9" w:rsidRPr="00BC5D54" w:rsidRDefault="00D631B9" w:rsidP="00D631B9">
      <w:pPr>
        <w:pStyle w:val="BodyText"/>
        <w:spacing w:before="9"/>
        <w:rPr>
          <w:b/>
          <w:color w:val="FF0000"/>
          <w:sz w:val="8"/>
        </w:rPr>
      </w:pPr>
    </w:p>
    <w:p w14:paraId="0FFB7F9A" w14:textId="6A6981B7" w:rsidR="00D631B9" w:rsidRPr="00BC5D54" w:rsidRDefault="00D631B9" w:rsidP="00D631B9">
      <w:pPr>
        <w:pStyle w:val="BodyText"/>
        <w:spacing w:before="6"/>
        <w:rPr>
          <w:b/>
          <w:color w:val="FF0000"/>
          <w:sz w:val="26"/>
        </w:rPr>
      </w:pPr>
      <w:r w:rsidRPr="00BC5D54">
        <w:rPr>
          <w:noProof/>
          <w:color w:val="FF0000"/>
          <w:lang w:eastAsia="el-GR"/>
        </w:rPr>
        <mc:AlternateContent>
          <mc:Choice Requires="wpg">
            <w:drawing>
              <wp:anchor distT="0" distB="0" distL="0" distR="0" simplePos="0" relativeHeight="487255040" behindDoc="1" locked="0" layoutInCell="1" allowOverlap="1" wp14:anchorId="38182678" wp14:editId="3914ABDC">
                <wp:simplePos x="0" y="0"/>
                <wp:positionH relativeFrom="margin">
                  <wp:posOffset>-1019175</wp:posOffset>
                </wp:positionH>
                <wp:positionV relativeFrom="paragraph">
                  <wp:posOffset>219710</wp:posOffset>
                </wp:positionV>
                <wp:extent cx="7315200" cy="4349115"/>
                <wp:effectExtent l="0" t="0" r="0" b="0"/>
                <wp:wrapTopAndBottom/>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4349115"/>
                          <a:chOff x="-101" y="75"/>
                          <a:chExt cx="11024" cy="4347"/>
                        </a:xfrm>
                      </wpg:grpSpPr>
                      <wps:wsp>
                        <wps:cNvPr id="239" name="Freeform 240"/>
                        <wps:cNvSpPr>
                          <a:spLocks/>
                        </wps:cNvSpPr>
                        <wps:spPr bwMode="auto">
                          <a:xfrm>
                            <a:off x="189" y="75"/>
                            <a:ext cx="10734" cy="4347"/>
                          </a:xfrm>
                          <a:custGeom>
                            <a:avLst/>
                            <a:gdLst>
                              <a:gd name="T0" fmla="+- 0 10378 866"/>
                              <a:gd name="T1" fmla="*/ T0 w 10175"/>
                              <a:gd name="T2" fmla="+- 0 145 145"/>
                              <a:gd name="T3" fmla="*/ 145 h 4185"/>
                              <a:gd name="T4" fmla="+- 0 1527 866"/>
                              <a:gd name="T5" fmla="*/ T4 w 10175"/>
                              <a:gd name="T6" fmla="+- 0 145 145"/>
                              <a:gd name="T7" fmla="*/ 145 h 4185"/>
                              <a:gd name="T8" fmla="+- 0 1450 866"/>
                              <a:gd name="T9" fmla="*/ T8 w 10175"/>
                              <a:gd name="T10" fmla="+- 0 150 145"/>
                              <a:gd name="T11" fmla="*/ 150 h 4185"/>
                              <a:gd name="T12" fmla="+- 0 1376 866"/>
                              <a:gd name="T13" fmla="*/ T12 w 10175"/>
                              <a:gd name="T14" fmla="+- 0 163 145"/>
                              <a:gd name="T15" fmla="*/ 163 h 4185"/>
                              <a:gd name="T16" fmla="+- 0 1305 866"/>
                              <a:gd name="T17" fmla="*/ T16 w 10175"/>
                              <a:gd name="T18" fmla="+- 0 184 145"/>
                              <a:gd name="T19" fmla="*/ 184 h 4185"/>
                              <a:gd name="T20" fmla="+- 0 1237 866"/>
                              <a:gd name="T21" fmla="*/ T20 w 10175"/>
                              <a:gd name="T22" fmla="+- 0 213 145"/>
                              <a:gd name="T23" fmla="*/ 213 h 4185"/>
                              <a:gd name="T24" fmla="+- 0 1173 866"/>
                              <a:gd name="T25" fmla="*/ T24 w 10175"/>
                              <a:gd name="T26" fmla="+- 0 249 145"/>
                              <a:gd name="T27" fmla="*/ 249 h 4185"/>
                              <a:gd name="T28" fmla="+- 0 1114 866"/>
                              <a:gd name="T29" fmla="*/ T28 w 10175"/>
                              <a:gd name="T30" fmla="+- 0 291 145"/>
                              <a:gd name="T31" fmla="*/ 291 h 4185"/>
                              <a:gd name="T32" fmla="+- 0 1060 866"/>
                              <a:gd name="T33" fmla="*/ T32 w 10175"/>
                              <a:gd name="T34" fmla="+- 0 340 145"/>
                              <a:gd name="T35" fmla="*/ 340 h 4185"/>
                              <a:gd name="T36" fmla="+- 0 1011 866"/>
                              <a:gd name="T37" fmla="*/ T36 w 10175"/>
                              <a:gd name="T38" fmla="+- 0 394 145"/>
                              <a:gd name="T39" fmla="*/ 394 h 4185"/>
                              <a:gd name="T40" fmla="+- 0 969 866"/>
                              <a:gd name="T41" fmla="*/ T40 w 10175"/>
                              <a:gd name="T42" fmla="+- 0 453 145"/>
                              <a:gd name="T43" fmla="*/ 453 h 4185"/>
                              <a:gd name="T44" fmla="+- 0 933 866"/>
                              <a:gd name="T45" fmla="*/ T44 w 10175"/>
                              <a:gd name="T46" fmla="+- 0 517 145"/>
                              <a:gd name="T47" fmla="*/ 517 h 4185"/>
                              <a:gd name="T48" fmla="+- 0 904 866"/>
                              <a:gd name="T49" fmla="*/ T48 w 10175"/>
                              <a:gd name="T50" fmla="+- 0 584 145"/>
                              <a:gd name="T51" fmla="*/ 584 h 4185"/>
                              <a:gd name="T52" fmla="+- 0 883 866"/>
                              <a:gd name="T53" fmla="*/ T52 w 10175"/>
                              <a:gd name="T54" fmla="+- 0 656 145"/>
                              <a:gd name="T55" fmla="*/ 656 h 4185"/>
                              <a:gd name="T56" fmla="+- 0 870 866"/>
                              <a:gd name="T57" fmla="*/ T56 w 10175"/>
                              <a:gd name="T58" fmla="+- 0 730 145"/>
                              <a:gd name="T59" fmla="*/ 730 h 4185"/>
                              <a:gd name="T60" fmla="+- 0 866 866"/>
                              <a:gd name="T61" fmla="*/ T60 w 10175"/>
                              <a:gd name="T62" fmla="+- 0 807 145"/>
                              <a:gd name="T63" fmla="*/ 807 h 4185"/>
                              <a:gd name="T64" fmla="+- 0 866 866"/>
                              <a:gd name="T65" fmla="*/ T64 w 10175"/>
                              <a:gd name="T66" fmla="+- 0 3668 145"/>
                              <a:gd name="T67" fmla="*/ 3668 h 4185"/>
                              <a:gd name="T68" fmla="+- 0 870 866"/>
                              <a:gd name="T69" fmla="*/ T68 w 10175"/>
                              <a:gd name="T70" fmla="+- 0 3745 145"/>
                              <a:gd name="T71" fmla="*/ 3745 h 4185"/>
                              <a:gd name="T72" fmla="+- 0 883 866"/>
                              <a:gd name="T73" fmla="*/ T72 w 10175"/>
                              <a:gd name="T74" fmla="+- 0 3819 145"/>
                              <a:gd name="T75" fmla="*/ 3819 h 4185"/>
                              <a:gd name="T76" fmla="+- 0 904 866"/>
                              <a:gd name="T77" fmla="*/ T76 w 10175"/>
                              <a:gd name="T78" fmla="+- 0 3890 145"/>
                              <a:gd name="T79" fmla="*/ 3890 h 4185"/>
                              <a:gd name="T80" fmla="+- 0 933 866"/>
                              <a:gd name="T81" fmla="*/ T80 w 10175"/>
                              <a:gd name="T82" fmla="+- 0 3958 145"/>
                              <a:gd name="T83" fmla="*/ 3958 h 4185"/>
                              <a:gd name="T84" fmla="+- 0 969 866"/>
                              <a:gd name="T85" fmla="*/ T84 w 10175"/>
                              <a:gd name="T86" fmla="+- 0 4022 145"/>
                              <a:gd name="T87" fmla="*/ 4022 h 4185"/>
                              <a:gd name="T88" fmla="+- 0 1011 866"/>
                              <a:gd name="T89" fmla="*/ T88 w 10175"/>
                              <a:gd name="T90" fmla="+- 0 4081 145"/>
                              <a:gd name="T91" fmla="*/ 4081 h 4185"/>
                              <a:gd name="T92" fmla="+- 0 1060 866"/>
                              <a:gd name="T93" fmla="*/ T92 w 10175"/>
                              <a:gd name="T94" fmla="+- 0 4135 145"/>
                              <a:gd name="T95" fmla="*/ 4135 h 4185"/>
                              <a:gd name="T96" fmla="+- 0 1114 866"/>
                              <a:gd name="T97" fmla="*/ T96 w 10175"/>
                              <a:gd name="T98" fmla="+- 0 4184 145"/>
                              <a:gd name="T99" fmla="*/ 4184 h 4185"/>
                              <a:gd name="T100" fmla="+- 0 1173 866"/>
                              <a:gd name="T101" fmla="*/ T100 w 10175"/>
                              <a:gd name="T102" fmla="+- 0 4226 145"/>
                              <a:gd name="T103" fmla="*/ 4226 h 4185"/>
                              <a:gd name="T104" fmla="+- 0 1237 866"/>
                              <a:gd name="T105" fmla="*/ T104 w 10175"/>
                              <a:gd name="T106" fmla="+- 0 4262 145"/>
                              <a:gd name="T107" fmla="*/ 4262 h 4185"/>
                              <a:gd name="T108" fmla="+- 0 1305 866"/>
                              <a:gd name="T109" fmla="*/ T108 w 10175"/>
                              <a:gd name="T110" fmla="+- 0 4291 145"/>
                              <a:gd name="T111" fmla="*/ 4291 h 4185"/>
                              <a:gd name="T112" fmla="+- 0 1376 866"/>
                              <a:gd name="T113" fmla="*/ T112 w 10175"/>
                              <a:gd name="T114" fmla="+- 0 4312 145"/>
                              <a:gd name="T115" fmla="*/ 4312 h 4185"/>
                              <a:gd name="T116" fmla="+- 0 1450 866"/>
                              <a:gd name="T117" fmla="*/ T116 w 10175"/>
                              <a:gd name="T118" fmla="+- 0 4325 145"/>
                              <a:gd name="T119" fmla="*/ 4325 h 4185"/>
                              <a:gd name="T120" fmla="+- 0 1527 866"/>
                              <a:gd name="T121" fmla="*/ T120 w 10175"/>
                              <a:gd name="T122" fmla="+- 0 4329 145"/>
                              <a:gd name="T123" fmla="*/ 4329 h 4185"/>
                              <a:gd name="T124" fmla="+- 0 10378 866"/>
                              <a:gd name="T125" fmla="*/ T124 w 10175"/>
                              <a:gd name="T126" fmla="+- 0 4329 145"/>
                              <a:gd name="T127" fmla="*/ 4329 h 4185"/>
                              <a:gd name="T128" fmla="+- 0 10455 866"/>
                              <a:gd name="T129" fmla="*/ T128 w 10175"/>
                              <a:gd name="T130" fmla="+- 0 4325 145"/>
                              <a:gd name="T131" fmla="*/ 4325 h 4185"/>
                              <a:gd name="T132" fmla="+- 0 10530 866"/>
                              <a:gd name="T133" fmla="*/ T132 w 10175"/>
                              <a:gd name="T134" fmla="+- 0 4312 145"/>
                              <a:gd name="T135" fmla="*/ 4312 h 4185"/>
                              <a:gd name="T136" fmla="+- 0 10601 866"/>
                              <a:gd name="T137" fmla="*/ T136 w 10175"/>
                              <a:gd name="T138" fmla="+- 0 4291 145"/>
                              <a:gd name="T139" fmla="*/ 4291 h 4185"/>
                              <a:gd name="T140" fmla="+- 0 10669 866"/>
                              <a:gd name="T141" fmla="*/ T140 w 10175"/>
                              <a:gd name="T142" fmla="+- 0 4262 145"/>
                              <a:gd name="T143" fmla="*/ 4262 h 4185"/>
                              <a:gd name="T144" fmla="+- 0 10732 866"/>
                              <a:gd name="T145" fmla="*/ T144 w 10175"/>
                              <a:gd name="T146" fmla="+- 0 4226 145"/>
                              <a:gd name="T147" fmla="*/ 4226 h 4185"/>
                              <a:gd name="T148" fmla="+- 0 10792 866"/>
                              <a:gd name="T149" fmla="*/ T148 w 10175"/>
                              <a:gd name="T150" fmla="+- 0 4184 145"/>
                              <a:gd name="T151" fmla="*/ 4184 h 4185"/>
                              <a:gd name="T152" fmla="+- 0 10846 866"/>
                              <a:gd name="T153" fmla="*/ T152 w 10175"/>
                              <a:gd name="T154" fmla="+- 0 4135 145"/>
                              <a:gd name="T155" fmla="*/ 4135 h 4185"/>
                              <a:gd name="T156" fmla="+- 0 10894 866"/>
                              <a:gd name="T157" fmla="*/ T156 w 10175"/>
                              <a:gd name="T158" fmla="+- 0 4081 145"/>
                              <a:gd name="T159" fmla="*/ 4081 h 4185"/>
                              <a:gd name="T160" fmla="+- 0 10937 866"/>
                              <a:gd name="T161" fmla="*/ T160 w 10175"/>
                              <a:gd name="T162" fmla="+- 0 4022 145"/>
                              <a:gd name="T163" fmla="*/ 4022 h 4185"/>
                              <a:gd name="T164" fmla="+- 0 10972 866"/>
                              <a:gd name="T165" fmla="*/ T164 w 10175"/>
                              <a:gd name="T166" fmla="+- 0 3958 145"/>
                              <a:gd name="T167" fmla="*/ 3958 h 4185"/>
                              <a:gd name="T168" fmla="+- 0 11001 866"/>
                              <a:gd name="T169" fmla="*/ T168 w 10175"/>
                              <a:gd name="T170" fmla="+- 0 3890 145"/>
                              <a:gd name="T171" fmla="*/ 3890 h 4185"/>
                              <a:gd name="T172" fmla="+- 0 11022 866"/>
                              <a:gd name="T173" fmla="*/ T172 w 10175"/>
                              <a:gd name="T174" fmla="+- 0 3819 145"/>
                              <a:gd name="T175" fmla="*/ 3819 h 4185"/>
                              <a:gd name="T176" fmla="+- 0 11036 866"/>
                              <a:gd name="T177" fmla="*/ T176 w 10175"/>
                              <a:gd name="T178" fmla="+- 0 3745 145"/>
                              <a:gd name="T179" fmla="*/ 3745 h 4185"/>
                              <a:gd name="T180" fmla="+- 0 11040 866"/>
                              <a:gd name="T181" fmla="*/ T180 w 10175"/>
                              <a:gd name="T182" fmla="+- 0 3668 145"/>
                              <a:gd name="T183" fmla="*/ 3668 h 4185"/>
                              <a:gd name="T184" fmla="+- 0 11040 866"/>
                              <a:gd name="T185" fmla="*/ T184 w 10175"/>
                              <a:gd name="T186" fmla="+- 0 807 145"/>
                              <a:gd name="T187" fmla="*/ 807 h 4185"/>
                              <a:gd name="T188" fmla="+- 0 11036 866"/>
                              <a:gd name="T189" fmla="*/ T188 w 10175"/>
                              <a:gd name="T190" fmla="+- 0 730 145"/>
                              <a:gd name="T191" fmla="*/ 730 h 4185"/>
                              <a:gd name="T192" fmla="+- 0 11022 866"/>
                              <a:gd name="T193" fmla="*/ T192 w 10175"/>
                              <a:gd name="T194" fmla="+- 0 656 145"/>
                              <a:gd name="T195" fmla="*/ 656 h 4185"/>
                              <a:gd name="T196" fmla="+- 0 11001 866"/>
                              <a:gd name="T197" fmla="*/ T196 w 10175"/>
                              <a:gd name="T198" fmla="+- 0 584 145"/>
                              <a:gd name="T199" fmla="*/ 584 h 4185"/>
                              <a:gd name="T200" fmla="+- 0 10972 866"/>
                              <a:gd name="T201" fmla="*/ T200 w 10175"/>
                              <a:gd name="T202" fmla="+- 0 517 145"/>
                              <a:gd name="T203" fmla="*/ 517 h 4185"/>
                              <a:gd name="T204" fmla="+- 0 10937 866"/>
                              <a:gd name="T205" fmla="*/ T204 w 10175"/>
                              <a:gd name="T206" fmla="+- 0 453 145"/>
                              <a:gd name="T207" fmla="*/ 453 h 4185"/>
                              <a:gd name="T208" fmla="+- 0 10894 866"/>
                              <a:gd name="T209" fmla="*/ T208 w 10175"/>
                              <a:gd name="T210" fmla="+- 0 394 145"/>
                              <a:gd name="T211" fmla="*/ 394 h 4185"/>
                              <a:gd name="T212" fmla="+- 0 10846 866"/>
                              <a:gd name="T213" fmla="*/ T212 w 10175"/>
                              <a:gd name="T214" fmla="+- 0 340 145"/>
                              <a:gd name="T215" fmla="*/ 340 h 4185"/>
                              <a:gd name="T216" fmla="+- 0 10792 866"/>
                              <a:gd name="T217" fmla="*/ T216 w 10175"/>
                              <a:gd name="T218" fmla="+- 0 291 145"/>
                              <a:gd name="T219" fmla="*/ 291 h 4185"/>
                              <a:gd name="T220" fmla="+- 0 10732 866"/>
                              <a:gd name="T221" fmla="*/ T220 w 10175"/>
                              <a:gd name="T222" fmla="+- 0 249 145"/>
                              <a:gd name="T223" fmla="*/ 249 h 4185"/>
                              <a:gd name="T224" fmla="+- 0 10669 866"/>
                              <a:gd name="T225" fmla="*/ T224 w 10175"/>
                              <a:gd name="T226" fmla="+- 0 213 145"/>
                              <a:gd name="T227" fmla="*/ 213 h 4185"/>
                              <a:gd name="T228" fmla="+- 0 10601 866"/>
                              <a:gd name="T229" fmla="*/ T228 w 10175"/>
                              <a:gd name="T230" fmla="+- 0 184 145"/>
                              <a:gd name="T231" fmla="*/ 184 h 4185"/>
                              <a:gd name="T232" fmla="+- 0 10530 866"/>
                              <a:gd name="T233" fmla="*/ T232 w 10175"/>
                              <a:gd name="T234" fmla="+- 0 163 145"/>
                              <a:gd name="T235" fmla="*/ 163 h 4185"/>
                              <a:gd name="T236" fmla="+- 0 10455 866"/>
                              <a:gd name="T237" fmla="*/ T236 w 10175"/>
                              <a:gd name="T238" fmla="+- 0 150 145"/>
                              <a:gd name="T239" fmla="*/ 150 h 4185"/>
                              <a:gd name="T240" fmla="+- 0 10378 866"/>
                              <a:gd name="T241" fmla="*/ T240 w 10175"/>
                              <a:gd name="T242" fmla="+- 0 145 145"/>
                              <a:gd name="T243" fmla="*/ 145 h 4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0175" h="4185">
                                <a:moveTo>
                                  <a:pt x="9512" y="0"/>
                                </a:moveTo>
                                <a:lnTo>
                                  <a:pt x="661" y="0"/>
                                </a:lnTo>
                                <a:lnTo>
                                  <a:pt x="584" y="5"/>
                                </a:lnTo>
                                <a:lnTo>
                                  <a:pt x="510" y="18"/>
                                </a:lnTo>
                                <a:lnTo>
                                  <a:pt x="439" y="39"/>
                                </a:lnTo>
                                <a:lnTo>
                                  <a:pt x="371" y="68"/>
                                </a:lnTo>
                                <a:lnTo>
                                  <a:pt x="307" y="104"/>
                                </a:lnTo>
                                <a:lnTo>
                                  <a:pt x="248" y="146"/>
                                </a:lnTo>
                                <a:lnTo>
                                  <a:pt x="194" y="195"/>
                                </a:lnTo>
                                <a:lnTo>
                                  <a:pt x="145" y="249"/>
                                </a:lnTo>
                                <a:lnTo>
                                  <a:pt x="103" y="308"/>
                                </a:lnTo>
                                <a:lnTo>
                                  <a:pt x="67" y="372"/>
                                </a:lnTo>
                                <a:lnTo>
                                  <a:pt x="38" y="439"/>
                                </a:lnTo>
                                <a:lnTo>
                                  <a:pt x="17" y="511"/>
                                </a:lnTo>
                                <a:lnTo>
                                  <a:pt x="4" y="585"/>
                                </a:lnTo>
                                <a:lnTo>
                                  <a:pt x="0" y="662"/>
                                </a:lnTo>
                                <a:lnTo>
                                  <a:pt x="0" y="3523"/>
                                </a:lnTo>
                                <a:lnTo>
                                  <a:pt x="4" y="3600"/>
                                </a:lnTo>
                                <a:lnTo>
                                  <a:pt x="17" y="3674"/>
                                </a:lnTo>
                                <a:lnTo>
                                  <a:pt x="38" y="3745"/>
                                </a:lnTo>
                                <a:lnTo>
                                  <a:pt x="67" y="3813"/>
                                </a:lnTo>
                                <a:lnTo>
                                  <a:pt x="103" y="3877"/>
                                </a:lnTo>
                                <a:lnTo>
                                  <a:pt x="145" y="3936"/>
                                </a:lnTo>
                                <a:lnTo>
                                  <a:pt x="194" y="3990"/>
                                </a:lnTo>
                                <a:lnTo>
                                  <a:pt x="248" y="4039"/>
                                </a:lnTo>
                                <a:lnTo>
                                  <a:pt x="307" y="4081"/>
                                </a:lnTo>
                                <a:lnTo>
                                  <a:pt x="371" y="4117"/>
                                </a:lnTo>
                                <a:lnTo>
                                  <a:pt x="439" y="4146"/>
                                </a:lnTo>
                                <a:lnTo>
                                  <a:pt x="510" y="4167"/>
                                </a:lnTo>
                                <a:lnTo>
                                  <a:pt x="584" y="4180"/>
                                </a:lnTo>
                                <a:lnTo>
                                  <a:pt x="661" y="4184"/>
                                </a:lnTo>
                                <a:lnTo>
                                  <a:pt x="9512" y="4184"/>
                                </a:lnTo>
                                <a:lnTo>
                                  <a:pt x="9589" y="4180"/>
                                </a:lnTo>
                                <a:lnTo>
                                  <a:pt x="9664" y="4167"/>
                                </a:lnTo>
                                <a:lnTo>
                                  <a:pt x="9735" y="4146"/>
                                </a:lnTo>
                                <a:lnTo>
                                  <a:pt x="9803" y="4117"/>
                                </a:lnTo>
                                <a:lnTo>
                                  <a:pt x="9866" y="4081"/>
                                </a:lnTo>
                                <a:lnTo>
                                  <a:pt x="9926" y="4039"/>
                                </a:lnTo>
                                <a:lnTo>
                                  <a:pt x="9980" y="3990"/>
                                </a:lnTo>
                                <a:lnTo>
                                  <a:pt x="10028" y="3936"/>
                                </a:lnTo>
                                <a:lnTo>
                                  <a:pt x="10071" y="3877"/>
                                </a:lnTo>
                                <a:lnTo>
                                  <a:pt x="10106" y="3813"/>
                                </a:lnTo>
                                <a:lnTo>
                                  <a:pt x="10135" y="3745"/>
                                </a:lnTo>
                                <a:lnTo>
                                  <a:pt x="10156" y="3674"/>
                                </a:lnTo>
                                <a:lnTo>
                                  <a:pt x="10170" y="3600"/>
                                </a:lnTo>
                                <a:lnTo>
                                  <a:pt x="10174" y="3523"/>
                                </a:lnTo>
                                <a:lnTo>
                                  <a:pt x="10174" y="662"/>
                                </a:lnTo>
                                <a:lnTo>
                                  <a:pt x="10170" y="585"/>
                                </a:lnTo>
                                <a:lnTo>
                                  <a:pt x="10156" y="511"/>
                                </a:lnTo>
                                <a:lnTo>
                                  <a:pt x="10135" y="439"/>
                                </a:lnTo>
                                <a:lnTo>
                                  <a:pt x="10106" y="372"/>
                                </a:lnTo>
                                <a:lnTo>
                                  <a:pt x="10071" y="308"/>
                                </a:lnTo>
                                <a:lnTo>
                                  <a:pt x="10028" y="249"/>
                                </a:lnTo>
                                <a:lnTo>
                                  <a:pt x="9980" y="195"/>
                                </a:lnTo>
                                <a:lnTo>
                                  <a:pt x="9926" y="146"/>
                                </a:lnTo>
                                <a:lnTo>
                                  <a:pt x="9866" y="104"/>
                                </a:lnTo>
                                <a:lnTo>
                                  <a:pt x="9803" y="68"/>
                                </a:lnTo>
                                <a:lnTo>
                                  <a:pt x="9735" y="39"/>
                                </a:lnTo>
                                <a:lnTo>
                                  <a:pt x="9664" y="18"/>
                                </a:lnTo>
                                <a:lnTo>
                                  <a:pt x="9589" y="5"/>
                                </a:lnTo>
                                <a:lnTo>
                                  <a:pt x="9512" y="0"/>
                                </a:lnTo>
                                <a:close/>
                              </a:path>
                            </a:pathLst>
                          </a:custGeom>
                          <a:solidFill>
                            <a:srgbClr val="C3C5CA">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Text Box 239"/>
                        <wps:cNvSpPr txBox="1">
                          <a:spLocks noChangeArrowheads="1"/>
                        </wps:cNvSpPr>
                        <wps:spPr bwMode="auto">
                          <a:xfrm>
                            <a:off x="-101" y="100"/>
                            <a:ext cx="10579" cy="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49C19" w14:textId="77777777" w:rsidR="00D631B9" w:rsidRPr="00B3268F" w:rsidRDefault="00D631B9" w:rsidP="00D631B9">
                              <w:pPr>
                                <w:spacing w:before="9"/>
                                <w:rPr>
                                  <w:b/>
                                  <w:color w:val="1A478D"/>
                                  <w:sz w:val="21"/>
                                </w:rPr>
                              </w:pPr>
                            </w:p>
                            <w:p w14:paraId="30E520E2" w14:textId="77777777" w:rsidR="00D631B9" w:rsidRPr="00BC5D54" w:rsidRDefault="00D631B9" w:rsidP="00D631B9">
                              <w:pPr>
                                <w:spacing w:before="9"/>
                                <w:rPr>
                                  <w:b/>
                                  <w:color w:val="FF0000"/>
                                  <w:sz w:val="21"/>
                                </w:rPr>
                              </w:pPr>
                            </w:p>
                            <w:p w14:paraId="612B419C" w14:textId="7A90525D" w:rsidR="00D631B9" w:rsidRPr="00E16692" w:rsidRDefault="00D631B9" w:rsidP="00D631B9">
                              <w:pPr>
                                <w:pStyle w:val="Heading2"/>
                                <w:numPr>
                                  <w:ilvl w:val="0"/>
                                  <w:numId w:val="12"/>
                                </w:numPr>
                                <w:tabs>
                                  <w:tab w:val="left" w:pos="840"/>
                                  <w:tab w:val="left" w:pos="841"/>
                                </w:tabs>
                                <w:jc w:val="both"/>
                                <w:rPr>
                                  <w:rFonts w:eastAsia="Verdana"/>
                                  <w:b w:val="0"/>
                                  <w:bCs w:val="0"/>
                                  <w:color w:val="002060"/>
                                  <w:sz w:val="20"/>
                                </w:rPr>
                              </w:pPr>
                              <w:r w:rsidRPr="00E16692">
                                <w:rPr>
                                  <w:rFonts w:eastAsia="Verdana"/>
                                  <w:b w:val="0"/>
                                  <w:bCs w:val="0"/>
                                  <w:color w:val="002060"/>
                                  <w:sz w:val="20"/>
                                </w:rPr>
                                <w:t xml:space="preserve">Αύξηση των καθαρών εσόδων από τόκους κατά 22% σε σχέση </w:t>
                              </w:r>
                              <w:r w:rsidR="00913A28">
                                <w:rPr>
                                  <w:rFonts w:eastAsia="Verdana"/>
                                  <w:b w:val="0"/>
                                  <w:bCs w:val="0"/>
                                  <w:color w:val="002060"/>
                                  <w:sz w:val="20"/>
                                </w:rPr>
                                <w:t>με το περσινό εξάμηνο</w:t>
                              </w:r>
                              <w:r w:rsidRPr="00E16692">
                                <w:rPr>
                                  <w:rFonts w:eastAsia="Verdana"/>
                                  <w:b w:val="0"/>
                                  <w:bCs w:val="0"/>
                                  <w:color w:val="002060"/>
                                  <w:sz w:val="20"/>
                                </w:rPr>
                                <w:t>.</w:t>
                              </w:r>
                            </w:p>
                            <w:p w14:paraId="5380F0C3" w14:textId="77777777" w:rsidR="00D631B9" w:rsidRPr="00BC5D54" w:rsidRDefault="00D631B9" w:rsidP="00D631B9">
                              <w:pPr>
                                <w:pStyle w:val="Heading2"/>
                                <w:tabs>
                                  <w:tab w:val="left" w:pos="840"/>
                                  <w:tab w:val="left" w:pos="841"/>
                                </w:tabs>
                                <w:ind w:left="360" w:firstLine="0"/>
                                <w:jc w:val="both"/>
                                <w:rPr>
                                  <w:rFonts w:eastAsia="Verdana"/>
                                  <w:b w:val="0"/>
                                  <w:bCs w:val="0"/>
                                  <w:color w:val="FF0000"/>
                                  <w:sz w:val="20"/>
                                </w:rPr>
                              </w:pPr>
                            </w:p>
                            <w:p w14:paraId="14A142AF" w14:textId="77777777" w:rsidR="00D631B9" w:rsidRPr="00E16692" w:rsidRDefault="00D631B9" w:rsidP="00D631B9">
                              <w:pPr>
                                <w:pStyle w:val="Heading2"/>
                                <w:numPr>
                                  <w:ilvl w:val="0"/>
                                  <w:numId w:val="12"/>
                                </w:numPr>
                                <w:tabs>
                                  <w:tab w:val="left" w:pos="840"/>
                                  <w:tab w:val="left" w:pos="841"/>
                                </w:tabs>
                                <w:jc w:val="both"/>
                                <w:rPr>
                                  <w:rFonts w:eastAsia="Verdana"/>
                                  <w:b w:val="0"/>
                                  <w:bCs w:val="0"/>
                                  <w:color w:val="002060"/>
                                  <w:sz w:val="20"/>
                                </w:rPr>
                              </w:pPr>
                              <w:r w:rsidRPr="00E16692">
                                <w:rPr>
                                  <w:rFonts w:eastAsia="Verdana"/>
                                  <w:b w:val="0"/>
                                  <w:bCs w:val="0"/>
                                  <w:color w:val="002060"/>
                                  <w:sz w:val="20"/>
                                </w:rPr>
                                <w:t>Αξιοσημείωτη αύξηση των καθαρών εσόδων από προμήθειες κατά 51% σε ετήσια βάση.</w:t>
                              </w:r>
                            </w:p>
                            <w:p w14:paraId="0987DEE3" w14:textId="77777777" w:rsidR="00D631B9" w:rsidRPr="00BC5D54" w:rsidRDefault="00D631B9" w:rsidP="00D631B9">
                              <w:pPr>
                                <w:pStyle w:val="Heading2"/>
                                <w:tabs>
                                  <w:tab w:val="left" w:pos="840"/>
                                  <w:tab w:val="left" w:pos="841"/>
                                </w:tabs>
                                <w:ind w:left="360" w:firstLine="0"/>
                                <w:jc w:val="both"/>
                                <w:rPr>
                                  <w:rFonts w:eastAsia="Verdana"/>
                                  <w:b w:val="0"/>
                                  <w:bCs w:val="0"/>
                                  <w:color w:val="FF0000"/>
                                  <w:sz w:val="20"/>
                                </w:rPr>
                              </w:pPr>
                            </w:p>
                            <w:p w14:paraId="3C7E5D7E" w14:textId="77777777" w:rsidR="00D631B9" w:rsidRPr="00E16692" w:rsidRDefault="00D631B9" w:rsidP="00D631B9">
                              <w:pPr>
                                <w:pStyle w:val="Heading2"/>
                                <w:numPr>
                                  <w:ilvl w:val="0"/>
                                  <w:numId w:val="12"/>
                                </w:numPr>
                                <w:tabs>
                                  <w:tab w:val="left" w:pos="840"/>
                                  <w:tab w:val="left" w:pos="841"/>
                                </w:tabs>
                                <w:jc w:val="both"/>
                                <w:rPr>
                                  <w:rFonts w:eastAsia="Verdana"/>
                                  <w:b w:val="0"/>
                                  <w:bCs w:val="0"/>
                                  <w:color w:val="002060"/>
                                  <w:sz w:val="20"/>
                                </w:rPr>
                              </w:pPr>
                              <w:r w:rsidRPr="00E16692">
                                <w:rPr>
                                  <w:rFonts w:eastAsia="Verdana"/>
                                  <w:b w:val="0"/>
                                  <w:bCs w:val="0"/>
                                  <w:color w:val="002060"/>
                                  <w:sz w:val="20"/>
                                </w:rPr>
                                <w:t>Αύξηση καταθέσεων 9,3% σε ετήσια βάση.</w:t>
                              </w:r>
                            </w:p>
                            <w:p w14:paraId="56D578FF" w14:textId="77777777" w:rsidR="00D631B9" w:rsidRPr="00BC5D54" w:rsidRDefault="00D631B9" w:rsidP="00D631B9">
                              <w:pPr>
                                <w:pStyle w:val="ListParagraph"/>
                                <w:rPr>
                                  <w:color w:val="FF0000"/>
                                  <w:sz w:val="20"/>
                                </w:rPr>
                              </w:pPr>
                            </w:p>
                            <w:p w14:paraId="568FC0C0" w14:textId="77777777" w:rsidR="00D631B9" w:rsidRPr="0070475A" w:rsidRDefault="00D631B9" w:rsidP="00D631B9">
                              <w:pPr>
                                <w:pStyle w:val="Heading2"/>
                                <w:numPr>
                                  <w:ilvl w:val="0"/>
                                  <w:numId w:val="12"/>
                                </w:numPr>
                                <w:tabs>
                                  <w:tab w:val="left" w:pos="840"/>
                                  <w:tab w:val="left" w:pos="841"/>
                                </w:tabs>
                                <w:jc w:val="both"/>
                                <w:rPr>
                                  <w:color w:val="002060"/>
                                  <w:sz w:val="20"/>
                                </w:rPr>
                              </w:pPr>
                              <w:r w:rsidRPr="0070475A">
                                <w:rPr>
                                  <w:rFonts w:eastAsia="Verdana"/>
                                  <w:b w:val="0"/>
                                  <w:bCs w:val="0"/>
                                  <w:color w:val="002060"/>
                                  <w:sz w:val="20"/>
                                </w:rPr>
                                <w:t xml:space="preserve">Διπλάσιες νέες χρηματοδοτήσεις και </w:t>
                              </w:r>
                              <w:proofErr w:type="spellStart"/>
                              <w:r w:rsidRPr="0070475A">
                                <w:rPr>
                                  <w:rFonts w:eastAsia="Verdana"/>
                                  <w:b w:val="0"/>
                                  <w:bCs w:val="0"/>
                                  <w:color w:val="002060"/>
                                  <w:sz w:val="20"/>
                                </w:rPr>
                                <w:t>αναχρηματοδοτήσεις</w:t>
                              </w:r>
                              <w:proofErr w:type="spellEnd"/>
                              <w:r w:rsidRPr="0070475A">
                                <w:rPr>
                                  <w:rFonts w:eastAsia="Verdana"/>
                                  <w:b w:val="0"/>
                                  <w:bCs w:val="0"/>
                                  <w:color w:val="002060"/>
                                  <w:sz w:val="20"/>
                                </w:rPr>
                                <w:t xml:space="preserve"> κατά το β’ τρίμηνο σε σχέση με το προηγούμενο τρίμηνο, ύψους </w:t>
                              </w:r>
                              <w:r w:rsidRPr="0070475A">
                                <w:rPr>
                                  <w:rFonts w:eastAsia="Verdana"/>
                                  <w:b w:val="0"/>
                                  <w:color w:val="002060"/>
                                  <w:sz w:val="20"/>
                                </w:rPr>
                                <w:t>109</w:t>
                              </w:r>
                              <w:r w:rsidRPr="0070475A">
                                <w:rPr>
                                  <w:rFonts w:eastAsia="Verdana"/>
                                  <w:b w:val="0"/>
                                  <w:bCs w:val="0"/>
                                  <w:color w:val="002060"/>
                                  <w:sz w:val="20"/>
                                </w:rPr>
                                <w:t xml:space="preserve"> εκατ. ευρώ.</w:t>
                              </w:r>
                            </w:p>
                            <w:p w14:paraId="63E27817" w14:textId="77777777" w:rsidR="00D631B9" w:rsidRPr="00BC5D54" w:rsidRDefault="00D631B9" w:rsidP="00D631B9">
                              <w:pPr>
                                <w:pStyle w:val="Heading2"/>
                                <w:tabs>
                                  <w:tab w:val="left" w:pos="840"/>
                                  <w:tab w:val="left" w:pos="841"/>
                                </w:tabs>
                                <w:ind w:left="0" w:firstLine="60"/>
                                <w:jc w:val="both"/>
                                <w:rPr>
                                  <w:color w:val="FF0000"/>
                                  <w:sz w:val="20"/>
                                </w:rPr>
                              </w:pPr>
                            </w:p>
                            <w:p w14:paraId="0225EB3E" w14:textId="77777777" w:rsidR="00D631B9" w:rsidRPr="00790F20" w:rsidRDefault="00D631B9" w:rsidP="00D631B9">
                              <w:pPr>
                                <w:pStyle w:val="Heading2"/>
                                <w:numPr>
                                  <w:ilvl w:val="0"/>
                                  <w:numId w:val="12"/>
                                </w:numPr>
                                <w:tabs>
                                  <w:tab w:val="left" w:pos="840"/>
                                  <w:tab w:val="left" w:pos="841"/>
                                </w:tabs>
                                <w:jc w:val="both"/>
                                <w:rPr>
                                  <w:rFonts w:eastAsia="Verdana"/>
                                  <w:b w:val="0"/>
                                  <w:bCs w:val="0"/>
                                  <w:color w:val="002060"/>
                                  <w:sz w:val="20"/>
                                </w:rPr>
                              </w:pPr>
                              <w:r w:rsidRPr="00790F20">
                                <w:rPr>
                                  <w:rFonts w:eastAsia="Verdana"/>
                                  <w:b w:val="0"/>
                                  <w:bCs w:val="0"/>
                                  <w:color w:val="002060"/>
                                  <w:sz w:val="20"/>
                                </w:rPr>
                                <w:t xml:space="preserve">5,1% επί του ενήμερου δανειακού χαρτοφυλακίου (προ προβλέψεων) εντάχθηκαν στις ρυθμίσεις που ισχύουν λόγω </w:t>
                              </w:r>
                              <w:proofErr w:type="spellStart"/>
                              <w:r w:rsidRPr="00790F20">
                                <w:rPr>
                                  <w:rFonts w:eastAsia="Verdana"/>
                                  <w:b w:val="0"/>
                                  <w:bCs w:val="0"/>
                                  <w:color w:val="002060"/>
                                  <w:sz w:val="20"/>
                                  <w:lang w:val="en-US"/>
                                </w:rPr>
                                <w:t>covid</w:t>
                              </w:r>
                              <w:proofErr w:type="spellEnd"/>
                              <w:r w:rsidRPr="00790F20">
                                <w:rPr>
                                  <w:rFonts w:eastAsia="Verdana"/>
                                  <w:b w:val="0"/>
                                  <w:bCs w:val="0"/>
                                  <w:color w:val="002060"/>
                                  <w:sz w:val="20"/>
                                </w:rPr>
                                <w:t>-19.</w:t>
                              </w:r>
                            </w:p>
                            <w:p w14:paraId="03BE57AF" w14:textId="77777777" w:rsidR="00D631B9" w:rsidRPr="00BC5D54" w:rsidRDefault="00D631B9" w:rsidP="00D631B9">
                              <w:pPr>
                                <w:tabs>
                                  <w:tab w:val="left" w:pos="840"/>
                                  <w:tab w:val="left" w:pos="841"/>
                                </w:tabs>
                                <w:spacing w:before="11"/>
                                <w:ind w:left="360"/>
                                <w:jc w:val="both"/>
                                <w:rPr>
                                  <w:b/>
                                  <w:color w:val="FF0000"/>
                                </w:rPr>
                              </w:pPr>
                            </w:p>
                            <w:p w14:paraId="383683DB" w14:textId="77777777" w:rsidR="00D631B9" w:rsidRPr="00AD084E" w:rsidRDefault="00D631B9" w:rsidP="00D631B9">
                              <w:pPr>
                                <w:pStyle w:val="Heading2"/>
                                <w:numPr>
                                  <w:ilvl w:val="0"/>
                                  <w:numId w:val="12"/>
                                </w:numPr>
                                <w:tabs>
                                  <w:tab w:val="left" w:pos="840"/>
                                  <w:tab w:val="left" w:pos="841"/>
                                </w:tabs>
                                <w:jc w:val="both"/>
                                <w:rPr>
                                  <w:rFonts w:eastAsia="Verdana"/>
                                  <w:b w:val="0"/>
                                  <w:bCs w:val="0"/>
                                  <w:color w:val="002060"/>
                                  <w:sz w:val="20"/>
                                </w:rPr>
                              </w:pPr>
                              <w:r w:rsidRPr="00AD084E">
                                <w:rPr>
                                  <w:rFonts w:eastAsia="Verdana"/>
                                  <w:b w:val="0"/>
                                  <w:bCs w:val="0"/>
                                  <w:color w:val="002060"/>
                                  <w:sz w:val="20"/>
                                </w:rPr>
                                <w:t xml:space="preserve">Δείκτης Μη Εξυπηρετούμενων Δανείων λιγότερο από 1% σε </w:t>
                              </w:r>
                              <w:r w:rsidRPr="00AD084E">
                                <w:rPr>
                                  <w:rFonts w:eastAsia="Verdana"/>
                                  <w:b w:val="0"/>
                                  <w:bCs w:val="0"/>
                                  <w:color w:val="002060"/>
                                  <w:sz w:val="20"/>
                                  <w:lang w:val="en-US"/>
                                </w:rPr>
                                <w:t>pro</w:t>
                              </w:r>
                              <w:r w:rsidRPr="00AD084E">
                                <w:rPr>
                                  <w:rFonts w:eastAsia="Verdana"/>
                                  <w:b w:val="0"/>
                                  <w:bCs w:val="0"/>
                                  <w:color w:val="002060"/>
                                  <w:sz w:val="20"/>
                                </w:rPr>
                                <w:t xml:space="preserve"> </w:t>
                              </w:r>
                              <w:r w:rsidRPr="00AD084E">
                                <w:rPr>
                                  <w:rFonts w:eastAsia="Verdana"/>
                                  <w:b w:val="0"/>
                                  <w:bCs w:val="0"/>
                                  <w:color w:val="002060"/>
                                  <w:sz w:val="20"/>
                                  <w:lang w:val="en-US"/>
                                </w:rPr>
                                <w:t>forma</w:t>
                              </w:r>
                              <w:r w:rsidRPr="00AD084E">
                                <w:rPr>
                                  <w:rFonts w:eastAsia="Verdana"/>
                                  <w:b w:val="0"/>
                                  <w:bCs w:val="0"/>
                                  <w:color w:val="002060"/>
                                  <w:sz w:val="20"/>
                                </w:rPr>
                                <w:t xml:space="preserve"> επίπεδο. Χωρίς να ληφθούν υπόψη οι </w:t>
                              </w:r>
                              <w:proofErr w:type="spellStart"/>
                              <w:r w:rsidRPr="00AD084E">
                                <w:rPr>
                                  <w:rFonts w:eastAsia="Verdana"/>
                                  <w:b w:val="0"/>
                                  <w:bCs w:val="0"/>
                                  <w:color w:val="002060"/>
                                  <w:sz w:val="20"/>
                                </w:rPr>
                                <w:t>τιτλοποιήσεις</w:t>
                              </w:r>
                              <w:proofErr w:type="spellEnd"/>
                              <w:r w:rsidRPr="00AD084E">
                                <w:rPr>
                                  <w:rFonts w:eastAsia="Verdana"/>
                                  <w:b w:val="0"/>
                                  <w:bCs w:val="0"/>
                                  <w:color w:val="002060"/>
                                  <w:sz w:val="20"/>
                                </w:rPr>
                                <w:t xml:space="preserve"> </w:t>
                              </w:r>
                              <w:r w:rsidRPr="00AD084E">
                                <w:rPr>
                                  <w:rFonts w:eastAsia="Verdana"/>
                                  <w:b w:val="0"/>
                                  <w:bCs w:val="0"/>
                                  <w:color w:val="002060"/>
                                  <w:sz w:val="20"/>
                                  <w:lang w:val="en-US"/>
                                </w:rPr>
                                <w:t>Astir</w:t>
                              </w:r>
                              <w:r w:rsidRPr="00AD084E">
                                <w:rPr>
                                  <w:rFonts w:eastAsia="Verdana"/>
                                  <w:b w:val="0"/>
                                  <w:bCs w:val="0"/>
                                  <w:color w:val="002060"/>
                                  <w:sz w:val="20"/>
                                </w:rPr>
                                <w:t xml:space="preserve"> 1,2 και Ωμέγα, ο δείκτης Μη Εξυπηρετούμενων Ανοιγμάτων ανέρχεται σε 45,3% με δείκτη κάλυψης από προβλέψεις σε 43,6%.</w:t>
                              </w:r>
                            </w:p>
                            <w:p w14:paraId="1E6D4AA2" w14:textId="77777777" w:rsidR="00D631B9" w:rsidRPr="00BC5D54" w:rsidRDefault="00D631B9" w:rsidP="00D631B9">
                              <w:pPr>
                                <w:pStyle w:val="BodyText"/>
                                <w:spacing w:before="10"/>
                                <w:ind w:left="360"/>
                                <w:jc w:val="both"/>
                                <w:rPr>
                                  <w:color w:val="FF0000"/>
                                  <w:sz w:val="20"/>
                                  <w:szCs w:val="22"/>
                                  <w:highlight w:val="yellow"/>
                                </w:rPr>
                              </w:pPr>
                            </w:p>
                            <w:p w14:paraId="61D4EA7D" w14:textId="0DB4AFE0" w:rsidR="00D631B9" w:rsidRPr="00E16692" w:rsidRDefault="00D631B9" w:rsidP="00D631B9">
                              <w:pPr>
                                <w:pStyle w:val="ListParagraph"/>
                                <w:numPr>
                                  <w:ilvl w:val="0"/>
                                  <w:numId w:val="12"/>
                                </w:numPr>
                                <w:tabs>
                                  <w:tab w:val="left" w:pos="840"/>
                                  <w:tab w:val="left" w:pos="841"/>
                                </w:tabs>
                                <w:rPr>
                                  <w:color w:val="002060"/>
                                  <w:sz w:val="20"/>
                                </w:rPr>
                              </w:pPr>
                              <w:r w:rsidRPr="00E16692">
                                <w:rPr>
                                  <w:color w:val="002060"/>
                                  <w:sz w:val="20"/>
                                </w:rPr>
                                <w:t xml:space="preserve">Ομαλή εξέλιξη του προγράμματος αποκατάστασης κεφαλαιακής επάρκειας (Capital Plan). Η Τράπεζα κατά την τρέχουσα περίοδο ολοκληρώνει τις ενέργειες προετοιμασίας της υλοποίησης των ενεργειών ενίσχυσης των εποπτικών κεφαλαίων βάσει του σχετικού προγράμματος. </w:t>
                              </w:r>
                            </w:p>
                            <w:p w14:paraId="40349BBF" w14:textId="77777777" w:rsidR="00D631B9" w:rsidRPr="00B3268F" w:rsidRDefault="00D631B9" w:rsidP="00D631B9">
                              <w:pPr>
                                <w:pStyle w:val="ListParagraph"/>
                                <w:rPr>
                                  <w:color w:val="2F3E80"/>
                                  <w:sz w:val="20"/>
                                </w:rPr>
                              </w:pPr>
                            </w:p>
                            <w:p w14:paraId="3D47BC2A" w14:textId="77777777" w:rsidR="00D631B9" w:rsidRPr="00B3268F" w:rsidRDefault="00D631B9" w:rsidP="00D631B9">
                              <w:pPr>
                                <w:pStyle w:val="ListParagraph"/>
                                <w:tabs>
                                  <w:tab w:val="left" w:pos="840"/>
                                  <w:tab w:val="left" w:pos="841"/>
                                </w:tabs>
                                <w:ind w:left="1200" w:firstLine="0"/>
                                <w:rPr>
                                  <w:color w:val="2F3E80"/>
                                  <w:sz w:val="20"/>
                                </w:rPr>
                              </w:pPr>
                            </w:p>
                            <w:p w14:paraId="040A5F91" w14:textId="77777777" w:rsidR="00D631B9" w:rsidRPr="00B3268F" w:rsidRDefault="00D631B9" w:rsidP="00D631B9">
                              <w:pPr>
                                <w:tabs>
                                  <w:tab w:val="left" w:pos="775"/>
                                </w:tabs>
                                <w:spacing w:before="1"/>
                                <w:ind w:left="774"/>
                                <w:rPr>
                                  <w:b/>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82678" id="Group 238" o:spid="_x0000_s1026" style="position:absolute;margin-left:-80.25pt;margin-top:17.3pt;width:8in;height:342.45pt;z-index:-16061440;mso-wrap-distance-left:0;mso-wrap-distance-right:0;mso-position-horizontal-relative:margin" coordorigin="-101,75" coordsize="11024,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4IdA4AAFVGAAAOAAAAZHJzL2Uyb0RvYy54bWzUXG1v47gR/l6g/0HwxxbZiNR7sNnDbrI5&#10;FNi2B5z6AxTbiY3alit7N9kW/e99hhJlkuFI7N2hQPMhdqIhOZyHM+QzJPX+h9f9Lvq27k7b9nC7&#10;EO/iRbQ+LNvV9vB8u/hb/XBVLqLTuTmsml17WN8uvq9Pix8+/P5371+ON2vZbtrdat1FqORwunk5&#10;3i425/Px5vr6tNys983pXXtcH/Dwqe32zRl/ds/Xq655Qe373bWM4/z6pe1Wx65drk8n/Pe+f7j4&#10;oOp/elovz399ejqtz9HudgHdzup3p34/0u/rD++bm+euOW62y0GN5hdosW+2BzQ6VnXfnJvoa7d9&#10;U9V+u+zaU/t0frds99ft09N2uVZ9QG9E7PTmx679elR9eb55eT6OZoJpHTv94mqXf/n2UxdtV7cL&#10;mQCqQ7MHSKrdiP4B87wcn28g9WN3/Pn4U9f3EV+/tMu/n/D42n1Ofz/3wtHjy5/bFSpsvp5bZZ7X&#10;p25PVaDj0atC4fuIwvr1HC3xzyIRGaBdREs8S5O0EiLrcVpuACaVuxKxWER4XIxPPg+lhYhlOpYt&#10;qOB1c9O3q3QddKOOYcidLlY9/Tqr/rxpjmsF1onsNVq10lZ96NZrGsiRTNW4o/YhqK16Mk1qPCGx&#10;Eyw/a0xRoinDJtqeIi4SziLNzfLr6fzjulWoNN++nM69R6zwTWG9GsZEDUCe9js4xx+vojgScVKU&#10;UZnngweNYsClF/vDdVTH0QskhUbpeZSSWqqvLM0ikQ5QXoQSLYSq8DjaRKko30iha6ZemSx8amVa&#10;itRKObVyLTWlVqGFJtWCM5lqpVnsUwuIXaxVcmoJx/aoy2MuYZpeQMZvL+HYPilyn2bCtH4tJKub&#10;Y/888epm2l9AhtHNASCJM69uJgS1yFndHBDK1KubCYKAjF836YAgE+9AkyYKteQ9wIZBCq/dpIkC&#10;yTC6OSCIIvHZTZoo1JJ1A2nDINPKZzdpokAyjG4OCEKkXt1MFGrJ+kJiwyAr4dMtMVEgGb9uiQ2C&#10;iHOvlyYmCnXC+gKFWcPpk9Trp4mJAskwutkgIIwKn90SE4U6YX2BZndTt8rrC4mJQgIZv26YwMzK&#10;qrzyqZaaINToKDMZpDYKaeZ1hdQEgWQY1WwMqsTrCZhsjMCbsp6Q2iBkovCNttTEgGQY1WwIqtjr&#10;CKkJQZ2yjpDZGGT+4JaZGJCMX7XMhqAsvVbLTAjqjPWDzMYgz3Kf1TITA5JhVLMhKAuvi2YmBDUq&#10;Y8ZaZmNQJF4XzUwMSMavWm5DgNWQzw1yE4IaEYZRLXcwiL1jLTcxKCHDqGZDwKlmQlDnrBtgmWf6&#10;e5LnpQ/R3ARBCTHK2SAwkOYmCDVaZOxW2CgkhX81WZgwKCG/coUDg98VChOGumBdobBxSErhnUux&#10;Qr7EIyXEKGcDwYSQwsShxvqOs5yNQ1JWXm8oTCCUkF+50gaCCb2liUNdsu5Q2jgkVeYdc6UJhBJi&#10;lLOBYKYs0IsLDjXCJWO50sYhjaX0OURpAqGEGOVsILi5ngieQRdYj6hsINK49C6SKhMJJeTXrrKR&#10;4FZJlYlEXbEuUdlIpCLxsr/KhEIJMdrZUAhmfVmZUNQV6xOVDQUYp3ehVJlQKCG/doISGca6SzBL&#10;c5XQuGCLYtzQQ37DqjGV0ju9gqFrORBVJcWpaAMiGGYjYhORWmD5wngHRohuWhHpVOZe90BmQssp&#10;FSHFqWijIjhiGJuwQEXWRZAm0k0PKvqJBIaTllMqslRChPJqh1hPMGth45ImkPXyfhMXJcVYUdiw&#10;oC7vWgpj1OhzLSYItrBxSRPp9WUhTFyUFKOiy7KZdI6wabbgebaQjrsk0jsDY9QbnYaKHJ8VlF40&#10;PZrNhNl0G+VYf3EIt2rdh7RFuSd1tHGBr2b+TIo0gUGah3cYh3grEH06WtRbSTFQvyHfGRbavoyi&#10;Tb8Fz7+FQ8BZj7Eo+JTHJI7HIEHgZeHCpuGC5+HCIeIpk8EQFhVXUowdHTKO4Oun48Lm44In5MJl&#10;5Fz8tjk5SXE6uj5TAEUf1jYxFzwzFw41Z6dBi5xPTYOp6zMF1jBeHW2f4Sk6krBWqOAWE8Ji6VOr&#10;CYenY4JLvZxT2FQdGyps7HHIOrccExZdn1iPicz1mRJ5JJ8dbc6OcryONjTcglZYvH1iRSsc5i7i&#10;yp/NFTZ5RzlWR4e+c5QAyW89JmhBQcSB8Znc9ZkKNNNnx9yc/5EO5+cZl8cznErYRJ6kOB1tYLCq&#10;YuKjTeYFz+aFS+cZUipsPk9SjI4OoacNQr8dbU4veFIvAlk9bXxdCNsErReF4zNYvPv92qb2KMeO&#10;x8KGhkuLCJvdU/KEsaND72FHzCC+8WgzfMFTfOFyfCavJGyST1Kcjo7P8DqayNRE8jgu41B9Srn5&#10;lj0W1efzcqK0YYEVGaRtso9yrIYO3WdymsKi+3xSU7h0n/UXm/CjHK+hDQuTEBYW5eczwqJ64y1M&#10;1LFJP8rxGtqwMNl0YdF+Pp2uji9YHIGJ3Tj0YUQIbBey84t0aD+zFSEt1s/vRcjYhoSdAaXN+lGO&#10;s6F0Wb9/H0fapJ/dyJGxDQnWOv51hLRJP8qxGjqknza4PL4sLc7P74JJl/JzqzFs3Foo85xfOpyf&#10;2UKUOBFjTCzsHqJ0GX/MrGmlTflRjrehDQtDX6TF+PkdWOkSfhxW8c7O0mb8KMdq6DB+bvvaIvwT&#10;+9dv+D7Dr6TN9yXP95Gx0/Cp5BO3+W/R/Yndf2lDQglaL0uVNtuXPNuXDttnsqDSIvsTZydCub60&#10;ub7kub50uD4dKvH5skX1+ZMn8g3TZzImSI5q7LB+r1GOHYcO06cjOV4NTTrJn9uhU2NBeSdp83yU&#10;YzV0eD6082po0XwSuqy+cLbuWZ8Vazb6+Njy9TCcH8O3qKGzoLE6/3dsT3R+r8ash5NqdTIcz4MU&#10;HTZjhBHrSFif5ZsWhjFJGCG8P/k3LU2BWYmrY2XozIw4sFfiVVDtFLJIHJEmRBmKH0o8rKfkzCQO&#10;HwypnTxLiYd1lYa5Eg/rKo05EsdQCVGG0jxKPKyrdCaCxJEnCamdkh9KPKyrlIdQ4mFdpZQAiYPI&#10;hyhD7FyJh3WViDKJg96G1E6cVYmHdZXooxIP6yoxORIH/wpRhnZPlXhYV4fzqjWISUjtRDeodrCE&#10;IPGhq1iyh4irDTiqnvbNwgoMvaVdrLACY2wK67AYo1N/AHo+PNEqTvUBq68glXSEot2PsAK601ib&#10;hBXQnQ4MU0LHKWwLh7WgIxVlzINU0rFKBAYrmrR7syKXHNaC7nRgwFLpWgUcsqxBLeiYRSnPoAI6&#10;alH+MayA7jSSgWEFdKcDQxd2wgez9ufD54e3jl6UswpSSccvSiCFFdCdRjonrIDudGAQEzqKUbIj&#10;qAXKYaihERjIVEqBClAqIKQFxfD7AmGdVoRbFQhcZSn+2xcI67Sio32BMKQVO1QFAgOZImt9gcBO&#10;6+UWcZ4gs+pAJgMDmWIWSqXAQKYW+qqAHch6RxoW4B2uQLmXn7pFhMtPj9SN5ubYnGndrr9GL7jG&#10;pa5sRBtcv6ELF/Ro335b160SOtMKvsoo+YHG1VUWtHgR2B1MwXwIPFpOP9WfR1UdUmmqNj089FP9&#10;OUhR/gZt4tRBj4B+rD97sZS2TiE2mlE/1p+9WEI7CBDLp2tLKF9FjSJjNtWqpP1DksPG5JScoPNP&#10;JDcGAK2W/uzV07MOMhPT9VHGD/UlyJdNtUt7OiSG7ZApMSKtECMbTokNK41sjABaef05QKEqy/pb&#10;Oxgl+qn+7KV6VHPsoE012Usl2ejhuhL9aTaZ5Dh4NVXb0IEkx17OlNxgD9o+mZTT5i2xaJuqTx3L&#10;IhxKzGaTgsOqI6mQmpgUHAZUUmEjYEpQj9A0ngFXD3naQZ2sUbtQSkeGpprWLpnOeUc2uHhKe5BT&#10;NeqIgQg13WsdgGhbfbLGMaQFSA7UZbbxKqddXPKnuf5UBWWqlORMAKnKweNnrV7R7pyqcw7IqqKU&#10;JLU+NzYqNK8kZ4cb9oIpMUljfXYIx/EQjOfdAtdke1WxnzrnasQhlAJz3osZj44tkK5zAYEmx8EC&#10;szEGoj38s1GLau1F58Lgpf25sHrp1FyYhqQefTOhAZLa/DMTCeDXmM7MTJeBMjfXjYNvbvIcx/Nc&#10;vBldZG56H71uZrkw+vGMIcfIMLOYweGLfjUzPf2MwcsNhstde1r3gZRWeuo29Ljko5Wicf/31O62&#10;q4ftbkfrvFP3/Hi366JvDa7O3yV32d1HtRJsdsdN0/83i/EzxNRBXNVv1bNTqd1DS/XqgE7143ry&#10;sOyki8rqrvy/KhySjD/J6uohL4ur9CHNrqoiLq9iUX2q8jit0vuHf5MWIr3ZbFer9eHL9rDW9/ZF&#10;GnaDe3iDQH/jXt3cp0VvlSH/qjrOWoG6e+mwKYaL+ocVetfcbNbN6vPw/dxsd/33a1tjZSV0W38q&#10;Q+B2en/Tu7+a/tiuvuPWd9f27yzAOxbwZdN2/1xEL3hfwe3i9I+vTbdeRLs/HXB1vcJZOYSls/oj&#10;zQraV+vMJ4/mk+awRFW3i/MC2Xn6enfuX4rw9dhtnzdoSShbHNqPuLr/tKVb4Uq/XqvhD9ye/19d&#10;o6e+9S8nqGm4fGpf8X4CtUQ1rtFH51c80LoPF+qjQ3u3wRbE+mPXtS8ED6zVL2uMon0/gu7Zjy8f&#10;QNyiwa+GsnpzAU7I02ka9d6Cy7JEv/Pg2PU37SP6crsgYtY71HDrHs6oRajS0WNo1Wz9Q62jh3bf&#10;ulBcfS4/l+kVDt1/vkrj+/urjw936VX+gNNI98n93d29sF2IHPPXuxDpY/m9FT8e1I8OFRfPMfyi&#10;jzvom/KL3qj/51Fhvz3j5Sa77f52UY6h4zcMEefXx1cMQBrG/2W0GCPFGCXwpY8Q+PIbRgf1yg28&#10;u0RFuuE9K/RyFPNvFU0ub4P58B8AAAD//wMAUEsDBBQABgAIAAAAIQBHqzYf4gAAAAsBAAAPAAAA&#10;ZHJzL2Rvd25yZXYueG1sTI/BTsMwDIbvSLxDZCRuWxpGy1qaTtMEnKZJbEgTt6zx2mqNUzVZ2709&#10;4QRH259+f3++mkzLBuxdY0mCmEfAkEqrG6okfB3eZ0tgzivSqrWEEm7oYFXc3+Uq03akTxz2vmIh&#10;hFymJNTedxnnrqzRKDe3HVK4nW1vlA9jX3HdqzGEm5Y/RVHCjWoofKhVh5say8v+aiR8jGpcL8Tb&#10;sL2cN7fvQ7w7bgVK+fgwrV+BeZz8Hwy/+kEdiuB0slfSjrUSZiKJ4sBKWDwnwAKRpiIsThJeRBoD&#10;L3L+v0PxAwAA//8DAFBLAQItABQABgAIAAAAIQC2gziS/gAAAOEBAAATAAAAAAAAAAAAAAAAAAAA&#10;AABbQ29udGVudF9UeXBlc10ueG1sUEsBAi0AFAAGAAgAAAAhADj9If/WAAAAlAEAAAsAAAAAAAAA&#10;AAAAAAAALwEAAF9yZWxzLy5yZWxzUEsBAi0AFAAGAAgAAAAhAMUCjgh0DgAAVUYAAA4AAAAAAAAA&#10;AAAAAAAALgIAAGRycy9lMm9Eb2MueG1sUEsBAi0AFAAGAAgAAAAhAEerNh/iAAAACwEAAA8AAAAA&#10;AAAAAAAAAAAAzhAAAGRycy9kb3ducmV2LnhtbFBLBQYAAAAABAAEAPMAAADdEQAAAAA=&#10;">
                <v:shape id="Freeform 240" o:spid="_x0000_s1027" style="position:absolute;left:189;top:75;width:10734;height:4347;visibility:visible;mso-wrap-style:square;v-text-anchor:top" coordsize="10175,4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mD2sQA&#10;AADcAAAADwAAAGRycy9kb3ducmV2LnhtbESPT2sCMRTE7wW/Q3iCt5qtFq1bo0ihtOzNP4d6e25e&#10;k6Wbl2UTNf32TUHwOMzMb5jlOrlWXKgPjWcFT+MCBHHtdcNGwWH//vgCIkRkja1nUvBLAdarwcMS&#10;S+2vvKXLLhqRIRxKVGBj7EopQ23JYRj7jjh73753GLPsjdQ9XjPctXJSFDPpsOG8YLGjN0v1z+7s&#10;FCTz/HU083OVTk112NCsOn1YVGo0TJtXEJFSvIdv7U+tYDJdwP+Zf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Zg9rEAAAA3AAAAA8AAAAAAAAAAAAAAAAAmAIAAGRycy9k&#10;b3ducmV2LnhtbFBLBQYAAAAABAAEAPUAAACJAwAAAAA=&#10;" path="m9512,l661,,584,5,510,18,439,39,371,68r-64,36l248,146r-54,49l145,249r-42,59l67,372,38,439,17,511,4,585,,662,,3523r4,77l17,3674r21,71l67,3813r36,64l145,3936r49,54l248,4039r59,42l371,4117r68,29l510,4167r74,13l661,4184r8851,l9589,4180r75,-13l9735,4146r68,-29l9866,4081r60,-42l9980,3990r48,-54l10071,3877r35,-64l10135,3745r21,-71l10170,3600r4,-77l10174,662r-4,-77l10156,511r-21,-72l10106,372r-35,-64l10028,249r-48,-54l9926,146r-60,-42l9803,68,9735,39,9664,18,9589,5,9512,xe" fillcolor="#c3c5ca" stroked="f">
                  <v:fill opacity="32896f"/>
                  <v:path arrowok="t" o:connecttype="custom" o:connectlocs="10035,151;697,151;616,156;538,169;463,191;391,221;324,259;262,302;205,353;153,409;109,471;71,537;40,607;18,681;4,758;0,838;0,3810;4,3890;18,3967;40,4041;71,4111;109,4178;153,4239;205,4295;262,4346;324,4390;391,4427;463,4457;538,4479;616,4492;697,4497;10035,4497;10116,4492;10195,4479;10270,4457;10342,4427;10408,4390;10471,4346;10528,4295;10579,4239;10624,4178;10661,4111;10692,4041;10714,3967;10729,3890;10733,3810;10733,838;10729,758;10714,681;10692,607;10661,537;10624,471;10579,409;10528,353;10471,302;10408,259;10342,221;10270,191;10195,169;10116,156;10035,151" o:connectangles="0,0,0,0,0,0,0,0,0,0,0,0,0,0,0,0,0,0,0,0,0,0,0,0,0,0,0,0,0,0,0,0,0,0,0,0,0,0,0,0,0,0,0,0,0,0,0,0,0,0,0,0,0,0,0,0,0,0,0,0,0"/>
                </v:shape>
                <v:shapetype id="_x0000_t202" coordsize="21600,21600" o:spt="202" path="m,l,21600r21600,l21600,xe">
                  <v:stroke joinstyle="miter"/>
                  <v:path gradientshapeok="t" o:connecttype="rect"/>
                </v:shapetype>
                <v:shape id="Text Box 239" o:spid="_x0000_s1028" type="#_x0000_t202" style="position:absolute;left:-101;top:100;width:10579;height:4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JU8EA&#10;AADcAAAADwAAAGRycy9kb3ducmV2LnhtbERPTYvCMBC9L/gfwgje1lQR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RiVPBAAAA3AAAAA8AAAAAAAAAAAAAAAAAmAIAAGRycy9kb3du&#10;cmV2LnhtbFBLBQYAAAAABAAEAPUAAACGAwAAAAA=&#10;" filled="f" stroked="f">
                  <v:textbox inset="0,0,0,0">
                    <w:txbxContent>
                      <w:p w14:paraId="29049C19" w14:textId="77777777" w:rsidR="00D631B9" w:rsidRPr="00B3268F" w:rsidRDefault="00D631B9" w:rsidP="00D631B9">
                        <w:pPr>
                          <w:spacing w:before="9"/>
                          <w:rPr>
                            <w:b/>
                            <w:color w:val="1A478D"/>
                            <w:sz w:val="21"/>
                          </w:rPr>
                        </w:pPr>
                      </w:p>
                      <w:p w14:paraId="30E520E2" w14:textId="77777777" w:rsidR="00D631B9" w:rsidRPr="00BC5D54" w:rsidRDefault="00D631B9" w:rsidP="00D631B9">
                        <w:pPr>
                          <w:spacing w:before="9"/>
                          <w:rPr>
                            <w:b/>
                            <w:color w:val="FF0000"/>
                            <w:sz w:val="21"/>
                          </w:rPr>
                        </w:pPr>
                      </w:p>
                      <w:p w14:paraId="612B419C" w14:textId="7A90525D" w:rsidR="00D631B9" w:rsidRPr="00E16692" w:rsidRDefault="00D631B9" w:rsidP="00D631B9">
                        <w:pPr>
                          <w:pStyle w:val="Heading2"/>
                          <w:numPr>
                            <w:ilvl w:val="0"/>
                            <w:numId w:val="12"/>
                          </w:numPr>
                          <w:tabs>
                            <w:tab w:val="left" w:pos="840"/>
                            <w:tab w:val="left" w:pos="841"/>
                          </w:tabs>
                          <w:jc w:val="both"/>
                          <w:rPr>
                            <w:rFonts w:eastAsia="Verdana"/>
                            <w:b w:val="0"/>
                            <w:bCs w:val="0"/>
                            <w:color w:val="002060"/>
                            <w:sz w:val="20"/>
                          </w:rPr>
                        </w:pPr>
                        <w:r w:rsidRPr="00E16692">
                          <w:rPr>
                            <w:rFonts w:eastAsia="Verdana"/>
                            <w:b w:val="0"/>
                            <w:bCs w:val="0"/>
                            <w:color w:val="002060"/>
                            <w:sz w:val="20"/>
                          </w:rPr>
                          <w:t xml:space="preserve">Αύξηση των καθαρών εσόδων από τόκους κατά 22% σε σχέση </w:t>
                        </w:r>
                        <w:r w:rsidR="00913A28">
                          <w:rPr>
                            <w:rFonts w:eastAsia="Verdana"/>
                            <w:b w:val="0"/>
                            <w:bCs w:val="0"/>
                            <w:color w:val="002060"/>
                            <w:sz w:val="20"/>
                          </w:rPr>
                          <w:t>με το περσινό εξάμηνο</w:t>
                        </w:r>
                        <w:r w:rsidRPr="00E16692">
                          <w:rPr>
                            <w:rFonts w:eastAsia="Verdana"/>
                            <w:b w:val="0"/>
                            <w:bCs w:val="0"/>
                            <w:color w:val="002060"/>
                            <w:sz w:val="20"/>
                          </w:rPr>
                          <w:t>.</w:t>
                        </w:r>
                      </w:p>
                      <w:p w14:paraId="5380F0C3" w14:textId="77777777" w:rsidR="00D631B9" w:rsidRPr="00BC5D54" w:rsidRDefault="00D631B9" w:rsidP="00D631B9">
                        <w:pPr>
                          <w:pStyle w:val="Heading2"/>
                          <w:tabs>
                            <w:tab w:val="left" w:pos="840"/>
                            <w:tab w:val="left" w:pos="841"/>
                          </w:tabs>
                          <w:ind w:left="360" w:firstLine="0"/>
                          <w:jc w:val="both"/>
                          <w:rPr>
                            <w:rFonts w:eastAsia="Verdana"/>
                            <w:b w:val="0"/>
                            <w:bCs w:val="0"/>
                            <w:color w:val="FF0000"/>
                            <w:sz w:val="20"/>
                          </w:rPr>
                        </w:pPr>
                      </w:p>
                      <w:p w14:paraId="14A142AF" w14:textId="77777777" w:rsidR="00D631B9" w:rsidRPr="00E16692" w:rsidRDefault="00D631B9" w:rsidP="00D631B9">
                        <w:pPr>
                          <w:pStyle w:val="Heading2"/>
                          <w:numPr>
                            <w:ilvl w:val="0"/>
                            <w:numId w:val="12"/>
                          </w:numPr>
                          <w:tabs>
                            <w:tab w:val="left" w:pos="840"/>
                            <w:tab w:val="left" w:pos="841"/>
                          </w:tabs>
                          <w:jc w:val="both"/>
                          <w:rPr>
                            <w:rFonts w:eastAsia="Verdana"/>
                            <w:b w:val="0"/>
                            <w:bCs w:val="0"/>
                            <w:color w:val="002060"/>
                            <w:sz w:val="20"/>
                          </w:rPr>
                        </w:pPr>
                        <w:r w:rsidRPr="00E16692">
                          <w:rPr>
                            <w:rFonts w:eastAsia="Verdana"/>
                            <w:b w:val="0"/>
                            <w:bCs w:val="0"/>
                            <w:color w:val="002060"/>
                            <w:sz w:val="20"/>
                          </w:rPr>
                          <w:t>Αξιοσημείωτη αύξηση των καθαρών εσόδων από προμήθειες κατά 51% σε ετήσια βάση.</w:t>
                        </w:r>
                      </w:p>
                      <w:p w14:paraId="0987DEE3" w14:textId="77777777" w:rsidR="00D631B9" w:rsidRPr="00BC5D54" w:rsidRDefault="00D631B9" w:rsidP="00D631B9">
                        <w:pPr>
                          <w:pStyle w:val="Heading2"/>
                          <w:tabs>
                            <w:tab w:val="left" w:pos="840"/>
                            <w:tab w:val="left" w:pos="841"/>
                          </w:tabs>
                          <w:ind w:left="360" w:firstLine="0"/>
                          <w:jc w:val="both"/>
                          <w:rPr>
                            <w:rFonts w:eastAsia="Verdana"/>
                            <w:b w:val="0"/>
                            <w:bCs w:val="0"/>
                            <w:color w:val="FF0000"/>
                            <w:sz w:val="20"/>
                          </w:rPr>
                        </w:pPr>
                      </w:p>
                      <w:p w14:paraId="3C7E5D7E" w14:textId="77777777" w:rsidR="00D631B9" w:rsidRPr="00E16692" w:rsidRDefault="00D631B9" w:rsidP="00D631B9">
                        <w:pPr>
                          <w:pStyle w:val="Heading2"/>
                          <w:numPr>
                            <w:ilvl w:val="0"/>
                            <w:numId w:val="12"/>
                          </w:numPr>
                          <w:tabs>
                            <w:tab w:val="left" w:pos="840"/>
                            <w:tab w:val="left" w:pos="841"/>
                          </w:tabs>
                          <w:jc w:val="both"/>
                          <w:rPr>
                            <w:rFonts w:eastAsia="Verdana"/>
                            <w:b w:val="0"/>
                            <w:bCs w:val="0"/>
                            <w:color w:val="002060"/>
                            <w:sz w:val="20"/>
                          </w:rPr>
                        </w:pPr>
                        <w:r w:rsidRPr="00E16692">
                          <w:rPr>
                            <w:rFonts w:eastAsia="Verdana"/>
                            <w:b w:val="0"/>
                            <w:bCs w:val="0"/>
                            <w:color w:val="002060"/>
                            <w:sz w:val="20"/>
                          </w:rPr>
                          <w:t>Αύξηση καταθέσεων 9,3% σε ετήσια βάση.</w:t>
                        </w:r>
                      </w:p>
                      <w:p w14:paraId="56D578FF" w14:textId="77777777" w:rsidR="00D631B9" w:rsidRPr="00BC5D54" w:rsidRDefault="00D631B9" w:rsidP="00D631B9">
                        <w:pPr>
                          <w:pStyle w:val="ListParagraph"/>
                          <w:rPr>
                            <w:color w:val="FF0000"/>
                            <w:sz w:val="20"/>
                          </w:rPr>
                        </w:pPr>
                      </w:p>
                      <w:p w14:paraId="568FC0C0" w14:textId="77777777" w:rsidR="00D631B9" w:rsidRPr="0070475A" w:rsidRDefault="00D631B9" w:rsidP="00D631B9">
                        <w:pPr>
                          <w:pStyle w:val="Heading2"/>
                          <w:numPr>
                            <w:ilvl w:val="0"/>
                            <w:numId w:val="12"/>
                          </w:numPr>
                          <w:tabs>
                            <w:tab w:val="left" w:pos="840"/>
                            <w:tab w:val="left" w:pos="841"/>
                          </w:tabs>
                          <w:jc w:val="both"/>
                          <w:rPr>
                            <w:color w:val="002060"/>
                            <w:sz w:val="20"/>
                          </w:rPr>
                        </w:pPr>
                        <w:r w:rsidRPr="0070475A">
                          <w:rPr>
                            <w:rFonts w:eastAsia="Verdana"/>
                            <w:b w:val="0"/>
                            <w:bCs w:val="0"/>
                            <w:color w:val="002060"/>
                            <w:sz w:val="20"/>
                          </w:rPr>
                          <w:t xml:space="preserve">Διπλάσιες νέες χρηματοδοτήσεις και </w:t>
                        </w:r>
                        <w:proofErr w:type="spellStart"/>
                        <w:r w:rsidRPr="0070475A">
                          <w:rPr>
                            <w:rFonts w:eastAsia="Verdana"/>
                            <w:b w:val="0"/>
                            <w:bCs w:val="0"/>
                            <w:color w:val="002060"/>
                            <w:sz w:val="20"/>
                          </w:rPr>
                          <w:t>αναχρηματοδοτήσεις</w:t>
                        </w:r>
                        <w:proofErr w:type="spellEnd"/>
                        <w:r w:rsidRPr="0070475A">
                          <w:rPr>
                            <w:rFonts w:eastAsia="Verdana"/>
                            <w:b w:val="0"/>
                            <w:bCs w:val="0"/>
                            <w:color w:val="002060"/>
                            <w:sz w:val="20"/>
                          </w:rPr>
                          <w:t xml:space="preserve"> κατά το β’ τρίμηνο σε σχέση με το προηγούμενο τρίμηνο, ύψους </w:t>
                        </w:r>
                        <w:r w:rsidRPr="0070475A">
                          <w:rPr>
                            <w:rFonts w:eastAsia="Verdana"/>
                            <w:b w:val="0"/>
                            <w:color w:val="002060"/>
                            <w:sz w:val="20"/>
                          </w:rPr>
                          <w:t>109</w:t>
                        </w:r>
                        <w:r w:rsidRPr="0070475A">
                          <w:rPr>
                            <w:rFonts w:eastAsia="Verdana"/>
                            <w:b w:val="0"/>
                            <w:bCs w:val="0"/>
                            <w:color w:val="002060"/>
                            <w:sz w:val="20"/>
                          </w:rPr>
                          <w:t xml:space="preserve"> εκατ. ευρώ.</w:t>
                        </w:r>
                      </w:p>
                      <w:p w14:paraId="63E27817" w14:textId="77777777" w:rsidR="00D631B9" w:rsidRPr="00BC5D54" w:rsidRDefault="00D631B9" w:rsidP="00D631B9">
                        <w:pPr>
                          <w:pStyle w:val="Heading2"/>
                          <w:tabs>
                            <w:tab w:val="left" w:pos="840"/>
                            <w:tab w:val="left" w:pos="841"/>
                          </w:tabs>
                          <w:ind w:left="0" w:firstLine="60"/>
                          <w:jc w:val="both"/>
                          <w:rPr>
                            <w:color w:val="FF0000"/>
                            <w:sz w:val="20"/>
                          </w:rPr>
                        </w:pPr>
                      </w:p>
                      <w:p w14:paraId="0225EB3E" w14:textId="77777777" w:rsidR="00D631B9" w:rsidRPr="00790F20" w:rsidRDefault="00D631B9" w:rsidP="00D631B9">
                        <w:pPr>
                          <w:pStyle w:val="Heading2"/>
                          <w:numPr>
                            <w:ilvl w:val="0"/>
                            <w:numId w:val="12"/>
                          </w:numPr>
                          <w:tabs>
                            <w:tab w:val="left" w:pos="840"/>
                            <w:tab w:val="left" w:pos="841"/>
                          </w:tabs>
                          <w:jc w:val="both"/>
                          <w:rPr>
                            <w:rFonts w:eastAsia="Verdana"/>
                            <w:b w:val="0"/>
                            <w:bCs w:val="0"/>
                            <w:color w:val="002060"/>
                            <w:sz w:val="20"/>
                          </w:rPr>
                        </w:pPr>
                        <w:r w:rsidRPr="00790F20">
                          <w:rPr>
                            <w:rFonts w:eastAsia="Verdana"/>
                            <w:b w:val="0"/>
                            <w:bCs w:val="0"/>
                            <w:color w:val="002060"/>
                            <w:sz w:val="20"/>
                          </w:rPr>
                          <w:t xml:space="preserve">5,1% επί του ενήμερου δανειακού χαρτοφυλακίου (προ προβλέψεων) εντάχθηκαν στις ρυθμίσεις που ισχύουν λόγω </w:t>
                        </w:r>
                        <w:proofErr w:type="spellStart"/>
                        <w:r w:rsidRPr="00790F20">
                          <w:rPr>
                            <w:rFonts w:eastAsia="Verdana"/>
                            <w:b w:val="0"/>
                            <w:bCs w:val="0"/>
                            <w:color w:val="002060"/>
                            <w:sz w:val="20"/>
                            <w:lang w:val="en-US"/>
                          </w:rPr>
                          <w:t>covid</w:t>
                        </w:r>
                        <w:proofErr w:type="spellEnd"/>
                        <w:r w:rsidRPr="00790F20">
                          <w:rPr>
                            <w:rFonts w:eastAsia="Verdana"/>
                            <w:b w:val="0"/>
                            <w:bCs w:val="0"/>
                            <w:color w:val="002060"/>
                            <w:sz w:val="20"/>
                          </w:rPr>
                          <w:t>-19.</w:t>
                        </w:r>
                      </w:p>
                      <w:p w14:paraId="03BE57AF" w14:textId="77777777" w:rsidR="00D631B9" w:rsidRPr="00BC5D54" w:rsidRDefault="00D631B9" w:rsidP="00D631B9">
                        <w:pPr>
                          <w:tabs>
                            <w:tab w:val="left" w:pos="840"/>
                            <w:tab w:val="left" w:pos="841"/>
                          </w:tabs>
                          <w:spacing w:before="11"/>
                          <w:ind w:left="360"/>
                          <w:jc w:val="both"/>
                          <w:rPr>
                            <w:b/>
                            <w:color w:val="FF0000"/>
                          </w:rPr>
                        </w:pPr>
                      </w:p>
                      <w:p w14:paraId="383683DB" w14:textId="77777777" w:rsidR="00D631B9" w:rsidRPr="00AD084E" w:rsidRDefault="00D631B9" w:rsidP="00D631B9">
                        <w:pPr>
                          <w:pStyle w:val="Heading2"/>
                          <w:numPr>
                            <w:ilvl w:val="0"/>
                            <w:numId w:val="12"/>
                          </w:numPr>
                          <w:tabs>
                            <w:tab w:val="left" w:pos="840"/>
                            <w:tab w:val="left" w:pos="841"/>
                          </w:tabs>
                          <w:jc w:val="both"/>
                          <w:rPr>
                            <w:rFonts w:eastAsia="Verdana"/>
                            <w:b w:val="0"/>
                            <w:bCs w:val="0"/>
                            <w:color w:val="002060"/>
                            <w:sz w:val="20"/>
                          </w:rPr>
                        </w:pPr>
                        <w:r w:rsidRPr="00AD084E">
                          <w:rPr>
                            <w:rFonts w:eastAsia="Verdana"/>
                            <w:b w:val="0"/>
                            <w:bCs w:val="0"/>
                            <w:color w:val="002060"/>
                            <w:sz w:val="20"/>
                          </w:rPr>
                          <w:t xml:space="preserve">Δείκτης Μη Εξυπηρετούμενων Δανείων λιγότερο από 1% σε </w:t>
                        </w:r>
                        <w:r w:rsidRPr="00AD084E">
                          <w:rPr>
                            <w:rFonts w:eastAsia="Verdana"/>
                            <w:b w:val="0"/>
                            <w:bCs w:val="0"/>
                            <w:color w:val="002060"/>
                            <w:sz w:val="20"/>
                            <w:lang w:val="en-US"/>
                          </w:rPr>
                          <w:t>pro</w:t>
                        </w:r>
                        <w:r w:rsidRPr="00AD084E">
                          <w:rPr>
                            <w:rFonts w:eastAsia="Verdana"/>
                            <w:b w:val="0"/>
                            <w:bCs w:val="0"/>
                            <w:color w:val="002060"/>
                            <w:sz w:val="20"/>
                          </w:rPr>
                          <w:t xml:space="preserve"> </w:t>
                        </w:r>
                        <w:r w:rsidRPr="00AD084E">
                          <w:rPr>
                            <w:rFonts w:eastAsia="Verdana"/>
                            <w:b w:val="0"/>
                            <w:bCs w:val="0"/>
                            <w:color w:val="002060"/>
                            <w:sz w:val="20"/>
                            <w:lang w:val="en-US"/>
                          </w:rPr>
                          <w:t>forma</w:t>
                        </w:r>
                        <w:r w:rsidRPr="00AD084E">
                          <w:rPr>
                            <w:rFonts w:eastAsia="Verdana"/>
                            <w:b w:val="0"/>
                            <w:bCs w:val="0"/>
                            <w:color w:val="002060"/>
                            <w:sz w:val="20"/>
                          </w:rPr>
                          <w:t xml:space="preserve"> επίπεδο. Χωρίς να ληφθούν υπόψη οι </w:t>
                        </w:r>
                        <w:proofErr w:type="spellStart"/>
                        <w:r w:rsidRPr="00AD084E">
                          <w:rPr>
                            <w:rFonts w:eastAsia="Verdana"/>
                            <w:b w:val="0"/>
                            <w:bCs w:val="0"/>
                            <w:color w:val="002060"/>
                            <w:sz w:val="20"/>
                          </w:rPr>
                          <w:t>τιτλοποιήσεις</w:t>
                        </w:r>
                        <w:proofErr w:type="spellEnd"/>
                        <w:r w:rsidRPr="00AD084E">
                          <w:rPr>
                            <w:rFonts w:eastAsia="Verdana"/>
                            <w:b w:val="0"/>
                            <w:bCs w:val="0"/>
                            <w:color w:val="002060"/>
                            <w:sz w:val="20"/>
                          </w:rPr>
                          <w:t xml:space="preserve"> </w:t>
                        </w:r>
                        <w:r w:rsidRPr="00AD084E">
                          <w:rPr>
                            <w:rFonts w:eastAsia="Verdana"/>
                            <w:b w:val="0"/>
                            <w:bCs w:val="0"/>
                            <w:color w:val="002060"/>
                            <w:sz w:val="20"/>
                            <w:lang w:val="en-US"/>
                          </w:rPr>
                          <w:t>Astir</w:t>
                        </w:r>
                        <w:r w:rsidRPr="00AD084E">
                          <w:rPr>
                            <w:rFonts w:eastAsia="Verdana"/>
                            <w:b w:val="0"/>
                            <w:bCs w:val="0"/>
                            <w:color w:val="002060"/>
                            <w:sz w:val="20"/>
                          </w:rPr>
                          <w:t xml:space="preserve"> 1,2 και Ωμέγα, ο δείκτης Μη Εξυπηρετούμενων Ανοιγμάτων ανέρχεται σε 45,3% με δείκτη κάλυψης από προβλέψεις σε 43,6%.</w:t>
                        </w:r>
                      </w:p>
                      <w:p w14:paraId="1E6D4AA2" w14:textId="77777777" w:rsidR="00D631B9" w:rsidRPr="00BC5D54" w:rsidRDefault="00D631B9" w:rsidP="00D631B9">
                        <w:pPr>
                          <w:pStyle w:val="BodyText"/>
                          <w:spacing w:before="10"/>
                          <w:ind w:left="360"/>
                          <w:jc w:val="both"/>
                          <w:rPr>
                            <w:color w:val="FF0000"/>
                            <w:sz w:val="20"/>
                            <w:szCs w:val="22"/>
                            <w:highlight w:val="yellow"/>
                          </w:rPr>
                        </w:pPr>
                      </w:p>
                      <w:p w14:paraId="61D4EA7D" w14:textId="0DB4AFE0" w:rsidR="00D631B9" w:rsidRPr="00E16692" w:rsidRDefault="00D631B9" w:rsidP="00D631B9">
                        <w:pPr>
                          <w:pStyle w:val="ListParagraph"/>
                          <w:numPr>
                            <w:ilvl w:val="0"/>
                            <w:numId w:val="12"/>
                          </w:numPr>
                          <w:tabs>
                            <w:tab w:val="left" w:pos="840"/>
                            <w:tab w:val="left" w:pos="841"/>
                          </w:tabs>
                          <w:rPr>
                            <w:color w:val="002060"/>
                            <w:sz w:val="20"/>
                          </w:rPr>
                        </w:pPr>
                        <w:r w:rsidRPr="00E16692">
                          <w:rPr>
                            <w:color w:val="002060"/>
                            <w:sz w:val="20"/>
                          </w:rPr>
                          <w:t xml:space="preserve">Ομαλή εξέλιξη του προγράμματος αποκατάστασης κεφαλαιακής επάρκειας (Capital Plan). Η Τράπεζα κατά την τρέχουσα περίοδο ολοκληρώνει τις ενέργειες προετοιμασίας της υλοποίησης των ενεργειών ενίσχυσης των εποπτικών κεφαλαίων βάσει του σχετικού προγράμματος. </w:t>
                        </w:r>
                      </w:p>
                      <w:p w14:paraId="40349BBF" w14:textId="77777777" w:rsidR="00D631B9" w:rsidRPr="00B3268F" w:rsidRDefault="00D631B9" w:rsidP="00D631B9">
                        <w:pPr>
                          <w:pStyle w:val="ListParagraph"/>
                          <w:rPr>
                            <w:color w:val="2F3E80"/>
                            <w:sz w:val="20"/>
                          </w:rPr>
                        </w:pPr>
                      </w:p>
                      <w:p w14:paraId="3D47BC2A" w14:textId="77777777" w:rsidR="00D631B9" w:rsidRPr="00B3268F" w:rsidRDefault="00D631B9" w:rsidP="00D631B9">
                        <w:pPr>
                          <w:pStyle w:val="ListParagraph"/>
                          <w:tabs>
                            <w:tab w:val="left" w:pos="840"/>
                            <w:tab w:val="left" w:pos="841"/>
                          </w:tabs>
                          <w:ind w:left="1200" w:firstLine="0"/>
                          <w:rPr>
                            <w:color w:val="2F3E80"/>
                            <w:sz w:val="20"/>
                          </w:rPr>
                        </w:pPr>
                      </w:p>
                      <w:p w14:paraId="040A5F91" w14:textId="77777777" w:rsidR="00D631B9" w:rsidRPr="00B3268F" w:rsidRDefault="00D631B9" w:rsidP="00D631B9">
                        <w:pPr>
                          <w:tabs>
                            <w:tab w:val="left" w:pos="775"/>
                          </w:tabs>
                          <w:spacing w:before="1"/>
                          <w:ind w:left="774"/>
                          <w:rPr>
                            <w:b/>
                            <w:sz w:val="20"/>
                          </w:rPr>
                        </w:pPr>
                      </w:p>
                    </w:txbxContent>
                  </v:textbox>
                </v:shape>
                <w10:wrap type="topAndBottom" anchorx="margin"/>
              </v:group>
            </w:pict>
          </mc:Fallback>
        </mc:AlternateContent>
      </w:r>
    </w:p>
    <w:p w14:paraId="3E5AE481" w14:textId="77777777" w:rsidR="00D631B9" w:rsidRPr="00BC5D54" w:rsidRDefault="00D631B9" w:rsidP="00D631B9">
      <w:pPr>
        <w:pStyle w:val="Heading3"/>
        <w:spacing w:before="119" w:line="276" w:lineRule="auto"/>
        <w:ind w:right="296"/>
        <w:rPr>
          <w:rFonts w:ascii="Verdana" w:eastAsia="Verdana" w:hAnsi="Verdana" w:cs="Verdana"/>
          <w:i/>
          <w:color w:val="FF0000"/>
          <w:sz w:val="18"/>
        </w:rPr>
      </w:pPr>
    </w:p>
    <w:p w14:paraId="3FFCED20" w14:textId="77777777" w:rsidR="00D631B9" w:rsidRPr="00BC5D54" w:rsidRDefault="00D631B9" w:rsidP="00D631B9">
      <w:pPr>
        <w:pStyle w:val="Heading3"/>
        <w:spacing w:before="119" w:line="276" w:lineRule="auto"/>
        <w:ind w:right="296"/>
        <w:rPr>
          <w:rFonts w:ascii="Verdana" w:eastAsia="Verdana" w:hAnsi="Verdana" w:cs="Verdana"/>
          <w:i/>
          <w:color w:val="FF0000"/>
          <w:sz w:val="18"/>
        </w:rPr>
      </w:pPr>
    </w:p>
    <w:p w14:paraId="6521AA4E" w14:textId="77777777" w:rsidR="00D631B9" w:rsidRDefault="00D631B9" w:rsidP="00D631B9">
      <w:pPr>
        <w:rPr>
          <w:rFonts w:ascii="Georgia" w:hAnsi="Georgia"/>
          <w:b/>
          <w:bCs/>
          <w:iCs/>
          <w:color w:val="002060"/>
          <w:sz w:val="28"/>
          <w:szCs w:val="28"/>
        </w:rPr>
      </w:pPr>
      <w:r>
        <w:rPr>
          <w:rFonts w:ascii="Georgia" w:hAnsi="Georgia"/>
          <w:b/>
          <w:bCs/>
          <w:iCs/>
          <w:color w:val="002060"/>
          <w:sz w:val="28"/>
          <w:szCs w:val="28"/>
        </w:rPr>
        <w:br w:type="page"/>
      </w:r>
    </w:p>
    <w:p w14:paraId="578F6FB1" w14:textId="77777777" w:rsidR="00D631B9" w:rsidRPr="001F054C" w:rsidRDefault="00D631B9" w:rsidP="00D631B9">
      <w:pPr>
        <w:pStyle w:val="Heading3"/>
        <w:spacing w:before="119" w:line="276" w:lineRule="auto"/>
        <w:ind w:left="720" w:right="296"/>
        <w:jc w:val="center"/>
        <w:rPr>
          <w:rFonts w:ascii="Georgia" w:eastAsia="Verdana" w:hAnsi="Georgia" w:cs="Verdana"/>
          <w:b/>
          <w:bCs/>
          <w:iCs/>
          <w:color w:val="002060"/>
          <w:sz w:val="28"/>
          <w:szCs w:val="28"/>
        </w:rPr>
      </w:pPr>
      <w:r w:rsidRPr="001F054C">
        <w:rPr>
          <w:rFonts w:ascii="Georgia" w:eastAsia="Verdana" w:hAnsi="Georgia" w:cs="Verdana"/>
          <w:b/>
          <w:bCs/>
          <w:iCs/>
          <w:color w:val="002060"/>
          <w:sz w:val="28"/>
          <w:szCs w:val="28"/>
        </w:rPr>
        <w:lastRenderedPageBreak/>
        <w:t>Δήλωση Διοίκησης</w:t>
      </w:r>
    </w:p>
    <w:p w14:paraId="34BCAEB8" w14:textId="77777777" w:rsidR="00D631B9" w:rsidRPr="00BC5D54" w:rsidRDefault="00D631B9" w:rsidP="00D631B9">
      <w:pPr>
        <w:rPr>
          <w:color w:val="FF0000"/>
        </w:rPr>
      </w:pPr>
    </w:p>
    <w:p w14:paraId="4587A561" w14:textId="77777777" w:rsidR="00D631B9" w:rsidRDefault="00D631B9" w:rsidP="00D631B9">
      <w:pPr>
        <w:jc w:val="both"/>
        <w:rPr>
          <w:i/>
          <w:color w:val="002060"/>
          <w:sz w:val="20"/>
          <w:szCs w:val="20"/>
        </w:rPr>
      </w:pPr>
      <w:r>
        <w:rPr>
          <w:i/>
          <w:color w:val="002060"/>
          <w:sz w:val="20"/>
          <w:szCs w:val="20"/>
        </w:rPr>
        <w:t>Το 2021</w:t>
      </w:r>
      <w:r w:rsidRPr="00825A2D">
        <w:rPr>
          <w:i/>
          <w:color w:val="002060"/>
          <w:sz w:val="20"/>
          <w:szCs w:val="20"/>
        </w:rPr>
        <w:t xml:space="preserve"> </w:t>
      </w:r>
      <w:r>
        <w:rPr>
          <w:i/>
          <w:color w:val="002060"/>
          <w:sz w:val="20"/>
          <w:szCs w:val="20"/>
        </w:rPr>
        <w:t xml:space="preserve">ξεκίνησε σε θετικό κλίμα, με προσδοκίες για ισχυρή ανάπτυξη και αποκατάσταση της κανονικότητας. Ωστόσο, το τρίτο κύμα της πανδημίας </w:t>
      </w:r>
      <w:r w:rsidRPr="00AD0506">
        <w:rPr>
          <w:i/>
          <w:color w:val="002060"/>
          <w:sz w:val="20"/>
          <w:szCs w:val="20"/>
        </w:rPr>
        <w:t>2021 οδήγησε στην παράταση και την αυστηροποίηση</w:t>
      </w:r>
      <w:r w:rsidRPr="00617C25">
        <w:rPr>
          <w:i/>
          <w:color w:val="002060"/>
          <w:sz w:val="20"/>
          <w:szCs w:val="20"/>
        </w:rPr>
        <w:t xml:space="preserve"> </w:t>
      </w:r>
      <w:r w:rsidRPr="00AD0506">
        <w:rPr>
          <w:i/>
          <w:color w:val="002060"/>
          <w:sz w:val="20"/>
          <w:szCs w:val="20"/>
        </w:rPr>
        <w:t>των περιορισμών που είχαν επιβληθεί στην οικονομική</w:t>
      </w:r>
      <w:r w:rsidRPr="008B264E">
        <w:rPr>
          <w:i/>
          <w:color w:val="002060"/>
          <w:sz w:val="20"/>
          <w:szCs w:val="20"/>
        </w:rPr>
        <w:t xml:space="preserve"> </w:t>
      </w:r>
      <w:r w:rsidRPr="00AD0506">
        <w:rPr>
          <w:i/>
          <w:color w:val="002060"/>
          <w:sz w:val="20"/>
          <w:szCs w:val="20"/>
        </w:rPr>
        <w:t xml:space="preserve">και κοινωνική ζωή της </w:t>
      </w:r>
      <w:r>
        <w:rPr>
          <w:i/>
          <w:color w:val="002060"/>
          <w:sz w:val="20"/>
          <w:szCs w:val="20"/>
        </w:rPr>
        <w:t xml:space="preserve">χώρας για την ανάσχεση της υγειονομικής κρίσης. </w:t>
      </w:r>
      <w:r w:rsidRPr="008B264E">
        <w:rPr>
          <w:i/>
          <w:color w:val="002060"/>
          <w:sz w:val="20"/>
          <w:szCs w:val="20"/>
        </w:rPr>
        <w:t xml:space="preserve">Η διεύρυνση και επιτάχυνση του προγράμματος των εμβολιασμών κατά </w:t>
      </w:r>
      <w:r>
        <w:rPr>
          <w:i/>
          <w:color w:val="002060"/>
          <w:sz w:val="20"/>
          <w:szCs w:val="20"/>
        </w:rPr>
        <w:t xml:space="preserve">τους </w:t>
      </w:r>
      <w:r w:rsidRPr="008B264E">
        <w:rPr>
          <w:i/>
          <w:color w:val="002060"/>
          <w:sz w:val="20"/>
          <w:szCs w:val="20"/>
        </w:rPr>
        <w:t>πρόσφατους μήνες συντείνει στην άρση της αβεβαιότητας και έχει δημ</w:t>
      </w:r>
      <w:r>
        <w:rPr>
          <w:i/>
          <w:color w:val="002060"/>
          <w:sz w:val="20"/>
          <w:szCs w:val="20"/>
        </w:rPr>
        <w:t>ιουργήσει θετικές προσ</w:t>
      </w:r>
      <w:r w:rsidRPr="008B264E">
        <w:rPr>
          <w:i/>
          <w:color w:val="002060"/>
          <w:sz w:val="20"/>
          <w:szCs w:val="20"/>
        </w:rPr>
        <w:t>δοκίες τόσο στις επιχειρήσεις όσο και στους καταναλωτές.</w:t>
      </w:r>
    </w:p>
    <w:p w14:paraId="5DE65F57" w14:textId="77777777" w:rsidR="00D631B9" w:rsidRPr="008B264E" w:rsidRDefault="00D631B9" w:rsidP="00D631B9">
      <w:pPr>
        <w:jc w:val="both"/>
        <w:rPr>
          <w:i/>
          <w:color w:val="002060"/>
          <w:sz w:val="20"/>
          <w:szCs w:val="20"/>
        </w:rPr>
      </w:pPr>
      <w:r w:rsidRPr="008B264E">
        <w:rPr>
          <w:i/>
          <w:color w:val="002060"/>
          <w:sz w:val="20"/>
          <w:szCs w:val="20"/>
        </w:rPr>
        <w:t xml:space="preserve">Σύμφωνα με τις προβλέψεις της </w:t>
      </w:r>
      <w:proofErr w:type="spellStart"/>
      <w:r>
        <w:rPr>
          <w:i/>
          <w:color w:val="002060"/>
          <w:sz w:val="20"/>
          <w:szCs w:val="20"/>
        </w:rPr>
        <w:t>ΤτΕ</w:t>
      </w:r>
      <w:proofErr w:type="spellEnd"/>
      <w:r w:rsidRPr="008B264E">
        <w:rPr>
          <w:i/>
          <w:color w:val="002060"/>
          <w:sz w:val="20"/>
          <w:szCs w:val="20"/>
        </w:rPr>
        <w:t xml:space="preserve"> για το σύνολο του 2021 η οικονομική δραστηριότητα εκτιμάται ότι θα ανακάμψει και θα αυξηθεί με ρυθμό 4,2%,</w:t>
      </w:r>
      <w:r>
        <w:rPr>
          <w:i/>
          <w:color w:val="002060"/>
          <w:sz w:val="20"/>
          <w:szCs w:val="20"/>
        </w:rPr>
        <w:t xml:space="preserve"> ο οποίος θα επιτα</w:t>
      </w:r>
      <w:r w:rsidRPr="008B264E">
        <w:rPr>
          <w:i/>
          <w:color w:val="002060"/>
          <w:sz w:val="20"/>
          <w:szCs w:val="20"/>
        </w:rPr>
        <w:t>χυνθεί σε 5,3% το 2022</w:t>
      </w:r>
      <w:r>
        <w:rPr>
          <w:i/>
          <w:color w:val="002060"/>
          <w:sz w:val="20"/>
          <w:szCs w:val="20"/>
        </w:rPr>
        <w:t>. Η ανάκαμψη αναμένεται να επιτα</w:t>
      </w:r>
      <w:r w:rsidRPr="008B264E">
        <w:rPr>
          <w:i/>
          <w:color w:val="002060"/>
          <w:sz w:val="20"/>
          <w:szCs w:val="20"/>
        </w:rPr>
        <w:t>χυνθεί το δεύτερο εξάμηνο, με τη συμβολή των πόρων του ευρωπαϊκού μέσου ανάκαμψης αλλά και με τη μερική επάνοδο του τουρισμού.</w:t>
      </w:r>
    </w:p>
    <w:p w14:paraId="69E46864" w14:textId="77777777" w:rsidR="00D631B9" w:rsidRDefault="00D631B9" w:rsidP="00D631B9">
      <w:pPr>
        <w:jc w:val="both"/>
        <w:rPr>
          <w:i/>
          <w:color w:val="002060"/>
          <w:sz w:val="20"/>
          <w:szCs w:val="20"/>
        </w:rPr>
      </w:pPr>
    </w:p>
    <w:p w14:paraId="7A85B1B8" w14:textId="77777777" w:rsidR="00D631B9" w:rsidRDefault="00D631B9" w:rsidP="00D631B9">
      <w:pPr>
        <w:jc w:val="both"/>
        <w:rPr>
          <w:i/>
          <w:color w:val="002060"/>
          <w:sz w:val="20"/>
          <w:szCs w:val="20"/>
        </w:rPr>
      </w:pPr>
      <w:r w:rsidRPr="00825A2D">
        <w:rPr>
          <w:i/>
          <w:color w:val="002060"/>
          <w:sz w:val="20"/>
          <w:szCs w:val="20"/>
        </w:rPr>
        <w:t xml:space="preserve">Σε ένα περιβάλλον με θετικές προοπτικές, η Attica Bank εστιάζει στην επανεκκίνηση της οικονομικής δραστηριότητας, βοηθώντας τους πελάτες της να επανακτήσουν τη θέση τους στην αγορά. </w:t>
      </w:r>
      <w:r>
        <w:rPr>
          <w:i/>
          <w:color w:val="002060"/>
          <w:sz w:val="20"/>
          <w:szCs w:val="20"/>
        </w:rPr>
        <w:t>Στο πλαίσιο αυτό</w:t>
      </w:r>
      <w:r w:rsidRPr="001A7609">
        <w:rPr>
          <w:i/>
          <w:color w:val="002060"/>
          <w:sz w:val="20"/>
          <w:szCs w:val="20"/>
        </w:rPr>
        <w:t xml:space="preserve"> </w:t>
      </w:r>
      <w:r>
        <w:rPr>
          <w:i/>
          <w:color w:val="002060"/>
          <w:sz w:val="20"/>
          <w:szCs w:val="20"/>
        </w:rPr>
        <w:t>και σ</w:t>
      </w:r>
      <w:r w:rsidRPr="001A7609">
        <w:rPr>
          <w:i/>
          <w:color w:val="002060"/>
          <w:sz w:val="20"/>
          <w:szCs w:val="20"/>
        </w:rPr>
        <w:t>ε συνέχεια της εξυγίανσης του Ισολογισμού της με τη δημοσίευση των αποτελεσμάτων της 31</w:t>
      </w:r>
      <w:r w:rsidRPr="00626D6C">
        <w:rPr>
          <w:i/>
          <w:color w:val="002060"/>
          <w:sz w:val="20"/>
          <w:szCs w:val="20"/>
          <w:vertAlign w:val="superscript"/>
        </w:rPr>
        <w:t>ης</w:t>
      </w:r>
      <w:r>
        <w:rPr>
          <w:i/>
          <w:color w:val="002060"/>
          <w:sz w:val="20"/>
          <w:szCs w:val="20"/>
        </w:rPr>
        <w:t xml:space="preserve"> </w:t>
      </w:r>
      <w:r w:rsidRPr="001A7609">
        <w:rPr>
          <w:i/>
          <w:color w:val="002060"/>
          <w:sz w:val="20"/>
          <w:szCs w:val="20"/>
        </w:rPr>
        <w:t>Δεκεμβρίου 2020, η Διοίκηση της Τράπεζας</w:t>
      </w:r>
      <w:r>
        <w:rPr>
          <w:i/>
          <w:color w:val="002060"/>
          <w:sz w:val="20"/>
          <w:szCs w:val="20"/>
        </w:rPr>
        <w:t xml:space="preserve"> ανακοίνωσε κατά την 09.07.2021 ότι</w:t>
      </w:r>
      <w:r w:rsidRPr="001A7609">
        <w:rPr>
          <w:i/>
          <w:color w:val="002060"/>
          <w:sz w:val="20"/>
          <w:szCs w:val="20"/>
        </w:rPr>
        <w:t xml:space="preserve"> προχωρά σε αναπτυξιακή αύξηση του μετοχικού της κεφαλαίου</w:t>
      </w:r>
      <w:r>
        <w:rPr>
          <w:i/>
          <w:color w:val="002060"/>
          <w:sz w:val="20"/>
          <w:szCs w:val="20"/>
        </w:rPr>
        <w:t xml:space="preserve"> </w:t>
      </w:r>
      <w:r w:rsidRPr="001A7609">
        <w:rPr>
          <w:i/>
          <w:color w:val="002060"/>
          <w:sz w:val="20"/>
          <w:szCs w:val="20"/>
        </w:rPr>
        <w:t>από €120 εκατ. έως €240 εκατ. εντός του 2021.</w:t>
      </w:r>
      <w:r>
        <w:rPr>
          <w:i/>
          <w:color w:val="002060"/>
          <w:sz w:val="20"/>
          <w:szCs w:val="20"/>
        </w:rPr>
        <w:t xml:space="preserve"> </w:t>
      </w:r>
      <w:r w:rsidRPr="001A7609">
        <w:rPr>
          <w:i/>
          <w:color w:val="002060"/>
          <w:sz w:val="20"/>
          <w:szCs w:val="20"/>
        </w:rPr>
        <w:t>Στόχος της αύξησης αυτής, είναι η υποστήριξη της υλοποίησης του τριετούς Επιχειρηματικού Σχεδίου 2021-2023 που - μεταξύ των άλλων - προβλέπει και την αύξηση των δανειακών υπολοίπων κατά</w:t>
      </w:r>
      <w:r>
        <w:rPr>
          <w:i/>
          <w:color w:val="002060"/>
          <w:sz w:val="20"/>
          <w:szCs w:val="20"/>
        </w:rPr>
        <w:t xml:space="preserve"> €</w:t>
      </w:r>
      <w:r w:rsidRPr="001A7609">
        <w:rPr>
          <w:i/>
          <w:color w:val="002060"/>
          <w:sz w:val="20"/>
          <w:szCs w:val="20"/>
        </w:rPr>
        <w:t>2 δισ. περίπου και ταυτόχρονα διασφαλίζει την ταχεία αποκατάσταση των δεικτών κεφαλαιακής επάρκειας της Τράπεζας σε βαθμό που να υποστηρίζουν την επιτυχή υλοποίηση του Επιχειρηματικού της Σχεδίου.</w:t>
      </w:r>
    </w:p>
    <w:p w14:paraId="75FFE789" w14:textId="77777777" w:rsidR="00D631B9" w:rsidRDefault="00D631B9" w:rsidP="00D631B9">
      <w:pPr>
        <w:jc w:val="both"/>
        <w:rPr>
          <w:i/>
          <w:color w:val="002060"/>
          <w:sz w:val="20"/>
          <w:szCs w:val="20"/>
        </w:rPr>
      </w:pPr>
    </w:p>
    <w:p w14:paraId="7562712C" w14:textId="70D395FD" w:rsidR="00D631B9" w:rsidRPr="00F03B4F" w:rsidRDefault="00D631B9" w:rsidP="00D631B9">
      <w:pPr>
        <w:jc w:val="both"/>
        <w:rPr>
          <w:i/>
          <w:color w:val="002060"/>
          <w:sz w:val="20"/>
          <w:szCs w:val="20"/>
        </w:rPr>
      </w:pPr>
      <w:r w:rsidRPr="00F03B4F">
        <w:rPr>
          <w:i/>
          <w:color w:val="002060"/>
          <w:sz w:val="20"/>
          <w:szCs w:val="20"/>
        </w:rPr>
        <w:t xml:space="preserve">Ταυτόχρονα, η Διοίκηση της τράπεζας ολοκλήρωσε επιτυχώς όλες τις απαιτούμενες διαδικασίες σχετικά με την ρύθμιση του χρόνιου προβλήματος της </w:t>
      </w:r>
      <w:r w:rsidR="002378CF" w:rsidRPr="00F03B4F">
        <w:rPr>
          <w:i/>
          <w:color w:val="002060"/>
          <w:sz w:val="20"/>
          <w:szCs w:val="20"/>
        </w:rPr>
        <w:t>αναβαλλόμενης</w:t>
      </w:r>
      <w:r w:rsidRPr="00F03B4F">
        <w:rPr>
          <w:i/>
          <w:color w:val="002060"/>
          <w:sz w:val="20"/>
          <w:szCs w:val="20"/>
        </w:rPr>
        <w:t xml:space="preserve"> φορολογίας που ταλανίζει το σύνολο του εγχώριου τραπεζικού συστήματος. Πρωτοστατώντας για μία ακόμα φορά με θετικό τρόπο στις τραπεζικές εξελίξεις  και ανοίγοντας δρόμους στον κλάδο, , καθώς έχουν ήδη εκδοθεί οι παραστατικοί τίτλοι (</w:t>
      </w:r>
      <w:r w:rsidRPr="00F03B4F">
        <w:rPr>
          <w:i/>
          <w:color w:val="002060"/>
          <w:sz w:val="20"/>
          <w:szCs w:val="20"/>
          <w:lang w:val="en-US"/>
        </w:rPr>
        <w:t>warrants</w:t>
      </w:r>
      <w:r w:rsidRPr="00F03B4F">
        <w:rPr>
          <w:i/>
          <w:color w:val="002060"/>
          <w:sz w:val="20"/>
          <w:szCs w:val="20"/>
        </w:rPr>
        <w:t>) και έχουν εισρεύσει 151.854.439,86 ευρώ, ποσό που αντιστοιχεί στο 100% της οριστικής και εκκαθαρισμένης φορολογικής απαίτησης κατά του Δημοσίου.</w:t>
      </w:r>
    </w:p>
    <w:p w14:paraId="5C9C8F4E" w14:textId="7FEEDA8E" w:rsidR="00D631B9" w:rsidRPr="00F03B4F" w:rsidRDefault="00D631B9" w:rsidP="00D631B9">
      <w:pPr>
        <w:jc w:val="both"/>
        <w:rPr>
          <w:i/>
          <w:color w:val="002060"/>
          <w:sz w:val="20"/>
          <w:szCs w:val="20"/>
        </w:rPr>
      </w:pPr>
      <w:r w:rsidRPr="00F03B4F">
        <w:rPr>
          <w:i/>
          <w:color w:val="002060"/>
          <w:sz w:val="20"/>
          <w:szCs w:val="20"/>
        </w:rPr>
        <w:t xml:space="preserve">Την ενέργεια αυτή μάλιστα επικρότησε με έκθεσή του και ο οίκος </w:t>
      </w:r>
      <w:r w:rsidRPr="00F03B4F">
        <w:rPr>
          <w:i/>
          <w:color w:val="002060"/>
          <w:sz w:val="20"/>
          <w:szCs w:val="20"/>
          <w:lang w:val="en-US"/>
        </w:rPr>
        <w:t>Moody</w:t>
      </w:r>
      <w:r w:rsidRPr="00F03B4F">
        <w:rPr>
          <w:i/>
          <w:color w:val="002060"/>
          <w:sz w:val="20"/>
          <w:szCs w:val="20"/>
        </w:rPr>
        <w:t xml:space="preserve">’ </w:t>
      </w:r>
      <w:r w:rsidRPr="00F03B4F">
        <w:rPr>
          <w:i/>
          <w:color w:val="002060"/>
          <w:sz w:val="20"/>
          <w:szCs w:val="20"/>
          <w:lang w:val="en-US"/>
        </w:rPr>
        <w:t>s</w:t>
      </w:r>
      <w:r w:rsidRPr="00F03B4F">
        <w:rPr>
          <w:i/>
          <w:color w:val="002060"/>
          <w:sz w:val="20"/>
          <w:szCs w:val="20"/>
        </w:rPr>
        <w:t>, καταγράφοντας την ενίσχυση της τράπεζας και τη βελτίωση</w:t>
      </w:r>
      <w:r w:rsidR="00A52DE7" w:rsidRPr="00F03B4F">
        <w:rPr>
          <w:i/>
          <w:color w:val="002060"/>
          <w:sz w:val="20"/>
          <w:szCs w:val="20"/>
        </w:rPr>
        <w:t xml:space="preserve"> της ποιότητας</w:t>
      </w:r>
      <w:r w:rsidRPr="00F03B4F">
        <w:rPr>
          <w:i/>
          <w:color w:val="002060"/>
          <w:sz w:val="20"/>
          <w:szCs w:val="20"/>
        </w:rPr>
        <w:t xml:space="preserve"> των δεικτών κεφαλαιακής επάρκειας, αλλά </w:t>
      </w:r>
      <w:r w:rsidR="00F03B4F" w:rsidRPr="00F03B4F">
        <w:rPr>
          <w:i/>
          <w:color w:val="002060"/>
          <w:sz w:val="20"/>
          <w:szCs w:val="20"/>
        </w:rPr>
        <w:t xml:space="preserve">συνιστώντας </w:t>
      </w:r>
      <w:r w:rsidRPr="00F03B4F">
        <w:rPr>
          <w:i/>
          <w:color w:val="002060"/>
          <w:sz w:val="20"/>
          <w:szCs w:val="20"/>
        </w:rPr>
        <w:t>και μία πρώτη θετική μεταστροφή της αντιμετώπισης των ξένων οίκων αξιολόγησης.</w:t>
      </w:r>
    </w:p>
    <w:p w14:paraId="7D3299F2" w14:textId="77777777" w:rsidR="00D631B9" w:rsidRPr="00F03B4F" w:rsidRDefault="00D631B9" w:rsidP="00D631B9">
      <w:pPr>
        <w:jc w:val="both"/>
        <w:rPr>
          <w:i/>
          <w:color w:val="002060"/>
          <w:sz w:val="20"/>
          <w:szCs w:val="20"/>
        </w:rPr>
      </w:pPr>
    </w:p>
    <w:p w14:paraId="1948C75C" w14:textId="77777777" w:rsidR="00D631B9" w:rsidRPr="00204BF1" w:rsidRDefault="00D631B9" w:rsidP="00D631B9">
      <w:pPr>
        <w:jc w:val="both"/>
        <w:rPr>
          <w:i/>
          <w:color w:val="002060"/>
          <w:sz w:val="20"/>
          <w:szCs w:val="20"/>
        </w:rPr>
      </w:pPr>
      <w:r w:rsidRPr="00F03B4F">
        <w:rPr>
          <w:i/>
          <w:color w:val="002060"/>
          <w:sz w:val="20"/>
          <w:szCs w:val="20"/>
        </w:rPr>
        <w:t xml:space="preserve">Η Attica Bank, υιοθετώντας τις αρχές του </w:t>
      </w:r>
      <w:r w:rsidRPr="00F03B4F">
        <w:rPr>
          <w:i/>
          <w:color w:val="002060"/>
          <w:sz w:val="20"/>
          <w:szCs w:val="20"/>
          <w:lang w:val="en-US"/>
        </w:rPr>
        <w:t>sustainable</w:t>
      </w:r>
      <w:r w:rsidRPr="00F03B4F">
        <w:rPr>
          <w:i/>
          <w:color w:val="002060"/>
          <w:sz w:val="20"/>
          <w:szCs w:val="20"/>
        </w:rPr>
        <w:t xml:space="preserve"> </w:t>
      </w:r>
      <w:r w:rsidRPr="00F03B4F">
        <w:rPr>
          <w:i/>
          <w:color w:val="002060"/>
          <w:sz w:val="20"/>
          <w:szCs w:val="20"/>
          <w:lang w:val="en-US"/>
        </w:rPr>
        <w:t>banking</w:t>
      </w:r>
      <w:r w:rsidRPr="00F03B4F">
        <w:rPr>
          <w:i/>
          <w:color w:val="002060"/>
          <w:sz w:val="20"/>
          <w:szCs w:val="20"/>
        </w:rPr>
        <w:t>, έχει θέσει στο επίκεντρο του νέου στρατηγικού σχεδίου της, την αξιοποίηση των επιχειρηματικών ευκαιριών που δημιουργούνται με τη διαμόρφωση και διάθεση σύγχρονων τραπεζικών προϊόντων χρηματοδότησης της περιβαλλοντικής στρατηγικής των πελατών της. Ειδικότερα, παρέχει χρηματοδοτικές και συμβουλευτικές λύσεις για επενδύσεις στην Ενέργεια, το Περιβάλλον και τις Υποδομές.  Παράλληλα, ολοκληρώνει τον επιχειρησιακό της μετασχηματισμό και την επανατοποθέτησή της στην αγορά τόσο</w:t>
      </w:r>
      <w:r w:rsidRPr="00204BF1">
        <w:rPr>
          <w:i/>
          <w:color w:val="002060"/>
          <w:sz w:val="20"/>
          <w:szCs w:val="20"/>
        </w:rPr>
        <w:t xml:space="preserve"> σε ψηφιακό</w:t>
      </w:r>
      <w:r w:rsidRPr="0070475A">
        <w:rPr>
          <w:i/>
          <w:color w:val="002060"/>
          <w:sz w:val="20"/>
          <w:szCs w:val="20"/>
        </w:rPr>
        <w:t xml:space="preserve"> </w:t>
      </w:r>
      <w:r>
        <w:rPr>
          <w:i/>
          <w:color w:val="002060"/>
          <w:sz w:val="20"/>
          <w:szCs w:val="20"/>
        </w:rPr>
        <w:t>επίπεδο</w:t>
      </w:r>
      <w:r w:rsidRPr="00204BF1">
        <w:rPr>
          <w:i/>
          <w:color w:val="002060"/>
          <w:sz w:val="20"/>
          <w:szCs w:val="20"/>
        </w:rPr>
        <w:t xml:space="preserve"> όσο και μέσα από το δίκτυο καταστημάτων της, το μοντέλο λειτουργίας των οποίων θα μεταβληθεί, ώστε να ανταποκρίνεται στις σύγχρονες ανάγκες. </w:t>
      </w:r>
    </w:p>
    <w:p w14:paraId="7489E314" w14:textId="77777777" w:rsidR="00D631B9" w:rsidRPr="00204BF1" w:rsidRDefault="00D631B9" w:rsidP="00D631B9">
      <w:pPr>
        <w:jc w:val="both"/>
        <w:rPr>
          <w:i/>
          <w:color w:val="002060"/>
          <w:sz w:val="20"/>
          <w:szCs w:val="20"/>
        </w:rPr>
      </w:pPr>
      <w:r w:rsidRPr="00204BF1">
        <w:rPr>
          <w:i/>
          <w:color w:val="002060"/>
          <w:sz w:val="20"/>
          <w:szCs w:val="20"/>
        </w:rPr>
        <w:t xml:space="preserve">Η δημοσίευση των αποτελεσμάτων του β’ τριμήνου 2021 σηματοδοτεί ένα δυναμικό ξεκίνημα για την Τράπεζα καθώς αντανακλά την τάση για την επιτυχία του νέου προγράμματος μετασχηματισμού που έχει ξεκινήσει ήδη από τα τέλη του 2020. Πιο συγκεκριμένα, οι νέες χρηματοδοτήσεις και </w:t>
      </w:r>
      <w:proofErr w:type="spellStart"/>
      <w:r w:rsidRPr="00204BF1">
        <w:rPr>
          <w:i/>
          <w:color w:val="002060"/>
          <w:sz w:val="20"/>
          <w:szCs w:val="20"/>
        </w:rPr>
        <w:t>αναχρηματοδοτήσεις</w:t>
      </w:r>
      <w:proofErr w:type="spellEnd"/>
      <w:r w:rsidRPr="00204BF1">
        <w:rPr>
          <w:i/>
          <w:color w:val="002060"/>
          <w:sz w:val="20"/>
          <w:szCs w:val="20"/>
        </w:rPr>
        <w:t xml:space="preserve"> για την </w:t>
      </w:r>
      <w:proofErr w:type="spellStart"/>
      <w:r w:rsidRPr="00204BF1">
        <w:rPr>
          <w:i/>
          <w:color w:val="002060"/>
          <w:sz w:val="20"/>
          <w:szCs w:val="20"/>
        </w:rPr>
        <w:t>κλειόμενη</w:t>
      </w:r>
      <w:proofErr w:type="spellEnd"/>
      <w:r w:rsidRPr="00204BF1">
        <w:rPr>
          <w:i/>
          <w:color w:val="002060"/>
          <w:sz w:val="20"/>
          <w:szCs w:val="20"/>
        </w:rPr>
        <w:t xml:space="preserve"> περίοδο ανέρχονται περίπου σε €184 εκατ. και ο δείκτης δανείων μετά από προβλέψεις προς καταθέσεις βρίσκεται στα επίπεδα του 58%. Επιπλέον, η Attica Bank συνέχισε να βελτιώνει τη ρευστότητά της, και να παρουσιάζει σημαντική αύξηση καθώς αυξήθηκαν τα υπόλοιπα των καταθέσεων σε ετήσια βάση κατά 9,3%.</w:t>
      </w:r>
    </w:p>
    <w:p w14:paraId="68D97CE9" w14:textId="77777777" w:rsidR="00D631B9" w:rsidRPr="00204BF1" w:rsidRDefault="00D631B9" w:rsidP="00D631B9">
      <w:pPr>
        <w:jc w:val="both"/>
        <w:rPr>
          <w:i/>
          <w:color w:val="002060"/>
          <w:sz w:val="20"/>
          <w:szCs w:val="20"/>
        </w:rPr>
      </w:pPr>
    </w:p>
    <w:p w14:paraId="6AD88E78" w14:textId="25609E21" w:rsidR="00F67CF8" w:rsidRPr="004E58B1" w:rsidRDefault="00D631B9" w:rsidP="00373B58">
      <w:pPr>
        <w:jc w:val="both"/>
        <w:rPr>
          <w:i/>
          <w:color w:val="002060"/>
          <w:sz w:val="20"/>
          <w:szCs w:val="20"/>
        </w:rPr>
      </w:pPr>
      <w:r w:rsidRPr="00204BF1">
        <w:rPr>
          <w:i/>
          <w:color w:val="002060"/>
          <w:sz w:val="20"/>
          <w:szCs w:val="20"/>
        </w:rPr>
        <w:t xml:space="preserve">Ειδικότερα, κατά το πρώτο εξάμηνο, παρατηρείται σημαντική βελτίωση σε όλες σχεδόν τις λειτουργικές γραμμές των αποτελεσμάτων. Τα καθαρά έσοδα από τόκους αυξήθηκαν κατά 22% σε σχέση με την αντίστοιχη συγκριτική περίοδο του 2020, γεγονός που οφείλεται τόσο στη βελτίωση του </w:t>
      </w:r>
      <w:proofErr w:type="spellStart"/>
      <w:r w:rsidRPr="00204BF1">
        <w:rPr>
          <w:i/>
          <w:color w:val="002060"/>
          <w:sz w:val="20"/>
          <w:szCs w:val="20"/>
        </w:rPr>
        <w:t>επιτοκιακού</w:t>
      </w:r>
      <w:proofErr w:type="spellEnd"/>
      <w:r w:rsidRPr="00204BF1">
        <w:rPr>
          <w:i/>
          <w:color w:val="002060"/>
          <w:sz w:val="20"/>
          <w:szCs w:val="20"/>
        </w:rPr>
        <w:t xml:space="preserve"> εσόδου από τις εκταμιεύσεις δανείων όσο και στο χαμηλότερο κόστος χρηματοδότησης των εργασιών της Τράπεζας. Αντίστοιχα, τα καθαρά έσοδα από προμήθειες παρουσίασαν αξιοσημείωτη αύξηση κατά 51% με τη μεγαλύτερη βελτίωση να επιτυγχάνεται μέσω της αύξησης των εσόδων των χορηγήσεων, ύψους 111%.</w:t>
      </w:r>
      <w:r w:rsidR="00621C18">
        <w:rPr>
          <w:i/>
          <w:color w:val="002060"/>
          <w:sz w:val="20"/>
          <w:szCs w:val="20"/>
        </w:rPr>
        <w:t xml:space="preserve"> </w:t>
      </w:r>
      <w:r w:rsidR="00F67CF8">
        <w:rPr>
          <w:i/>
          <w:color w:val="002060"/>
          <w:sz w:val="20"/>
          <w:szCs w:val="20"/>
        </w:rPr>
        <w:t xml:space="preserve">Εντούτοις, τα συνολικά αποτελέσματα έχουν επηρεαστεί αρνητικά από τις επικρατούσες συνθήκες αποτίμησης των κρατικών τίτλων και δη των Ελληνικών λόγω των συνθηκών που επικρατούν </w:t>
      </w:r>
      <w:r w:rsidR="00653E97">
        <w:rPr>
          <w:i/>
          <w:color w:val="002060"/>
          <w:sz w:val="20"/>
          <w:szCs w:val="20"/>
        </w:rPr>
        <w:t>στην αγορά κατά το α’ εξάμηνο του 2021.</w:t>
      </w:r>
    </w:p>
    <w:p w14:paraId="03470C69" w14:textId="32726D51" w:rsidR="00621C18" w:rsidRPr="00621C18" w:rsidRDefault="00621C18" w:rsidP="00D631B9">
      <w:pPr>
        <w:jc w:val="both"/>
        <w:rPr>
          <w:i/>
          <w:color w:val="002060"/>
          <w:sz w:val="20"/>
          <w:szCs w:val="20"/>
        </w:rPr>
      </w:pPr>
    </w:p>
    <w:p w14:paraId="15CBA746" w14:textId="77777777" w:rsidR="00D631B9" w:rsidRPr="00C8796F" w:rsidRDefault="00D631B9" w:rsidP="00D631B9">
      <w:pPr>
        <w:jc w:val="both"/>
        <w:rPr>
          <w:i/>
          <w:color w:val="002060"/>
          <w:sz w:val="20"/>
          <w:szCs w:val="20"/>
        </w:rPr>
      </w:pPr>
      <w:r w:rsidRPr="00C8796F">
        <w:rPr>
          <w:i/>
          <w:color w:val="002060"/>
          <w:sz w:val="20"/>
          <w:szCs w:val="20"/>
        </w:rPr>
        <w:t>Η Διοίκηση της Attica Bank, οι μέτοχοι και οι εργαζόμενοί της δεσμευόμαστε να υλοποιήσουμε με υπευθυνότητα και αποτελεσματικότητα το στρατηγικό σχεδιασμό της Τράπεζας</w:t>
      </w:r>
      <w:r>
        <w:rPr>
          <w:i/>
          <w:color w:val="002060"/>
          <w:sz w:val="20"/>
          <w:szCs w:val="20"/>
        </w:rPr>
        <w:t>,</w:t>
      </w:r>
      <w:r w:rsidRPr="00C8796F">
        <w:rPr>
          <w:i/>
          <w:color w:val="002060"/>
          <w:sz w:val="20"/>
          <w:szCs w:val="20"/>
        </w:rPr>
        <w:t xml:space="preserve"> ώστε να πρωταγωνιστήσει με το δικό της διακριτό και υποστηρικτικό ρόλο στην ανάπτυξη της πραγματικής οικονομίας</w:t>
      </w:r>
      <w:r>
        <w:rPr>
          <w:i/>
          <w:color w:val="002060"/>
          <w:sz w:val="20"/>
          <w:szCs w:val="20"/>
        </w:rPr>
        <w:t>.</w:t>
      </w:r>
    </w:p>
    <w:p w14:paraId="20B3F65B" w14:textId="77777777" w:rsidR="009100C7" w:rsidRPr="001F054C" w:rsidRDefault="009100C7" w:rsidP="009100C7">
      <w:pPr>
        <w:pStyle w:val="Heading3"/>
        <w:spacing w:before="119" w:line="276" w:lineRule="auto"/>
        <w:ind w:right="296" w:firstLine="687"/>
        <w:jc w:val="center"/>
        <w:rPr>
          <w:rFonts w:ascii="Georgia" w:eastAsia="Verdana" w:hAnsi="Georgia" w:cs="Verdana"/>
          <w:b/>
          <w:bCs/>
          <w:iCs/>
          <w:color w:val="002060"/>
          <w:sz w:val="28"/>
          <w:szCs w:val="28"/>
        </w:rPr>
      </w:pPr>
      <w:r w:rsidRPr="001F054C">
        <w:rPr>
          <w:rFonts w:ascii="Georgia" w:eastAsia="Verdana" w:hAnsi="Georgia" w:cs="Verdana"/>
          <w:b/>
          <w:bCs/>
          <w:iCs/>
          <w:color w:val="002060"/>
          <w:sz w:val="28"/>
          <w:szCs w:val="28"/>
        </w:rPr>
        <w:lastRenderedPageBreak/>
        <w:t>Βασικά Σημεία Ισολογισμού</w:t>
      </w:r>
    </w:p>
    <w:p w14:paraId="32FECF36" w14:textId="77777777" w:rsidR="009100C7" w:rsidRPr="00BC5D54" w:rsidRDefault="009100C7" w:rsidP="009100C7">
      <w:pPr>
        <w:rPr>
          <w:color w:val="FF0000"/>
          <w:sz w:val="18"/>
        </w:rPr>
      </w:pPr>
    </w:p>
    <w:tbl>
      <w:tblPr>
        <w:tblStyle w:val="TableGrid"/>
        <w:tblW w:w="10494" w:type="dxa"/>
        <w:tblInd w:w="-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8"/>
        <w:gridCol w:w="7796"/>
      </w:tblGrid>
      <w:tr w:rsidR="009100C7" w:rsidRPr="00BC5D54" w14:paraId="204DEA66" w14:textId="77777777" w:rsidTr="009100C7">
        <w:trPr>
          <w:trHeight w:val="1136"/>
        </w:trPr>
        <w:tc>
          <w:tcPr>
            <w:tcW w:w="2698" w:type="dxa"/>
            <w:vAlign w:val="center"/>
          </w:tcPr>
          <w:p w14:paraId="74600F66" w14:textId="77777777" w:rsidR="009100C7" w:rsidRPr="009100C7" w:rsidRDefault="009100C7" w:rsidP="00DC6567">
            <w:pPr>
              <w:rPr>
                <w:b/>
                <w:color w:val="002060"/>
                <w:sz w:val="18"/>
              </w:rPr>
            </w:pPr>
          </w:p>
          <w:p w14:paraId="243BB285" w14:textId="77777777" w:rsidR="009100C7" w:rsidRPr="009100C7" w:rsidRDefault="009100C7" w:rsidP="00DC6567">
            <w:pPr>
              <w:spacing w:line="276" w:lineRule="auto"/>
              <w:jc w:val="center"/>
              <w:rPr>
                <w:rFonts w:ascii="Georgia" w:hAnsi="Georgia"/>
                <w:b/>
                <w:color w:val="002060"/>
                <w:sz w:val="20"/>
                <w:szCs w:val="20"/>
              </w:rPr>
            </w:pPr>
            <w:r w:rsidRPr="009100C7">
              <w:rPr>
                <w:rFonts w:ascii="Georgia" w:hAnsi="Georgia"/>
                <w:b/>
                <w:color w:val="002060"/>
                <w:sz w:val="20"/>
                <w:szCs w:val="20"/>
              </w:rPr>
              <w:t>Σύνθεση Χαρτοφυλακίου Χορηγήσεων</w:t>
            </w:r>
          </w:p>
          <w:p w14:paraId="213C528A" w14:textId="77777777" w:rsidR="009100C7" w:rsidRPr="009100C7" w:rsidRDefault="009100C7" w:rsidP="00DC6567">
            <w:pPr>
              <w:rPr>
                <w:b/>
                <w:color w:val="002060"/>
                <w:sz w:val="18"/>
              </w:rPr>
            </w:pPr>
          </w:p>
          <w:p w14:paraId="223730C8" w14:textId="77777777" w:rsidR="009100C7" w:rsidRPr="009100C7" w:rsidRDefault="009100C7" w:rsidP="00DC6567">
            <w:pPr>
              <w:jc w:val="center"/>
              <w:rPr>
                <w:b/>
                <w:color w:val="002060"/>
                <w:sz w:val="18"/>
              </w:rPr>
            </w:pPr>
            <w:r w:rsidRPr="009100C7">
              <w:rPr>
                <w:noProof/>
                <w:color w:val="002060"/>
                <w:lang w:eastAsia="el-GR"/>
              </w:rPr>
              <w:drawing>
                <wp:inline distT="0" distB="0" distL="0" distR="0" wp14:anchorId="435E3430" wp14:editId="1004F221">
                  <wp:extent cx="2282343" cy="1580084"/>
                  <wp:effectExtent l="0" t="0" r="0" b="12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A57286C" w14:textId="77777777" w:rsidR="009100C7" w:rsidRPr="009100C7" w:rsidRDefault="009100C7" w:rsidP="00DC6567">
            <w:pPr>
              <w:jc w:val="center"/>
              <w:rPr>
                <w:b/>
                <w:color w:val="002060"/>
                <w:sz w:val="18"/>
              </w:rPr>
            </w:pPr>
          </w:p>
          <w:p w14:paraId="3CB680D1" w14:textId="77777777" w:rsidR="009100C7" w:rsidRPr="009100C7" w:rsidRDefault="009100C7" w:rsidP="00DC6567">
            <w:pPr>
              <w:spacing w:line="276" w:lineRule="auto"/>
              <w:jc w:val="center"/>
              <w:rPr>
                <w:color w:val="002060"/>
                <w:sz w:val="28"/>
                <w:szCs w:val="28"/>
              </w:rPr>
            </w:pPr>
          </w:p>
          <w:p w14:paraId="407893A3" w14:textId="77777777" w:rsidR="009100C7" w:rsidRPr="009100C7" w:rsidRDefault="009100C7" w:rsidP="00DC6567">
            <w:pPr>
              <w:spacing w:line="276" w:lineRule="auto"/>
              <w:jc w:val="center"/>
              <w:rPr>
                <w:color w:val="002060"/>
                <w:sz w:val="28"/>
                <w:szCs w:val="28"/>
              </w:rPr>
            </w:pPr>
          </w:p>
          <w:p w14:paraId="6CC4B984" w14:textId="77777777" w:rsidR="009100C7" w:rsidRPr="009100C7" w:rsidRDefault="009100C7" w:rsidP="00DC6567">
            <w:pPr>
              <w:spacing w:line="276" w:lineRule="auto"/>
              <w:jc w:val="center"/>
              <w:rPr>
                <w:color w:val="002060"/>
                <w:sz w:val="28"/>
                <w:szCs w:val="28"/>
              </w:rPr>
            </w:pPr>
          </w:p>
          <w:p w14:paraId="520DECF8" w14:textId="77777777" w:rsidR="009100C7" w:rsidRPr="009100C7" w:rsidRDefault="009100C7" w:rsidP="00DC6567">
            <w:pPr>
              <w:spacing w:line="276" w:lineRule="auto"/>
              <w:jc w:val="center"/>
              <w:rPr>
                <w:color w:val="002060"/>
                <w:sz w:val="28"/>
                <w:szCs w:val="28"/>
              </w:rPr>
            </w:pPr>
          </w:p>
        </w:tc>
        <w:tc>
          <w:tcPr>
            <w:tcW w:w="7796" w:type="dxa"/>
          </w:tcPr>
          <w:p w14:paraId="7B48D536" w14:textId="77777777" w:rsidR="009100C7" w:rsidRPr="009100C7" w:rsidRDefault="009100C7" w:rsidP="00DC6567">
            <w:pPr>
              <w:tabs>
                <w:tab w:val="left" w:pos="404"/>
              </w:tabs>
              <w:spacing w:before="1" w:line="360" w:lineRule="auto"/>
              <w:ind w:right="297"/>
              <w:rPr>
                <w:color w:val="002060"/>
                <w:sz w:val="18"/>
              </w:rPr>
            </w:pPr>
          </w:p>
          <w:p w14:paraId="342860C5" w14:textId="77777777" w:rsidR="009100C7" w:rsidRPr="009100C7" w:rsidRDefault="009100C7" w:rsidP="009100C7">
            <w:pPr>
              <w:pStyle w:val="ListParagraph"/>
              <w:numPr>
                <w:ilvl w:val="0"/>
                <w:numId w:val="1"/>
              </w:numPr>
              <w:tabs>
                <w:tab w:val="left" w:pos="404"/>
              </w:tabs>
              <w:spacing w:before="1" w:line="360" w:lineRule="auto"/>
              <w:ind w:left="567" w:right="283"/>
              <w:rPr>
                <w:color w:val="002060"/>
                <w:sz w:val="20"/>
                <w:szCs w:val="20"/>
              </w:rPr>
            </w:pPr>
            <w:r w:rsidRPr="009100C7">
              <w:rPr>
                <w:color w:val="002060"/>
                <w:sz w:val="18"/>
              </w:rPr>
              <w:t xml:space="preserve">   </w:t>
            </w:r>
            <w:r w:rsidRPr="009100C7">
              <w:rPr>
                <w:color w:val="002060"/>
                <w:sz w:val="20"/>
                <w:szCs w:val="20"/>
              </w:rPr>
              <w:t xml:space="preserve">Η Attica Bank κατά τη διάρκεια του β’ τριμήνου 2021 συνέχισε την επιτυχημένη πορεία αναφορικά με τη στήριξη των επιχειρήσεων και νοικοκυριών. Η Τράπεζα συμμετείχε ενεργά σε όλα τα χρηματοδοτικά προγράμματα στήριξης με την εγγύηση κρατικών φορέων προς όφελος των πελατών της και παράλληλα αύξησε τις χρηματοδοτήσεις της για τη στήριξη της πραγματικής οικονομίας. </w:t>
            </w:r>
          </w:p>
          <w:p w14:paraId="0C152BA1" w14:textId="77777777" w:rsidR="009100C7" w:rsidRPr="009100C7" w:rsidRDefault="009100C7" w:rsidP="00DC6567">
            <w:pPr>
              <w:pStyle w:val="ListParagraph"/>
              <w:tabs>
                <w:tab w:val="left" w:pos="404"/>
              </w:tabs>
              <w:spacing w:before="1" w:line="360" w:lineRule="auto"/>
              <w:ind w:left="567" w:right="283" w:firstLine="0"/>
              <w:rPr>
                <w:color w:val="002060"/>
                <w:sz w:val="20"/>
                <w:szCs w:val="20"/>
              </w:rPr>
            </w:pPr>
          </w:p>
          <w:p w14:paraId="23376C99" w14:textId="77777777" w:rsidR="009100C7" w:rsidRPr="009100C7" w:rsidRDefault="009100C7" w:rsidP="009100C7">
            <w:pPr>
              <w:pStyle w:val="ListParagraph"/>
              <w:numPr>
                <w:ilvl w:val="0"/>
                <w:numId w:val="1"/>
              </w:numPr>
              <w:tabs>
                <w:tab w:val="left" w:pos="404"/>
              </w:tabs>
              <w:spacing w:before="1" w:line="360" w:lineRule="auto"/>
              <w:ind w:left="567" w:right="283"/>
              <w:rPr>
                <w:color w:val="002060"/>
                <w:sz w:val="18"/>
              </w:rPr>
            </w:pPr>
            <w:r w:rsidRPr="009100C7">
              <w:rPr>
                <w:color w:val="002060"/>
                <w:sz w:val="20"/>
                <w:szCs w:val="20"/>
              </w:rPr>
              <w:t xml:space="preserve">   Οι χορηγήσεις προ προβλέψεων ανήλθαν σε €2,1 δισ., παρουσιάζοντας οριακή αύξηση κατά περίπου 4,0% σε σχέση με την 31.12.2020. Οι νέες χρηματοδοτήσεις και </w:t>
            </w:r>
            <w:proofErr w:type="spellStart"/>
            <w:r w:rsidRPr="009100C7">
              <w:rPr>
                <w:color w:val="002060"/>
                <w:sz w:val="20"/>
                <w:szCs w:val="20"/>
              </w:rPr>
              <w:t>αναχρηματοδοτήσεις</w:t>
            </w:r>
            <w:proofErr w:type="spellEnd"/>
            <w:r w:rsidRPr="009100C7">
              <w:rPr>
                <w:color w:val="002060"/>
                <w:sz w:val="20"/>
                <w:szCs w:val="20"/>
              </w:rPr>
              <w:t xml:space="preserve"> για την περίοδο ανήλθαν σε €184,5 εκατ. περίπου, εκ των οποίων €171,2 εκατ. αφορούν την επιχειρηματική τραπεζική και €13,2 εκατ. τη λιανική τραπεζική. </w:t>
            </w:r>
          </w:p>
        </w:tc>
      </w:tr>
    </w:tbl>
    <w:p w14:paraId="68260319" w14:textId="77777777" w:rsidR="009100C7" w:rsidRPr="00BC5D54" w:rsidRDefault="009100C7" w:rsidP="009100C7">
      <w:pPr>
        <w:rPr>
          <w:color w:val="FF0000"/>
        </w:rPr>
      </w:pPr>
    </w:p>
    <w:tbl>
      <w:tblPr>
        <w:tblStyle w:val="TableGrid"/>
        <w:tblW w:w="10416" w:type="dxa"/>
        <w:tblInd w:w="-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7"/>
        <w:gridCol w:w="7739"/>
      </w:tblGrid>
      <w:tr w:rsidR="009100C7" w:rsidRPr="00BC5D54" w14:paraId="5BAD15C1" w14:textId="77777777" w:rsidTr="009100C7">
        <w:trPr>
          <w:trHeight w:val="2408"/>
        </w:trPr>
        <w:tc>
          <w:tcPr>
            <w:tcW w:w="2677" w:type="dxa"/>
            <w:vAlign w:val="center"/>
          </w:tcPr>
          <w:p w14:paraId="1551D131" w14:textId="77777777" w:rsidR="009100C7" w:rsidRPr="009100C7" w:rsidRDefault="009100C7" w:rsidP="00DC6567">
            <w:pPr>
              <w:rPr>
                <w:rFonts w:ascii="Georgia" w:hAnsi="Georgia"/>
                <w:b/>
                <w:color w:val="002060"/>
                <w:sz w:val="20"/>
                <w:szCs w:val="20"/>
              </w:rPr>
            </w:pPr>
            <w:r w:rsidRPr="009100C7">
              <w:rPr>
                <w:rFonts w:ascii="Georgia" w:hAnsi="Georgia"/>
                <w:b/>
                <w:color w:val="002060"/>
                <w:sz w:val="20"/>
                <w:szCs w:val="20"/>
              </w:rPr>
              <w:t>Ισχυρό προφίλ ρευστότητας και χρηματοδότησης</w:t>
            </w:r>
          </w:p>
          <w:p w14:paraId="7ED308FB" w14:textId="77777777" w:rsidR="009100C7" w:rsidRPr="009100C7" w:rsidRDefault="009100C7" w:rsidP="00DC6567">
            <w:pPr>
              <w:rPr>
                <w:b/>
                <w:color w:val="002060"/>
                <w:sz w:val="20"/>
                <w:szCs w:val="20"/>
              </w:rPr>
            </w:pPr>
          </w:p>
          <w:p w14:paraId="010C90A1" w14:textId="77777777" w:rsidR="009100C7" w:rsidRPr="009100C7" w:rsidRDefault="009100C7" w:rsidP="00DC6567">
            <w:pPr>
              <w:rPr>
                <w:b/>
                <w:color w:val="002060"/>
                <w:sz w:val="18"/>
              </w:rPr>
            </w:pPr>
          </w:p>
          <w:p w14:paraId="5A152550" w14:textId="77777777" w:rsidR="009100C7" w:rsidRPr="009100C7" w:rsidRDefault="009100C7" w:rsidP="00DC6567">
            <w:pPr>
              <w:rPr>
                <w:b/>
                <w:color w:val="002060"/>
                <w:sz w:val="18"/>
              </w:rPr>
            </w:pPr>
          </w:p>
          <w:p w14:paraId="78454A13" w14:textId="77777777" w:rsidR="009100C7" w:rsidRPr="009100C7" w:rsidRDefault="009100C7" w:rsidP="00DC6567">
            <w:pPr>
              <w:rPr>
                <w:b/>
                <w:color w:val="002060"/>
                <w:sz w:val="18"/>
              </w:rPr>
            </w:pPr>
          </w:p>
          <w:p w14:paraId="1537A24E" w14:textId="77777777" w:rsidR="009100C7" w:rsidRPr="009100C7" w:rsidRDefault="009100C7" w:rsidP="00DC6567">
            <w:pPr>
              <w:rPr>
                <w:b/>
                <w:color w:val="002060"/>
                <w:sz w:val="18"/>
              </w:rPr>
            </w:pPr>
          </w:p>
          <w:p w14:paraId="125A574A" w14:textId="77777777" w:rsidR="009100C7" w:rsidRPr="009100C7" w:rsidRDefault="009100C7" w:rsidP="00DC6567">
            <w:pPr>
              <w:rPr>
                <w:b/>
                <w:color w:val="002060"/>
                <w:sz w:val="18"/>
              </w:rPr>
            </w:pPr>
          </w:p>
          <w:p w14:paraId="2ED37A44" w14:textId="77777777" w:rsidR="009100C7" w:rsidRPr="009100C7" w:rsidRDefault="009100C7" w:rsidP="00DC6567">
            <w:pPr>
              <w:rPr>
                <w:b/>
                <w:color w:val="002060"/>
                <w:sz w:val="18"/>
              </w:rPr>
            </w:pPr>
          </w:p>
          <w:p w14:paraId="02064804" w14:textId="77777777" w:rsidR="009100C7" w:rsidRPr="009100C7" w:rsidRDefault="009100C7" w:rsidP="00DC6567">
            <w:pPr>
              <w:rPr>
                <w:b/>
                <w:color w:val="002060"/>
                <w:sz w:val="18"/>
              </w:rPr>
            </w:pPr>
          </w:p>
        </w:tc>
        <w:tc>
          <w:tcPr>
            <w:tcW w:w="7739" w:type="dxa"/>
          </w:tcPr>
          <w:p w14:paraId="4605759A" w14:textId="77777777" w:rsidR="009100C7" w:rsidRPr="009100C7" w:rsidRDefault="009100C7" w:rsidP="00DC6567">
            <w:pPr>
              <w:rPr>
                <w:noProof/>
                <w:color w:val="002060"/>
                <w:lang w:eastAsia="el-GR"/>
              </w:rPr>
            </w:pPr>
          </w:p>
          <w:p w14:paraId="5A7D7EF8" w14:textId="77777777" w:rsidR="009100C7" w:rsidRPr="009100C7" w:rsidRDefault="009100C7" w:rsidP="009100C7">
            <w:pPr>
              <w:pStyle w:val="ListParagraph"/>
              <w:numPr>
                <w:ilvl w:val="0"/>
                <w:numId w:val="1"/>
              </w:numPr>
              <w:tabs>
                <w:tab w:val="left" w:pos="459"/>
              </w:tabs>
              <w:spacing w:before="1" w:line="360" w:lineRule="auto"/>
              <w:ind w:left="567" w:right="283"/>
              <w:rPr>
                <w:color w:val="002060"/>
                <w:sz w:val="20"/>
                <w:szCs w:val="20"/>
              </w:rPr>
            </w:pPr>
            <w:r w:rsidRPr="009100C7">
              <w:rPr>
                <w:color w:val="002060"/>
                <w:sz w:val="20"/>
                <w:szCs w:val="20"/>
              </w:rPr>
              <w:t xml:space="preserve">  H Τράπεζα, από το 2016 έχει καταβάλλει στην </w:t>
            </w:r>
            <w:proofErr w:type="spellStart"/>
            <w:r w:rsidRPr="009100C7">
              <w:rPr>
                <w:color w:val="002060"/>
                <w:sz w:val="20"/>
                <w:szCs w:val="20"/>
              </w:rPr>
              <w:t>ΤτΕ</w:t>
            </w:r>
            <w:proofErr w:type="spellEnd"/>
            <w:r w:rsidRPr="009100C7">
              <w:rPr>
                <w:color w:val="002060"/>
                <w:sz w:val="20"/>
                <w:szCs w:val="20"/>
              </w:rPr>
              <w:t xml:space="preserve"> / ΕΚΤ σωρευτικά το ποσό των €1,1 δισ. προς αποπληρωμή του ELA, ποσό το οποίο αντιστοιχεί περίπου στο 1/3 του συνολικού ενεργητικού της και έχει αυξήσει τις καταθέσεις της από τον Δεκέμβριο του 2016 κατά 53% </w:t>
            </w:r>
          </w:p>
          <w:p w14:paraId="1B7CE1C3" w14:textId="77777777" w:rsidR="009100C7" w:rsidRPr="009100C7" w:rsidRDefault="009100C7" w:rsidP="00DC6567">
            <w:pPr>
              <w:pStyle w:val="ListParagraph"/>
              <w:tabs>
                <w:tab w:val="left" w:pos="404"/>
              </w:tabs>
              <w:spacing w:before="1" w:line="360" w:lineRule="auto"/>
              <w:ind w:left="567" w:right="283" w:firstLine="0"/>
              <w:rPr>
                <w:color w:val="002060"/>
                <w:sz w:val="20"/>
                <w:szCs w:val="20"/>
              </w:rPr>
            </w:pPr>
          </w:p>
          <w:p w14:paraId="20EDBE5F" w14:textId="77777777" w:rsidR="009100C7" w:rsidRPr="009100C7" w:rsidRDefault="009100C7" w:rsidP="009100C7">
            <w:pPr>
              <w:pStyle w:val="ListParagraph"/>
              <w:numPr>
                <w:ilvl w:val="0"/>
                <w:numId w:val="1"/>
              </w:numPr>
              <w:tabs>
                <w:tab w:val="left" w:pos="404"/>
              </w:tabs>
              <w:spacing w:before="1" w:line="360" w:lineRule="auto"/>
              <w:ind w:left="567" w:right="283" w:hanging="250"/>
              <w:rPr>
                <w:color w:val="002060"/>
                <w:sz w:val="20"/>
                <w:szCs w:val="20"/>
              </w:rPr>
            </w:pPr>
            <w:r w:rsidRPr="009100C7">
              <w:rPr>
                <w:color w:val="002060"/>
                <w:sz w:val="20"/>
                <w:szCs w:val="20"/>
              </w:rPr>
              <w:t xml:space="preserve">H χρηματοδότηση από το </w:t>
            </w:r>
            <w:proofErr w:type="spellStart"/>
            <w:r w:rsidRPr="009100C7">
              <w:rPr>
                <w:color w:val="002060"/>
                <w:sz w:val="20"/>
                <w:szCs w:val="20"/>
              </w:rPr>
              <w:t>Ευρωσύστημα</w:t>
            </w:r>
            <w:proofErr w:type="spellEnd"/>
            <w:r w:rsidRPr="009100C7">
              <w:rPr>
                <w:color w:val="002060"/>
                <w:sz w:val="20"/>
                <w:szCs w:val="20"/>
              </w:rPr>
              <w:t xml:space="preserve"> το α’ εξάμηνο του 2021 αυξήθηκε στα €210 εκατ. ευρώ από €155 εκατ. το 2020 με παράλληλη μείωση του κόστους. </w:t>
            </w:r>
          </w:p>
        </w:tc>
      </w:tr>
    </w:tbl>
    <w:p w14:paraId="1A2885C0" w14:textId="5D89FE6C" w:rsidR="009100C7" w:rsidRDefault="009100C7" w:rsidP="009100C7">
      <w:pPr>
        <w:rPr>
          <w:color w:val="FF0000"/>
        </w:rPr>
      </w:pPr>
    </w:p>
    <w:p w14:paraId="11F267A7" w14:textId="77777777" w:rsidR="009100C7" w:rsidRDefault="009100C7">
      <w:pPr>
        <w:rPr>
          <w:color w:val="FF0000"/>
        </w:rPr>
      </w:pPr>
      <w:r>
        <w:rPr>
          <w:color w:val="FF0000"/>
        </w:rPr>
        <w:br w:type="page"/>
      </w:r>
    </w:p>
    <w:tbl>
      <w:tblPr>
        <w:tblStyle w:val="TableGrid"/>
        <w:tblpPr w:leftFromText="180" w:rightFromText="180" w:vertAnchor="text" w:horzAnchor="margin" w:tblpXSpec="center" w:tblpY="112"/>
        <w:tblW w:w="10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8"/>
        <w:gridCol w:w="7654"/>
      </w:tblGrid>
      <w:tr w:rsidR="009100C7" w:rsidRPr="00BC5D54" w14:paraId="4D81EE13" w14:textId="77777777" w:rsidTr="009100C7">
        <w:trPr>
          <w:trHeight w:val="4655"/>
        </w:trPr>
        <w:tc>
          <w:tcPr>
            <w:tcW w:w="2698" w:type="dxa"/>
          </w:tcPr>
          <w:p w14:paraId="78D8BEF5" w14:textId="77777777" w:rsidR="009100C7" w:rsidRPr="00BC5D54" w:rsidRDefault="009100C7" w:rsidP="009100C7">
            <w:pPr>
              <w:tabs>
                <w:tab w:val="left" w:pos="404"/>
              </w:tabs>
              <w:spacing w:before="1" w:line="276" w:lineRule="auto"/>
              <w:ind w:right="297"/>
              <w:rPr>
                <w:b/>
                <w:bCs/>
                <w:color w:val="FF0000"/>
                <w:sz w:val="20"/>
                <w:szCs w:val="20"/>
              </w:rPr>
            </w:pPr>
          </w:p>
          <w:p w14:paraId="2E22A874" w14:textId="77777777" w:rsidR="009100C7" w:rsidRPr="002D3D8B" w:rsidRDefault="009100C7" w:rsidP="009100C7">
            <w:pPr>
              <w:tabs>
                <w:tab w:val="left" w:pos="404"/>
              </w:tabs>
              <w:spacing w:before="1" w:line="276" w:lineRule="auto"/>
              <w:ind w:right="297"/>
              <w:jc w:val="center"/>
              <w:rPr>
                <w:color w:val="002060"/>
                <w:sz w:val="20"/>
                <w:szCs w:val="20"/>
              </w:rPr>
            </w:pPr>
            <w:r w:rsidRPr="002D3D8B">
              <w:rPr>
                <w:b/>
                <w:bCs/>
                <w:color w:val="002060"/>
                <w:sz w:val="20"/>
                <w:szCs w:val="20"/>
              </w:rPr>
              <w:t>Αύξηση καταθέσεων +9,3% ετησίως με χαμηλότερο κόστος</w:t>
            </w:r>
          </w:p>
          <w:p w14:paraId="02A52FE7" w14:textId="77777777" w:rsidR="009100C7" w:rsidRPr="00BC5D54" w:rsidRDefault="009100C7" w:rsidP="009100C7">
            <w:pPr>
              <w:rPr>
                <w:color w:val="FF0000"/>
                <w:sz w:val="18"/>
              </w:rPr>
            </w:pPr>
          </w:p>
          <w:p w14:paraId="162B6885" w14:textId="77777777" w:rsidR="009100C7" w:rsidRPr="00BC5D54" w:rsidRDefault="009100C7" w:rsidP="009100C7">
            <w:pPr>
              <w:rPr>
                <w:noProof/>
                <w:color w:val="FF0000"/>
                <w:lang w:eastAsia="el-GR"/>
              </w:rPr>
            </w:pPr>
            <w:r>
              <w:rPr>
                <w:noProof/>
                <w:lang w:eastAsia="el-GR"/>
              </w:rPr>
              <w:drawing>
                <wp:inline distT="0" distB="0" distL="0" distR="0" wp14:anchorId="576F3FEF" wp14:editId="61F48A37">
                  <wp:extent cx="1696517" cy="177736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A556141" w14:textId="77777777" w:rsidR="009100C7" w:rsidRPr="00323BB5" w:rsidRDefault="009100C7" w:rsidP="009100C7">
            <w:pPr>
              <w:rPr>
                <w:noProof/>
                <w:color w:val="002060"/>
                <w:sz w:val="18"/>
                <w:szCs w:val="18"/>
                <w:lang w:eastAsia="el-GR"/>
              </w:rPr>
            </w:pPr>
          </w:p>
          <w:p w14:paraId="5880C82A" w14:textId="77777777" w:rsidR="009100C7" w:rsidRPr="00BC5D54" w:rsidRDefault="009100C7" w:rsidP="009100C7">
            <w:pPr>
              <w:rPr>
                <w:noProof/>
                <w:color w:val="FF0000"/>
                <w:lang w:eastAsia="el-GR"/>
              </w:rPr>
            </w:pPr>
          </w:p>
          <w:p w14:paraId="5F8BCD05" w14:textId="77777777" w:rsidR="009100C7" w:rsidRPr="00BC5D54" w:rsidRDefault="009100C7" w:rsidP="009100C7">
            <w:pPr>
              <w:rPr>
                <w:noProof/>
                <w:color w:val="FF0000"/>
                <w:lang w:eastAsia="el-GR"/>
              </w:rPr>
            </w:pPr>
          </w:p>
          <w:p w14:paraId="114529E3" w14:textId="77777777" w:rsidR="009100C7" w:rsidRPr="00BC5D54" w:rsidRDefault="009100C7" w:rsidP="009100C7">
            <w:pPr>
              <w:rPr>
                <w:b/>
                <w:noProof/>
                <w:color w:val="FF0000"/>
                <w:lang w:eastAsia="el-GR"/>
              </w:rPr>
            </w:pPr>
            <w:r>
              <w:rPr>
                <w:noProof/>
                <w:lang w:eastAsia="el-GR"/>
              </w:rPr>
              <w:drawing>
                <wp:inline distT="0" distB="0" distL="0" distR="0" wp14:anchorId="7D674A60" wp14:editId="7E9D4260">
                  <wp:extent cx="1594714" cy="1433779"/>
                  <wp:effectExtent l="0" t="0" r="571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564A09D" w14:textId="77777777" w:rsidR="009100C7" w:rsidRPr="00BC5D54" w:rsidRDefault="009100C7" w:rsidP="009100C7">
            <w:pPr>
              <w:rPr>
                <w:noProof/>
                <w:color w:val="FF0000"/>
                <w:lang w:eastAsia="el-GR"/>
              </w:rPr>
            </w:pPr>
          </w:p>
          <w:p w14:paraId="207274E3" w14:textId="77777777" w:rsidR="009100C7" w:rsidRPr="00BC5D54" w:rsidRDefault="009100C7" w:rsidP="009100C7">
            <w:pPr>
              <w:rPr>
                <w:color w:val="FF0000"/>
                <w:sz w:val="18"/>
              </w:rPr>
            </w:pPr>
          </w:p>
          <w:p w14:paraId="61FAF7BD" w14:textId="77777777" w:rsidR="009100C7" w:rsidRPr="00BC5D54" w:rsidRDefault="009100C7" w:rsidP="009100C7">
            <w:pPr>
              <w:rPr>
                <w:color w:val="FF0000"/>
                <w:sz w:val="18"/>
              </w:rPr>
            </w:pPr>
          </w:p>
          <w:p w14:paraId="73FEEE3D" w14:textId="77777777" w:rsidR="009100C7" w:rsidRPr="00BC5D54" w:rsidRDefault="009100C7" w:rsidP="009100C7">
            <w:pPr>
              <w:rPr>
                <w:color w:val="FF0000"/>
                <w:sz w:val="18"/>
              </w:rPr>
            </w:pPr>
          </w:p>
          <w:p w14:paraId="16069F89" w14:textId="77777777" w:rsidR="009100C7" w:rsidRPr="00BC5D54" w:rsidRDefault="009100C7" w:rsidP="009100C7">
            <w:pPr>
              <w:rPr>
                <w:color w:val="FF0000"/>
                <w:sz w:val="18"/>
              </w:rPr>
            </w:pPr>
          </w:p>
          <w:p w14:paraId="17230A89" w14:textId="77777777" w:rsidR="009100C7" w:rsidRPr="00BC5D54" w:rsidRDefault="009100C7" w:rsidP="009100C7">
            <w:pPr>
              <w:rPr>
                <w:color w:val="FF0000"/>
                <w:sz w:val="18"/>
              </w:rPr>
            </w:pPr>
          </w:p>
          <w:p w14:paraId="3657F35A" w14:textId="77777777" w:rsidR="009100C7" w:rsidRPr="00BC5D54" w:rsidRDefault="009100C7" w:rsidP="009100C7">
            <w:pPr>
              <w:rPr>
                <w:color w:val="FF0000"/>
                <w:sz w:val="18"/>
              </w:rPr>
            </w:pPr>
          </w:p>
        </w:tc>
        <w:tc>
          <w:tcPr>
            <w:tcW w:w="7654" w:type="dxa"/>
          </w:tcPr>
          <w:p w14:paraId="671F8568" w14:textId="77777777" w:rsidR="009100C7" w:rsidRPr="009100C7" w:rsidRDefault="009100C7" w:rsidP="009100C7">
            <w:pPr>
              <w:rPr>
                <w:noProof/>
                <w:color w:val="002060"/>
                <w:lang w:eastAsia="el-GR"/>
              </w:rPr>
            </w:pPr>
          </w:p>
          <w:p w14:paraId="3F4DCC16" w14:textId="77777777" w:rsidR="009100C7" w:rsidRPr="009100C7" w:rsidRDefault="009100C7" w:rsidP="009100C7">
            <w:pPr>
              <w:pStyle w:val="ListParagraph"/>
              <w:numPr>
                <w:ilvl w:val="0"/>
                <w:numId w:val="1"/>
              </w:numPr>
              <w:tabs>
                <w:tab w:val="left" w:pos="404"/>
              </w:tabs>
              <w:spacing w:before="1" w:line="360" w:lineRule="auto"/>
              <w:ind w:left="567" w:right="283"/>
              <w:rPr>
                <w:color w:val="002060"/>
                <w:sz w:val="20"/>
                <w:szCs w:val="20"/>
              </w:rPr>
            </w:pPr>
            <w:r w:rsidRPr="009100C7">
              <w:rPr>
                <w:bCs/>
                <w:color w:val="002060"/>
                <w:sz w:val="18"/>
              </w:rPr>
              <w:t xml:space="preserve">   </w:t>
            </w:r>
            <w:r w:rsidRPr="009100C7">
              <w:rPr>
                <w:bCs/>
                <w:color w:val="002060"/>
                <w:sz w:val="20"/>
                <w:szCs w:val="20"/>
              </w:rPr>
              <w:t>Την 30.06.2021, το λογιστικό υπόλοιπο των καταθέσεων ανήλθε σε €2,90 δισ., παρουσιάζοντας σημαντική αύξηση κατά €246 εκατ. περίπου και 9,3% σε ετήσια βάση, ενώ κατά την τρέχουσα περίοδο, το υπόλοιπο των καταθέσεων των πελατών ξεπερνά ήδη τα €3,06 δισ., αντανακλώντας τις θετικές προοπτικές στο εγχώριο περιβάλλον.</w:t>
            </w:r>
          </w:p>
          <w:p w14:paraId="269B31A6" w14:textId="77777777" w:rsidR="009100C7" w:rsidRPr="009100C7" w:rsidRDefault="009100C7" w:rsidP="009100C7">
            <w:pPr>
              <w:tabs>
                <w:tab w:val="left" w:pos="404"/>
              </w:tabs>
              <w:spacing w:before="1" w:line="360" w:lineRule="auto"/>
              <w:ind w:left="567"/>
              <w:rPr>
                <w:bCs/>
                <w:color w:val="002060"/>
                <w:sz w:val="20"/>
                <w:szCs w:val="20"/>
              </w:rPr>
            </w:pPr>
          </w:p>
          <w:p w14:paraId="2ACC75FD" w14:textId="77777777" w:rsidR="009100C7" w:rsidRPr="009100C7" w:rsidRDefault="009100C7" w:rsidP="009100C7">
            <w:pPr>
              <w:pStyle w:val="ListParagraph"/>
              <w:numPr>
                <w:ilvl w:val="0"/>
                <w:numId w:val="1"/>
              </w:numPr>
              <w:tabs>
                <w:tab w:val="left" w:pos="404"/>
              </w:tabs>
              <w:spacing w:before="1" w:line="360" w:lineRule="auto"/>
              <w:ind w:left="567" w:right="283"/>
              <w:rPr>
                <w:bCs/>
                <w:color w:val="002060"/>
                <w:sz w:val="20"/>
                <w:szCs w:val="20"/>
              </w:rPr>
            </w:pPr>
            <w:r w:rsidRPr="009100C7">
              <w:rPr>
                <w:bCs/>
                <w:color w:val="002060"/>
                <w:sz w:val="20"/>
                <w:szCs w:val="20"/>
              </w:rPr>
              <w:t xml:space="preserve">   Η αύξηση των καταθέσεων αντανακλά τις εισροές των καταθέσεων κυρίως από ιδιώτες ύψους €119 εκατ. και από επιχειρήσεις ύψους €67 εκατ. σε ετήσια βάση.</w:t>
            </w:r>
          </w:p>
          <w:p w14:paraId="00D725BC" w14:textId="77777777" w:rsidR="009100C7" w:rsidRPr="009100C7" w:rsidRDefault="009100C7" w:rsidP="009100C7">
            <w:pPr>
              <w:tabs>
                <w:tab w:val="left" w:pos="404"/>
              </w:tabs>
              <w:spacing w:before="1" w:line="360" w:lineRule="auto"/>
              <w:rPr>
                <w:bCs/>
                <w:color w:val="002060"/>
                <w:sz w:val="20"/>
                <w:szCs w:val="20"/>
              </w:rPr>
            </w:pPr>
          </w:p>
          <w:p w14:paraId="58CF40F6" w14:textId="77777777" w:rsidR="009100C7" w:rsidRPr="009100C7" w:rsidRDefault="009100C7" w:rsidP="009100C7">
            <w:pPr>
              <w:pStyle w:val="ListParagraph"/>
              <w:numPr>
                <w:ilvl w:val="0"/>
                <w:numId w:val="1"/>
              </w:numPr>
              <w:tabs>
                <w:tab w:val="left" w:pos="404"/>
              </w:tabs>
              <w:spacing w:before="1" w:line="360" w:lineRule="auto"/>
              <w:ind w:left="567" w:right="283"/>
              <w:rPr>
                <w:bCs/>
                <w:color w:val="002060"/>
                <w:sz w:val="20"/>
                <w:szCs w:val="20"/>
              </w:rPr>
            </w:pPr>
            <w:r w:rsidRPr="009100C7">
              <w:rPr>
                <w:bCs/>
                <w:color w:val="002060"/>
                <w:sz w:val="20"/>
                <w:szCs w:val="20"/>
              </w:rPr>
              <w:t xml:space="preserve">   Οι καταθέσεις ταμιευτηρίου και όψεως ανήλθαν σε €1.185 εκατ. ενώ οι προθεσμιακές καταθέσεις σε €1.702 εκατ.</w:t>
            </w:r>
          </w:p>
          <w:p w14:paraId="21FC08E5" w14:textId="77777777" w:rsidR="009100C7" w:rsidRPr="009100C7" w:rsidRDefault="009100C7" w:rsidP="009100C7">
            <w:pPr>
              <w:tabs>
                <w:tab w:val="left" w:pos="404"/>
              </w:tabs>
              <w:spacing w:before="1" w:line="360" w:lineRule="auto"/>
              <w:rPr>
                <w:bCs/>
                <w:color w:val="002060"/>
                <w:sz w:val="20"/>
                <w:szCs w:val="20"/>
              </w:rPr>
            </w:pPr>
          </w:p>
          <w:p w14:paraId="5CEDEADE" w14:textId="77777777" w:rsidR="009100C7" w:rsidRPr="009100C7" w:rsidRDefault="009100C7" w:rsidP="009100C7">
            <w:pPr>
              <w:pStyle w:val="ListParagraph"/>
              <w:numPr>
                <w:ilvl w:val="0"/>
                <w:numId w:val="1"/>
              </w:numPr>
              <w:tabs>
                <w:tab w:val="left" w:pos="404"/>
              </w:tabs>
              <w:spacing w:before="1" w:line="360" w:lineRule="auto"/>
              <w:ind w:left="567" w:right="283"/>
              <w:rPr>
                <w:bCs/>
                <w:color w:val="002060"/>
                <w:sz w:val="20"/>
                <w:szCs w:val="20"/>
              </w:rPr>
            </w:pPr>
            <w:r w:rsidRPr="009100C7">
              <w:rPr>
                <w:bCs/>
                <w:color w:val="002060"/>
                <w:sz w:val="20"/>
                <w:szCs w:val="20"/>
              </w:rPr>
              <w:t xml:space="preserve">  Ταυτόχρονα, το μέσο κόστος των καταθέσεων μειώθηκε περαιτέρω κατά 0,25 </w:t>
            </w:r>
            <w:proofErr w:type="spellStart"/>
            <w:r w:rsidRPr="009100C7">
              <w:rPr>
                <w:bCs/>
                <w:color w:val="002060"/>
                <w:sz w:val="20"/>
                <w:szCs w:val="20"/>
              </w:rPr>
              <w:t>μ.β</w:t>
            </w:r>
            <w:proofErr w:type="spellEnd"/>
            <w:r w:rsidRPr="009100C7">
              <w:rPr>
                <w:bCs/>
                <w:color w:val="002060"/>
                <w:sz w:val="20"/>
                <w:szCs w:val="20"/>
              </w:rPr>
              <w:t xml:space="preserve">. σε σχέση με το 2020. Η σημαντική βελτίωση της ρευστότητας έχει καταστήσει τον Όμιλο περισσότερο επικεντρωμένο στη διαχείριση του κόστους τα τελευταία τρίμηνα, στην προσπάθειά του να επιτύχει ισορροπία μεταξύ προσέλκυσης καταθέσεων και μείωσης των </w:t>
            </w:r>
            <w:proofErr w:type="spellStart"/>
            <w:r w:rsidRPr="009100C7">
              <w:rPr>
                <w:bCs/>
                <w:color w:val="002060"/>
                <w:sz w:val="20"/>
                <w:szCs w:val="20"/>
              </w:rPr>
              <w:t>επιτοκιακών</w:t>
            </w:r>
            <w:proofErr w:type="spellEnd"/>
            <w:r w:rsidRPr="009100C7">
              <w:rPr>
                <w:bCs/>
                <w:color w:val="002060"/>
                <w:sz w:val="20"/>
                <w:szCs w:val="20"/>
              </w:rPr>
              <w:t xml:space="preserve"> εξόδων. Σε αυτό συνέβαλλε σημαντικά και η νέα συνεργασία που ξεκίνησε η Τράπεζα με την εταιρεία </w:t>
            </w:r>
            <w:proofErr w:type="spellStart"/>
            <w:r w:rsidRPr="009100C7">
              <w:rPr>
                <w:bCs/>
                <w:color w:val="002060"/>
                <w:sz w:val="20"/>
                <w:szCs w:val="20"/>
              </w:rPr>
              <w:t>Raisin</w:t>
            </w:r>
            <w:proofErr w:type="spellEnd"/>
            <w:r w:rsidRPr="009100C7">
              <w:rPr>
                <w:bCs/>
                <w:color w:val="002060"/>
                <w:sz w:val="20"/>
                <w:szCs w:val="20"/>
              </w:rPr>
              <w:t xml:space="preserve">, </w:t>
            </w:r>
            <w:proofErr w:type="spellStart"/>
            <w:r w:rsidRPr="009100C7">
              <w:rPr>
                <w:bCs/>
                <w:color w:val="002060"/>
                <w:sz w:val="20"/>
                <w:szCs w:val="20"/>
              </w:rPr>
              <w:t>πάροχο</w:t>
            </w:r>
            <w:proofErr w:type="spellEnd"/>
            <w:r w:rsidRPr="009100C7">
              <w:rPr>
                <w:bCs/>
                <w:color w:val="002060"/>
                <w:sz w:val="20"/>
                <w:szCs w:val="20"/>
              </w:rPr>
              <w:t xml:space="preserve"> πλατφόρμας αποδοχής καταθέσεων από πολίτες της Ευρωπαϊκής Ένωσης, μέσω της οποίας επετεύχθη αύξηση των εισροών κατά €109 εκατ. περίπου κατά τη διάρκεια του πρώτου εξαμήνου.</w:t>
            </w:r>
          </w:p>
          <w:p w14:paraId="2E5830E6" w14:textId="77777777" w:rsidR="009100C7" w:rsidRPr="009100C7" w:rsidRDefault="009100C7" w:rsidP="009100C7">
            <w:pPr>
              <w:tabs>
                <w:tab w:val="left" w:pos="404"/>
              </w:tabs>
              <w:spacing w:before="1" w:line="360" w:lineRule="auto"/>
              <w:ind w:right="283"/>
              <w:rPr>
                <w:bCs/>
                <w:color w:val="002060"/>
                <w:sz w:val="20"/>
                <w:szCs w:val="20"/>
              </w:rPr>
            </w:pPr>
          </w:p>
          <w:p w14:paraId="0847E2E0" w14:textId="77777777" w:rsidR="009100C7" w:rsidRPr="009100C7" w:rsidRDefault="009100C7" w:rsidP="009100C7">
            <w:pPr>
              <w:pStyle w:val="ListParagraph"/>
              <w:numPr>
                <w:ilvl w:val="0"/>
                <w:numId w:val="1"/>
              </w:numPr>
              <w:tabs>
                <w:tab w:val="left" w:pos="404"/>
              </w:tabs>
              <w:spacing w:before="1" w:line="360" w:lineRule="auto"/>
              <w:ind w:left="567" w:right="283"/>
              <w:rPr>
                <w:color w:val="002060"/>
                <w:lang w:eastAsia="el-GR"/>
              </w:rPr>
            </w:pPr>
            <w:r w:rsidRPr="009100C7">
              <w:rPr>
                <w:color w:val="002060"/>
                <w:sz w:val="20"/>
                <w:szCs w:val="20"/>
              </w:rPr>
              <w:t xml:space="preserve">   Ως αποτέλεσμα, ο δείκτης δανείων (προ προβλέψεων) προς τις καταθέσεις του Ομίλου ανήλθε σε 71,4%</w:t>
            </w:r>
          </w:p>
          <w:p w14:paraId="0792B790" w14:textId="77777777" w:rsidR="009100C7" w:rsidRPr="009100C7" w:rsidRDefault="009100C7" w:rsidP="009100C7">
            <w:pPr>
              <w:pStyle w:val="ListParagraph"/>
              <w:rPr>
                <w:color w:val="002060"/>
                <w:sz w:val="20"/>
                <w:szCs w:val="20"/>
              </w:rPr>
            </w:pPr>
          </w:p>
          <w:p w14:paraId="37142798" w14:textId="77777777" w:rsidR="009100C7" w:rsidRPr="009100C7" w:rsidRDefault="009100C7" w:rsidP="009100C7">
            <w:pPr>
              <w:pStyle w:val="ListParagraph"/>
              <w:tabs>
                <w:tab w:val="left" w:pos="404"/>
              </w:tabs>
              <w:spacing w:before="1" w:line="360" w:lineRule="auto"/>
              <w:ind w:left="567" w:right="283" w:firstLine="0"/>
              <w:rPr>
                <w:color w:val="002060"/>
                <w:lang w:eastAsia="el-GR"/>
              </w:rPr>
            </w:pPr>
          </w:p>
          <w:p w14:paraId="1B3FBBE0" w14:textId="77777777" w:rsidR="009100C7" w:rsidRPr="009100C7" w:rsidRDefault="009100C7" w:rsidP="009100C7">
            <w:pPr>
              <w:pStyle w:val="ListParagraph"/>
              <w:rPr>
                <w:color w:val="002060"/>
                <w:sz w:val="20"/>
                <w:szCs w:val="20"/>
              </w:rPr>
            </w:pPr>
          </w:p>
          <w:p w14:paraId="4C6F548D" w14:textId="77777777" w:rsidR="009100C7" w:rsidRPr="009100C7" w:rsidRDefault="009100C7" w:rsidP="009100C7">
            <w:pPr>
              <w:pStyle w:val="ListParagraph"/>
              <w:tabs>
                <w:tab w:val="left" w:pos="404"/>
              </w:tabs>
              <w:spacing w:before="1" w:line="360" w:lineRule="auto"/>
              <w:ind w:left="567" w:right="283" w:firstLine="0"/>
              <w:rPr>
                <w:color w:val="002060"/>
                <w:lang w:eastAsia="el-GR"/>
              </w:rPr>
            </w:pPr>
          </w:p>
          <w:p w14:paraId="0858B0C3" w14:textId="6192206E" w:rsidR="009100C7" w:rsidRPr="009100C7" w:rsidRDefault="009100C7" w:rsidP="009100C7">
            <w:pPr>
              <w:tabs>
                <w:tab w:val="left" w:pos="404"/>
              </w:tabs>
              <w:spacing w:before="1" w:line="360" w:lineRule="auto"/>
              <w:ind w:right="283"/>
              <w:rPr>
                <w:color w:val="002060"/>
                <w:lang w:eastAsia="el-GR"/>
              </w:rPr>
            </w:pPr>
          </w:p>
        </w:tc>
      </w:tr>
      <w:tr w:rsidR="009100C7" w:rsidRPr="00BC5D54" w14:paraId="66B8B7C7" w14:textId="77777777" w:rsidTr="009100C7">
        <w:trPr>
          <w:trHeight w:val="4655"/>
        </w:trPr>
        <w:tc>
          <w:tcPr>
            <w:tcW w:w="2698" w:type="dxa"/>
            <w:vAlign w:val="center"/>
          </w:tcPr>
          <w:p w14:paraId="0C972273" w14:textId="77777777" w:rsidR="009100C7" w:rsidRPr="00BC5D54" w:rsidRDefault="009100C7" w:rsidP="009100C7">
            <w:pPr>
              <w:spacing w:line="276" w:lineRule="auto"/>
              <w:jc w:val="center"/>
              <w:rPr>
                <w:b/>
                <w:color w:val="FF0000"/>
                <w:sz w:val="20"/>
                <w:szCs w:val="20"/>
              </w:rPr>
            </w:pPr>
          </w:p>
          <w:p w14:paraId="1D115D90" w14:textId="77777777" w:rsidR="009100C7" w:rsidRPr="00BC5D54" w:rsidRDefault="009100C7" w:rsidP="009100C7">
            <w:pPr>
              <w:spacing w:line="276" w:lineRule="auto"/>
              <w:jc w:val="center"/>
              <w:rPr>
                <w:b/>
                <w:color w:val="FF0000"/>
                <w:sz w:val="20"/>
                <w:szCs w:val="20"/>
              </w:rPr>
            </w:pPr>
          </w:p>
          <w:p w14:paraId="3E3F113D" w14:textId="77777777" w:rsidR="009100C7" w:rsidRPr="00BC5D54" w:rsidRDefault="009100C7" w:rsidP="009100C7">
            <w:pPr>
              <w:spacing w:line="276" w:lineRule="auto"/>
              <w:jc w:val="center"/>
              <w:rPr>
                <w:b/>
                <w:color w:val="FF0000"/>
                <w:sz w:val="20"/>
                <w:szCs w:val="20"/>
              </w:rPr>
            </w:pPr>
          </w:p>
          <w:p w14:paraId="14852648" w14:textId="77777777" w:rsidR="009100C7" w:rsidRPr="00BC5D54" w:rsidRDefault="009100C7" w:rsidP="009100C7">
            <w:pPr>
              <w:spacing w:line="276" w:lineRule="auto"/>
              <w:jc w:val="center"/>
              <w:rPr>
                <w:b/>
                <w:color w:val="FF0000"/>
                <w:sz w:val="20"/>
                <w:szCs w:val="20"/>
              </w:rPr>
            </w:pPr>
          </w:p>
          <w:p w14:paraId="531A58D2" w14:textId="77777777" w:rsidR="009100C7" w:rsidRPr="00BC5D54" w:rsidRDefault="009100C7" w:rsidP="009100C7">
            <w:pPr>
              <w:spacing w:line="276" w:lineRule="auto"/>
              <w:jc w:val="center"/>
              <w:rPr>
                <w:b/>
                <w:color w:val="FF0000"/>
                <w:sz w:val="20"/>
                <w:szCs w:val="20"/>
              </w:rPr>
            </w:pPr>
          </w:p>
          <w:p w14:paraId="34CE40C3" w14:textId="77777777" w:rsidR="009100C7" w:rsidRPr="00BC5D54" w:rsidRDefault="009100C7" w:rsidP="009100C7">
            <w:pPr>
              <w:spacing w:line="276" w:lineRule="auto"/>
              <w:jc w:val="center"/>
              <w:rPr>
                <w:b/>
                <w:color w:val="FF0000"/>
                <w:sz w:val="20"/>
                <w:szCs w:val="20"/>
              </w:rPr>
            </w:pPr>
          </w:p>
          <w:p w14:paraId="679755D3" w14:textId="77777777" w:rsidR="009100C7" w:rsidRPr="00BC5D54" w:rsidRDefault="009100C7" w:rsidP="009100C7">
            <w:pPr>
              <w:spacing w:line="276" w:lineRule="auto"/>
              <w:jc w:val="center"/>
              <w:rPr>
                <w:b/>
                <w:color w:val="FF0000"/>
                <w:sz w:val="20"/>
                <w:szCs w:val="20"/>
              </w:rPr>
            </w:pPr>
          </w:p>
          <w:p w14:paraId="33C46974" w14:textId="77777777" w:rsidR="009100C7" w:rsidRPr="00BC5D54" w:rsidRDefault="009100C7" w:rsidP="009100C7">
            <w:pPr>
              <w:spacing w:line="276" w:lineRule="auto"/>
              <w:jc w:val="center"/>
              <w:rPr>
                <w:b/>
                <w:color w:val="FF0000"/>
                <w:sz w:val="20"/>
                <w:szCs w:val="20"/>
              </w:rPr>
            </w:pPr>
          </w:p>
          <w:p w14:paraId="110E4CE7" w14:textId="77777777" w:rsidR="009100C7" w:rsidRPr="00BC5D54" w:rsidRDefault="009100C7" w:rsidP="009100C7">
            <w:pPr>
              <w:spacing w:line="276" w:lineRule="auto"/>
              <w:jc w:val="center"/>
              <w:rPr>
                <w:b/>
                <w:color w:val="FF0000"/>
                <w:sz w:val="20"/>
                <w:szCs w:val="20"/>
              </w:rPr>
            </w:pPr>
          </w:p>
          <w:p w14:paraId="6CA8F183" w14:textId="77777777" w:rsidR="009100C7" w:rsidRPr="00BC5D54" w:rsidRDefault="009100C7" w:rsidP="009100C7">
            <w:pPr>
              <w:spacing w:line="276" w:lineRule="auto"/>
              <w:jc w:val="center"/>
              <w:rPr>
                <w:b/>
                <w:color w:val="FF0000"/>
                <w:sz w:val="20"/>
                <w:szCs w:val="20"/>
              </w:rPr>
            </w:pPr>
          </w:p>
          <w:p w14:paraId="28462641" w14:textId="77777777" w:rsidR="009100C7" w:rsidRPr="00BC5D54" w:rsidRDefault="009100C7" w:rsidP="009100C7">
            <w:pPr>
              <w:spacing w:line="276" w:lineRule="auto"/>
              <w:jc w:val="center"/>
              <w:rPr>
                <w:b/>
                <w:color w:val="FF0000"/>
                <w:sz w:val="20"/>
                <w:szCs w:val="20"/>
              </w:rPr>
            </w:pPr>
          </w:p>
          <w:p w14:paraId="2636423D" w14:textId="77777777" w:rsidR="009100C7" w:rsidRPr="00BC5D54" w:rsidRDefault="009100C7" w:rsidP="009100C7">
            <w:pPr>
              <w:spacing w:line="276" w:lineRule="auto"/>
              <w:jc w:val="center"/>
              <w:rPr>
                <w:b/>
                <w:color w:val="FF0000"/>
                <w:sz w:val="20"/>
                <w:szCs w:val="20"/>
              </w:rPr>
            </w:pPr>
          </w:p>
          <w:p w14:paraId="0A97E199" w14:textId="77777777" w:rsidR="009100C7" w:rsidRPr="00DE25DD" w:rsidRDefault="009100C7" w:rsidP="009100C7">
            <w:pPr>
              <w:tabs>
                <w:tab w:val="left" w:pos="404"/>
              </w:tabs>
              <w:spacing w:before="1" w:line="276" w:lineRule="auto"/>
              <w:ind w:right="297"/>
              <w:jc w:val="center"/>
              <w:rPr>
                <w:rFonts w:ascii="Georgia" w:hAnsi="Georgia"/>
                <w:b/>
                <w:color w:val="002060"/>
                <w:sz w:val="20"/>
                <w:szCs w:val="20"/>
              </w:rPr>
            </w:pPr>
            <w:r w:rsidRPr="00DE25DD">
              <w:rPr>
                <w:rFonts w:ascii="Georgia" w:hAnsi="Georgia"/>
                <w:b/>
                <w:color w:val="002060"/>
                <w:sz w:val="20"/>
                <w:szCs w:val="20"/>
              </w:rPr>
              <w:t>Πλάνο αποκατάστασης κεφαλαιακής επάρκειας</w:t>
            </w:r>
          </w:p>
          <w:p w14:paraId="7FB67056" w14:textId="77777777" w:rsidR="009100C7" w:rsidRPr="00BC5D54" w:rsidRDefault="009100C7" w:rsidP="009100C7">
            <w:pPr>
              <w:tabs>
                <w:tab w:val="left" w:pos="404"/>
              </w:tabs>
              <w:spacing w:before="1" w:line="276" w:lineRule="auto"/>
              <w:ind w:right="297"/>
              <w:jc w:val="center"/>
              <w:rPr>
                <w:b/>
                <w:color w:val="FF0000"/>
                <w:sz w:val="20"/>
                <w:szCs w:val="20"/>
              </w:rPr>
            </w:pPr>
          </w:p>
          <w:p w14:paraId="15009792" w14:textId="77777777" w:rsidR="009100C7" w:rsidRPr="00BC5D54" w:rsidRDefault="009100C7" w:rsidP="009100C7">
            <w:pPr>
              <w:tabs>
                <w:tab w:val="left" w:pos="404"/>
              </w:tabs>
              <w:spacing w:before="1" w:line="276" w:lineRule="auto"/>
              <w:ind w:right="297"/>
              <w:jc w:val="center"/>
              <w:rPr>
                <w:b/>
                <w:color w:val="FF0000"/>
                <w:sz w:val="20"/>
                <w:szCs w:val="20"/>
              </w:rPr>
            </w:pPr>
          </w:p>
          <w:p w14:paraId="52C3671F" w14:textId="77777777" w:rsidR="009100C7" w:rsidRPr="00BC5D54" w:rsidRDefault="009100C7" w:rsidP="009100C7">
            <w:pPr>
              <w:tabs>
                <w:tab w:val="left" w:pos="404"/>
              </w:tabs>
              <w:spacing w:before="1" w:line="276" w:lineRule="auto"/>
              <w:ind w:right="297"/>
              <w:jc w:val="center"/>
              <w:rPr>
                <w:b/>
                <w:color w:val="FF0000"/>
                <w:sz w:val="20"/>
                <w:szCs w:val="20"/>
              </w:rPr>
            </w:pPr>
          </w:p>
          <w:p w14:paraId="2D57FB1C" w14:textId="77777777" w:rsidR="009100C7" w:rsidRPr="00BC5D54" w:rsidRDefault="009100C7" w:rsidP="009100C7">
            <w:pPr>
              <w:tabs>
                <w:tab w:val="left" w:pos="404"/>
              </w:tabs>
              <w:spacing w:before="1" w:line="276" w:lineRule="auto"/>
              <w:ind w:right="297"/>
              <w:jc w:val="center"/>
              <w:rPr>
                <w:b/>
                <w:color w:val="FF0000"/>
                <w:sz w:val="20"/>
                <w:szCs w:val="20"/>
              </w:rPr>
            </w:pPr>
          </w:p>
          <w:p w14:paraId="23493BC3" w14:textId="77777777" w:rsidR="009100C7" w:rsidRPr="00BC5D54" w:rsidRDefault="009100C7" w:rsidP="009100C7">
            <w:pPr>
              <w:tabs>
                <w:tab w:val="left" w:pos="404"/>
              </w:tabs>
              <w:spacing w:before="1" w:line="276" w:lineRule="auto"/>
              <w:ind w:right="297"/>
              <w:jc w:val="center"/>
              <w:rPr>
                <w:b/>
                <w:color w:val="FF0000"/>
                <w:sz w:val="20"/>
                <w:szCs w:val="20"/>
              </w:rPr>
            </w:pPr>
          </w:p>
          <w:p w14:paraId="4B867278" w14:textId="77777777" w:rsidR="009100C7" w:rsidRPr="00BC5D54" w:rsidRDefault="009100C7" w:rsidP="009100C7">
            <w:pPr>
              <w:tabs>
                <w:tab w:val="left" w:pos="404"/>
              </w:tabs>
              <w:spacing w:before="1" w:line="276" w:lineRule="auto"/>
              <w:ind w:right="297"/>
              <w:jc w:val="center"/>
              <w:rPr>
                <w:b/>
                <w:color w:val="FF0000"/>
                <w:sz w:val="20"/>
                <w:szCs w:val="20"/>
              </w:rPr>
            </w:pPr>
          </w:p>
          <w:p w14:paraId="7FE23C22" w14:textId="77777777" w:rsidR="009100C7" w:rsidRPr="00BC5D54" w:rsidRDefault="009100C7" w:rsidP="009100C7">
            <w:pPr>
              <w:tabs>
                <w:tab w:val="left" w:pos="404"/>
              </w:tabs>
              <w:spacing w:before="1" w:line="276" w:lineRule="auto"/>
              <w:ind w:right="297"/>
              <w:jc w:val="center"/>
              <w:rPr>
                <w:b/>
                <w:color w:val="FF0000"/>
                <w:sz w:val="20"/>
                <w:szCs w:val="20"/>
              </w:rPr>
            </w:pPr>
          </w:p>
          <w:p w14:paraId="2529DCB0" w14:textId="77777777" w:rsidR="009100C7" w:rsidRPr="00BC5D54" w:rsidRDefault="009100C7" w:rsidP="009100C7">
            <w:pPr>
              <w:tabs>
                <w:tab w:val="left" w:pos="404"/>
              </w:tabs>
              <w:spacing w:before="1" w:line="276" w:lineRule="auto"/>
              <w:ind w:right="297"/>
              <w:jc w:val="center"/>
              <w:rPr>
                <w:b/>
                <w:color w:val="FF0000"/>
                <w:sz w:val="20"/>
                <w:szCs w:val="20"/>
              </w:rPr>
            </w:pPr>
          </w:p>
          <w:p w14:paraId="52041AFC" w14:textId="77777777" w:rsidR="009100C7" w:rsidRPr="00BC5D54" w:rsidRDefault="009100C7" w:rsidP="009100C7">
            <w:pPr>
              <w:tabs>
                <w:tab w:val="left" w:pos="404"/>
              </w:tabs>
              <w:spacing w:before="1" w:line="276" w:lineRule="auto"/>
              <w:ind w:right="297"/>
              <w:jc w:val="center"/>
              <w:rPr>
                <w:b/>
                <w:color w:val="FF0000"/>
                <w:sz w:val="20"/>
                <w:szCs w:val="20"/>
              </w:rPr>
            </w:pPr>
          </w:p>
          <w:p w14:paraId="028C2798" w14:textId="77777777" w:rsidR="009100C7" w:rsidRPr="00BC5D54" w:rsidRDefault="009100C7" w:rsidP="009100C7">
            <w:pPr>
              <w:tabs>
                <w:tab w:val="left" w:pos="404"/>
              </w:tabs>
              <w:spacing w:before="1" w:line="276" w:lineRule="auto"/>
              <w:ind w:right="297"/>
              <w:jc w:val="center"/>
              <w:rPr>
                <w:b/>
                <w:color w:val="FF0000"/>
                <w:sz w:val="20"/>
                <w:szCs w:val="20"/>
              </w:rPr>
            </w:pPr>
          </w:p>
          <w:p w14:paraId="55D790DD" w14:textId="77777777" w:rsidR="009100C7" w:rsidRPr="00BC5D54" w:rsidRDefault="009100C7" w:rsidP="009100C7">
            <w:pPr>
              <w:tabs>
                <w:tab w:val="left" w:pos="404"/>
              </w:tabs>
              <w:spacing w:before="1" w:line="276" w:lineRule="auto"/>
              <w:ind w:right="297"/>
              <w:jc w:val="center"/>
              <w:rPr>
                <w:b/>
                <w:color w:val="FF0000"/>
                <w:sz w:val="20"/>
                <w:szCs w:val="20"/>
              </w:rPr>
            </w:pPr>
          </w:p>
          <w:p w14:paraId="49DD534A" w14:textId="77777777" w:rsidR="009100C7" w:rsidRPr="00BC5D54" w:rsidRDefault="009100C7" w:rsidP="009100C7">
            <w:pPr>
              <w:tabs>
                <w:tab w:val="left" w:pos="404"/>
              </w:tabs>
              <w:spacing w:before="1" w:line="276" w:lineRule="auto"/>
              <w:ind w:right="297"/>
              <w:jc w:val="center"/>
              <w:rPr>
                <w:b/>
                <w:color w:val="FF0000"/>
                <w:sz w:val="20"/>
                <w:szCs w:val="20"/>
              </w:rPr>
            </w:pPr>
          </w:p>
          <w:p w14:paraId="4AD12908" w14:textId="77777777" w:rsidR="009100C7" w:rsidRPr="00BC5D54" w:rsidRDefault="009100C7" w:rsidP="009100C7">
            <w:pPr>
              <w:tabs>
                <w:tab w:val="left" w:pos="404"/>
              </w:tabs>
              <w:spacing w:before="1" w:line="276" w:lineRule="auto"/>
              <w:ind w:right="297"/>
              <w:jc w:val="center"/>
              <w:rPr>
                <w:b/>
                <w:color w:val="FF0000"/>
                <w:sz w:val="20"/>
                <w:szCs w:val="20"/>
              </w:rPr>
            </w:pPr>
          </w:p>
          <w:p w14:paraId="551FE801" w14:textId="77777777" w:rsidR="009100C7" w:rsidRPr="00BC5D54" w:rsidRDefault="009100C7" w:rsidP="009100C7">
            <w:pPr>
              <w:tabs>
                <w:tab w:val="left" w:pos="404"/>
              </w:tabs>
              <w:spacing w:before="1" w:line="276" w:lineRule="auto"/>
              <w:ind w:right="297"/>
              <w:jc w:val="center"/>
              <w:rPr>
                <w:b/>
                <w:color w:val="FF0000"/>
                <w:sz w:val="20"/>
                <w:szCs w:val="20"/>
              </w:rPr>
            </w:pPr>
          </w:p>
          <w:p w14:paraId="44144EDF" w14:textId="77777777" w:rsidR="009100C7" w:rsidRPr="00BC5D54" w:rsidRDefault="009100C7" w:rsidP="009100C7">
            <w:pPr>
              <w:tabs>
                <w:tab w:val="left" w:pos="404"/>
              </w:tabs>
              <w:spacing w:before="1" w:line="276" w:lineRule="auto"/>
              <w:ind w:right="297"/>
              <w:rPr>
                <w:b/>
                <w:color w:val="FF0000"/>
                <w:sz w:val="20"/>
                <w:szCs w:val="20"/>
              </w:rPr>
            </w:pPr>
          </w:p>
          <w:p w14:paraId="5A22990D" w14:textId="77777777" w:rsidR="009100C7" w:rsidRPr="00BC5D54" w:rsidRDefault="009100C7" w:rsidP="009100C7">
            <w:pPr>
              <w:tabs>
                <w:tab w:val="left" w:pos="404"/>
              </w:tabs>
              <w:spacing w:before="1" w:line="276" w:lineRule="auto"/>
              <w:ind w:right="297"/>
              <w:rPr>
                <w:b/>
                <w:bCs/>
                <w:color w:val="FF0000"/>
                <w:sz w:val="20"/>
                <w:szCs w:val="20"/>
              </w:rPr>
            </w:pPr>
          </w:p>
        </w:tc>
        <w:tc>
          <w:tcPr>
            <w:tcW w:w="7654" w:type="dxa"/>
          </w:tcPr>
          <w:p w14:paraId="7C5671F8" w14:textId="77777777" w:rsidR="009100C7" w:rsidRPr="00BC5D54" w:rsidRDefault="009100C7" w:rsidP="009100C7">
            <w:pPr>
              <w:tabs>
                <w:tab w:val="left" w:pos="404"/>
              </w:tabs>
              <w:spacing w:before="1" w:line="360" w:lineRule="auto"/>
              <w:ind w:right="283"/>
              <w:rPr>
                <w:color w:val="FF0000"/>
                <w:sz w:val="20"/>
                <w:szCs w:val="20"/>
              </w:rPr>
            </w:pPr>
          </w:p>
          <w:p w14:paraId="1B5F26AA" w14:textId="77777777" w:rsidR="009100C7" w:rsidRPr="00DE25DD" w:rsidRDefault="009100C7" w:rsidP="009100C7">
            <w:pPr>
              <w:pStyle w:val="ListParagraph"/>
              <w:numPr>
                <w:ilvl w:val="0"/>
                <w:numId w:val="1"/>
              </w:numPr>
              <w:tabs>
                <w:tab w:val="left" w:pos="404"/>
              </w:tabs>
              <w:spacing w:before="1" w:line="360" w:lineRule="auto"/>
              <w:ind w:left="567" w:right="283"/>
              <w:rPr>
                <w:bCs/>
                <w:color w:val="002060"/>
                <w:sz w:val="20"/>
                <w:szCs w:val="20"/>
              </w:rPr>
            </w:pPr>
            <w:r w:rsidRPr="00BC5D54">
              <w:rPr>
                <w:color w:val="FF0000"/>
                <w:sz w:val="20"/>
                <w:szCs w:val="20"/>
              </w:rPr>
              <w:t xml:space="preserve">  </w:t>
            </w:r>
            <w:r w:rsidRPr="00DE25DD">
              <w:rPr>
                <w:color w:val="002060"/>
                <w:sz w:val="20"/>
                <w:szCs w:val="20"/>
              </w:rPr>
              <w:t xml:space="preserve">Τον Απρίλιο του 2021, η Τράπεζα προχώρησε σε νέα </w:t>
            </w:r>
            <w:proofErr w:type="spellStart"/>
            <w:r w:rsidRPr="00DE25DD">
              <w:rPr>
                <w:color w:val="002060"/>
                <w:sz w:val="20"/>
                <w:szCs w:val="20"/>
              </w:rPr>
              <w:t>τιτλοποίηση</w:t>
            </w:r>
            <w:proofErr w:type="spellEnd"/>
            <w:r w:rsidRPr="00DE25DD">
              <w:rPr>
                <w:color w:val="002060"/>
                <w:sz w:val="20"/>
                <w:szCs w:val="20"/>
              </w:rPr>
              <w:t xml:space="preserve">, με την ονομασία «Ωμέγα», η οποία περιλαμβάνει τις απαιτήσεις της υφιστάμενης </w:t>
            </w:r>
            <w:proofErr w:type="spellStart"/>
            <w:r w:rsidRPr="00DE25DD">
              <w:rPr>
                <w:color w:val="002060"/>
                <w:sz w:val="20"/>
                <w:szCs w:val="20"/>
              </w:rPr>
              <w:t>τιτλοποίησης</w:t>
            </w:r>
            <w:proofErr w:type="spellEnd"/>
            <w:r w:rsidRPr="00DE25DD">
              <w:rPr>
                <w:color w:val="002060"/>
                <w:sz w:val="20"/>
                <w:szCs w:val="20"/>
              </w:rPr>
              <w:t xml:space="preserve"> με την αρχική ονομασία «Artemis» καθώς και σχεδόν το σύνολο των υφιστάμενων μη εξυπηρετούμενων ανοιγμάτων (‘ΜΕΑ’) της Τράπεζας κατά την 31.12.2020. Στόχος της Τράπεζας είναι να εντάξει το </w:t>
            </w:r>
            <w:proofErr w:type="spellStart"/>
            <w:r w:rsidRPr="00DE25DD">
              <w:rPr>
                <w:color w:val="002060"/>
                <w:sz w:val="20"/>
                <w:szCs w:val="20"/>
              </w:rPr>
              <w:t>senior</w:t>
            </w:r>
            <w:proofErr w:type="spellEnd"/>
            <w:r w:rsidRPr="00DE25DD">
              <w:rPr>
                <w:color w:val="002060"/>
                <w:sz w:val="20"/>
                <w:szCs w:val="20"/>
              </w:rPr>
              <w:t xml:space="preserve"> </w:t>
            </w:r>
            <w:proofErr w:type="spellStart"/>
            <w:r w:rsidRPr="00DE25DD">
              <w:rPr>
                <w:color w:val="002060"/>
                <w:sz w:val="20"/>
                <w:szCs w:val="20"/>
              </w:rPr>
              <w:t>note</w:t>
            </w:r>
            <w:proofErr w:type="spellEnd"/>
            <w:r w:rsidRPr="00DE25DD">
              <w:rPr>
                <w:color w:val="002060"/>
                <w:sz w:val="20"/>
                <w:szCs w:val="20"/>
              </w:rPr>
              <w:t xml:space="preserve"> της ανωτέρω </w:t>
            </w:r>
            <w:proofErr w:type="spellStart"/>
            <w:r w:rsidRPr="00DE25DD">
              <w:rPr>
                <w:color w:val="002060"/>
                <w:sz w:val="20"/>
                <w:szCs w:val="20"/>
              </w:rPr>
              <w:t>τιτλοποίησης</w:t>
            </w:r>
            <w:proofErr w:type="spellEnd"/>
            <w:r w:rsidRPr="00DE25DD">
              <w:rPr>
                <w:color w:val="002060"/>
                <w:sz w:val="20"/>
                <w:szCs w:val="20"/>
              </w:rPr>
              <w:t xml:space="preserve"> στο πρόγραμμα  «ΗΡΑΚΛΗΣ ΙΙ». Με την επιτυχή ένταξη του </w:t>
            </w:r>
            <w:proofErr w:type="spellStart"/>
            <w:r w:rsidRPr="00DE25DD">
              <w:rPr>
                <w:color w:val="002060"/>
                <w:sz w:val="20"/>
                <w:szCs w:val="20"/>
              </w:rPr>
              <w:t>senior</w:t>
            </w:r>
            <w:proofErr w:type="spellEnd"/>
            <w:r w:rsidRPr="00DE25DD">
              <w:rPr>
                <w:color w:val="002060"/>
                <w:sz w:val="20"/>
                <w:szCs w:val="20"/>
              </w:rPr>
              <w:t xml:space="preserve"> </w:t>
            </w:r>
            <w:proofErr w:type="spellStart"/>
            <w:r w:rsidRPr="00DE25DD">
              <w:rPr>
                <w:color w:val="002060"/>
                <w:sz w:val="20"/>
                <w:szCs w:val="20"/>
              </w:rPr>
              <w:t>note</w:t>
            </w:r>
            <w:proofErr w:type="spellEnd"/>
            <w:r w:rsidRPr="00DE25DD">
              <w:rPr>
                <w:color w:val="002060"/>
                <w:sz w:val="20"/>
                <w:szCs w:val="20"/>
              </w:rPr>
              <w:t xml:space="preserve"> στο πρόγραμμα αυτό, οι δείκτες κεφαλαιακής επάρκειας (CET1 και συνολικός) σε </w:t>
            </w:r>
            <w:proofErr w:type="spellStart"/>
            <w:r w:rsidRPr="00DE25DD">
              <w:rPr>
                <w:color w:val="002060"/>
                <w:sz w:val="20"/>
                <w:szCs w:val="20"/>
              </w:rPr>
              <w:t>pro</w:t>
            </w:r>
            <w:proofErr w:type="spellEnd"/>
            <w:r w:rsidRPr="00DE25DD">
              <w:rPr>
                <w:color w:val="002060"/>
                <w:sz w:val="20"/>
                <w:szCs w:val="20"/>
              </w:rPr>
              <w:t xml:space="preserve"> </w:t>
            </w:r>
            <w:proofErr w:type="spellStart"/>
            <w:r w:rsidRPr="00DE25DD">
              <w:rPr>
                <w:color w:val="002060"/>
                <w:sz w:val="20"/>
                <w:szCs w:val="20"/>
              </w:rPr>
              <w:t>forma</w:t>
            </w:r>
            <w:proofErr w:type="spellEnd"/>
            <w:r w:rsidRPr="00DE25DD">
              <w:rPr>
                <w:color w:val="002060"/>
                <w:sz w:val="20"/>
                <w:szCs w:val="20"/>
              </w:rPr>
              <w:t xml:space="preserve"> επίπεδο εκτιμάται ότι θα ενισχυθούν άνω των δύο ποσοστιαίων μονάδων.</w:t>
            </w:r>
          </w:p>
          <w:p w14:paraId="2C5B0D11" w14:textId="77777777" w:rsidR="009100C7" w:rsidRPr="00DE25DD" w:rsidRDefault="009100C7" w:rsidP="009100C7">
            <w:pPr>
              <w:pStyle w:val="ListParagraph"/>
              <w:tabs>
                <w:tab w:val="left" w:pos="404"/>
              </w:tabs>
              <w:spacing w:before="1" w:line="360" w:lineRule="auto"/>
              <w:ind w:left="567" w:right="283" w:firstLine="0"/>
              <w:rPr>
                <w:bCs/>
                <w:color w:val="002060"/>
                <w:sz w:val="20"/>
                <w:szCs w:val="20"/>
              </w:rPr>
            </w:pPr>
          </w:p>
          <w:p w14:paraId="3C111FB1" w14:textId="77777777" w:rsidR="009100C7" w:rsidRPr="00DE25DD" w:rsidRDefault="009100C7" w:rsidP="009100C7">
            <w:pPr>
              <w:pStyle w:val="ListParagraph"/>
              <w:numPr>
                <w:ilvl w:val="0"/>
                <w:numId w:val="1"/>
              </w:numPr>
              <w:tabs>
                <w:tab w:val="left" w:pos="404"/>
              </w:tabs>
              <w:spacing w:before="1" w:line="360" w:lineRule="auto"/>
              <w:ind w:left="567" w:right="283"/>
              <w:rPr>
                <w:color w:val="002060"/>
                <w:sz w:val="20"/>
                <w:szCs w:val="20"/>
              </w:rPr>
            </w:pPr>
            <w:r w:rsidRPr="00DE25DD">
              <w:rPr>
                <w:color w:val="002060"/>
                <w:sz w:val="20"/>
                <w:szCs w:val="20"/>
              </w:rPr>
              <w:t xml:space="preserve">  Την 14.05.2021, η Τράπεζα, σε συνέχεια της ανακοίνωσης της στις 27.04.2021 αναφορικά με την </w:t>
            </w:r>
            <w:proofErr w:type="spellStart"/>
            <w:r w:rsidRPr="00DE25DD">
              <w:rPr>
                <w:color w:val="002060"/>
                <w:sz w:val="20"/>
                <w:szCs w:val="20"/>
              </w:rPr>
              <w:t>τιτλοποίηση</w:t>
            </w:r>
            <w:proofErr w:type="spellEnd"/>
            <w:r w:rsidRPr="00DE25DD">
              <w:rPr>
                <w:color w:val="002060"/>
                <w:sz w:val="20"/>
                <w:szCs w:val="20"/>
              </w:rPr>
              <w:t xml:space="preserve"> «Ωμέγα» (πρώην </w:t>
            </w:r>
            <w:r w:rsidRPr="00DE25DD">
              <w:rPr>
                <w:color w:val="002060"/>
                <w:sz w:val="20"/>
                <w:szCs w:val="20"/>
                <w:lang w:val="en-US"/>
              </w:rPr>
              <w:t>Artemis</w:t>
            </w:r>
            <w:r w:rsidRPr="00DE25DD">
              <w:rPr>
                <w:color w:val="002060"/>
                <w:sz w:val="20"/>
                <w:szCs w:val="20"/>
              </w:rPr>
              <w:t xml:space="preserve">), ενημέρωσε το επενδυτικό κοινό ότι έλαβε από την </w:t>
            </w:r>
            <w:proofErr w:type="spellStart"/>
            <w:r w:rsidRPr="00DE25DD">
              <w:rPr>
                <w:color w:val="002060"/>
                <w:sz w:val="20"/>
                <w:szCs w:val="20"/>
              </w:rPr>
              <w:t>Ellington</w:t>
            </w:r>
            <w:proofErr w:type="spellEnd"/>
            <w:r w:rsidRPr="00DE25DD">
              <w:rPr>
                <w:color w:val="002060"/>
                <w:sz w:val="20"/>
                <w:szCs w:val="20"/>
              </w:rPr>
              <w:t xml:space="preserve"> </w:t>
            </w:r>
            <w:proofErr w:type="spellStart"/>
            <w:r w:rsidRPr="00DE25DD">
              <w:rPr>
                <w:color w:val="002060"/>
                <w:sz w:val="20"/>
                <w:szCs w:val="20"/>
              </w:rPr>
              <w:t>Solutions</w:t>
            </w:r>
            <w:proofErr w:type="spellEnd"/>
            <w:r w:rsidRPr="00DE25DD">
              <w:rPr>
                <w:color w:val="002060"/>
                <w:sz w:val="20"/>
                <w:szCs w:val="20"/>
              </w:rPr>
              <w:t xml:space="preserve"> S.A. δεσμευτική πρόταση για την απόκτηση των </w:t>
            </w:r>
            <w:proofErr w:type="spellStart"/>
            <w:r w:rsidRPr="00DE25DD">
              <w:rPr>
                <w:color w:val="002060"/>
                <w:sz w:val="20"/>
                <w:szCs w:val="20"/>
              </w:rPr>
              <w:t>Mezzanine</w:t>
            </w:r>
            <w:proofErr w:type="spellEnd"/>
            <w:r w:rsidRPr="00DE25DD">
              <w:rPr>
                <w:color w:val="002060"/>
                <w:sz w:val="20"/>
                <w:szCs w:val="20"/>
              </w:rPr>
              <w:t xml:space="preserve"> </w:t>
            </w:r>
            <w:proofErr w:type="spellStart"/>
            <w:r w:rsidRPr="00DE25DD">
              <w:rPr>
                <w:color w:val="002060"/>
                <w:sz w:val="20"/>
                <w:szCs w:val="20"/>
              </w:rPr>
              <w:t>Νote</w:t>
            </w:r>
            <w:proofErr w:type="spellEnd"/>
            <w:r w:rsidRPr="00DE25DD">
              <w:rPr>
                <w:color w:val="002060"/>
                <w:sz w:val="20"/>
                <w:szCs w:val="20"/>
              </w:rPr>
              <w:t xml:space="preserve"> και </w:t>
            </w:r>
            <w:proofErr w:type="spellStart"/>
            <w:r w:rsidRPr="00DE25DD">
              <w:rPr>
                <w:color w:val="002060"/>
                <w:sz w:val="20"/>
                <w:szCs w:val="20"/>
              </w:rPr>
              <w:t>Junior</w:t>
            </w:r>
            <w:proofErr w:type="spellEnd"/>
            <w:r w:rsidRPr="00DE25DD">
              <w:rPr>
                <w:color w:val="002060"/>
                <w:sz w:val="20"/>
                <w:szCs w:val="20"/>
              </w:rPr>
              <w:t xml:space="preserve"> </w:t>
            </w:r>
            <w:proofErr w:type="spellStart"/>
            <w:r w:rsidRPr="00DE25DD">
              <w:rPr>
                <w:color w:val="002060"/>
                <w:sz w:val="20"/>
                <w:szCs w:val="20"/>
              </w:rPr>
              <w:t>Note</w:t>
            </w:r>
            <w:proofErr w:type="spellEnd"/>
            <w:r w:rsidRPr="00DE25DD">
              <w:rPr>
                <w:color w:val="002060"/>
                <w:sz w:val="20"/>
                <w:szCs w:val="20"/>
              </w:rPr>
              <w:t xml:space="preserve"> καθώς και πλειοψηφικού ποσοστού του μετοχικού κεφαλαίου της «Θεά Άρτεμις Ανώνυμη Εταιρεία διαχείρισης απαιτήσεων από δάνεια και πιστώσεις», η οποία έγινε αποδεκτή ως προς το πλαίσιο της από την Τράπεζα. Με την επιλογή του επενδυτή, η Attica Bank εισέρχεται σε φάση υλοποίησης του επιχειρηματικού της σχεδίου και του μηδενισμού των Μη Εξυπηρετούμενων Ανοιγμάτων.</w:t>
            </w:r>
          </w:p>
          <w:p w14:paraId="77F98CF5" w14:textId="77777777" w:rsidR="009100C7" w:rsidRPr="00DE25DD" w:rsidRDefault="009100C7" w:rsidP="009100C7">
            <w:pPr>
              <w:pStyle w:val="ListParagraph"/>
              <w:rPr>
                <w:color w:val="002060"/>
                <w:sz w:val="20"/>
                <w:szCs w:val="20"/>
              </w:rPr>
            </w:pPr>
          </w:p>
          <w:p w14:paraId="3BA19408" w14:textId="77777777" w:rsidR="009100C7" w:rsidRPr="00DE25DD" w:rsidRDefault="009100C7" w:rsidP="009100C7">
            <w:pPr>
              <w:pStyle w:val="ListParagraph"/>
              <w:numPr>
                <w:ilvl w:val="0"/>
                <w:numId w:val="1"/>
              </w:numPr>
              <w:tabs>
                <w:tab w:val="left" w:pos="404"/>
              </w:tabs>
              <w:spacing w:before="1" w:line="360" w:lineRule="auto"/>
              <w:ind w:left="567" w:right="283"/>
              <w:rPr>
                <w:color w:val="002060"/>
                <w:sz w:val="20"/>
                <w:szCs w:val="20"/>
              </w:rPr>
            </w:pPr>
            <w:r w:rsidRPr="00DE25DD">
              <w:rPr>
                <w:color w:val="002060"/>
                <w:sz w:val="20"/>
                <w:szCs w:val="20"/>
              </w:rPr>
              <w:t xml:space="preserve">   Την 09.07.2021, η Τράπεζα ανακοίνωσε ότι κατόπιν εξουσιοδότησης που έλαβε από τους μετόχους της κατά τη συνεδρίαση της Τακτικής Γενικής Συνέλευσης της </w:t>
            </w:r>
            <w:r>
              <w:rPr>
                <w:color w:val="002060"/>
                <w:sz w:val="20"/>
                <w:szCs w:val="20"/>
              </w:rPr>
              <w:t>7</w:t>
            </w:r>
            <w:r w:rsidRPr="00DE25DD">
              <w:rPr>
                <w:color w:val="002060"/>
                <w:sz w:val="20"/>
                <w:szCs w:val="20"/>
                <w:vertAlign w:val="superscript"/>
              </w:rPr>
              <w:t>ης</w:t>
            </w:r>
            <w:r>
              <w:rPr>
                <w:color w:val="002060"/>
                <w:sz w:val="20"/>
                <w:szCs w:val="20"/>
              </w:rPr>
              <w:t xml:space="preserve"> Ιουλίου</w:t>
            </w:r>
            <w:r w:rsidRPr="00DE25DD">
              <w:rPr>
                <w:color w:val="002060"/>
                <w:sz w:val="20"/>
                <w:szCs w:val="20"/>
              </w:rPr>
              <w:t xml:space="preserve">, η Τράπεζα </w:t>
            </w:r>
            <w:r>
              <w:rPr>
                <w:color w:val="002060"/>
                <w:sz w:val="20"/>
                <w:szCs w:val="20"/>
              </w:rPr>
              <w:t xml:space="preserve">θα </w:t>
            </w:r>
            <w:r w:rsidRPr="00DE25DD">
              <w:rPr>
                <w:color w:val="002060"/>
                <w:sz w:val="20"/>
                <w:szCs w:val="20"/>
              </w:rPr>
              <w:t>προχωρήσει σε αύξηση μετοχικού κεφαλαίου από €120 εκατ. έως €240 εκατ. ευρώ εντός του 2021.</w:t>
            </w:r>
          </w:p>
          <w:p w14:paraId="40B8C8A7" w14:textId="77777777" w:rsidR="009100C7" w:rsidRPr="00DE25DD" w:rsidRDefault="009100C7" w:rsidP="009100C7">
            <w:pPr>
              <w:tabs>
                <w:tab w:val="left" w:pos="404"/>
              </w:tabs>
              <w:spacing w:before="1" w:line="360" w:lineRule="auto"/>
              <w:ind w:right="283"/>
              <w:rPr>
                <w:color w:val="002060"/>
                <w:sz w:val="20"/>
                <w:szCs w:val="20"/>
              </w:rPr>
            </w:pPr>
          </w:p>
          <w:p w14:paraId="0BF68F07" w14:textId="77777777" w:rsidR="009100C7" w:rsidRPr="00DE25DD" w:rsidRDefault="009100C7" w:rsidP="009100C7">
            <w:pPr>
              <w:pStyle w:val="ListParagraph"/>
              <w:numPr>
                <w:ilvl w:val="0"/>
                <w:numId w:val="1"/>
              </w:numPr>
              <w:tabs>
                <w:tab w:val="left" w:pos="404"/>
              </w:tabs>
              <w:spacing w:before="1" w:line="360" w:lineRule="auto"/>
              <w:ind w:left="567" w:right="283"/>
              <w:rPr>
                <w:color w:val="002060"/>
                <w:sz w:val="20"/>
                <w:szCs w:val="20"/>
              </w:rPr>
            </w:pPr>
            <w:r w:rsidRPr="00DE25DD">
              <w:rPr>
                <w:color w:val="002060"/>
                <w:sz w:val="20"/>
                <w:szCs w:val="20"/>
              </w:rPr>
              <w:t xml:space="preserve">   Σε σχέση με τις υπόλοιπες ενέργειες κεφαλαιακής ενίσχυσης, η Τράπεζα έχει προβεί στην πρόσληψη συμβούλων για το νομικό και το τεχνικό σκέλος των </w:t>
            </w:r>
            <w:proofErr w:type="spellStart"/>
            <w:r w:rsidRPr="00DE25DD">
              <w:rPr>
                <w:color w:val="002060"/>
                <w:sz w:val="20"/>
                <w:szCs w:val="20"/>
              </w:rPr>
              <w:t>τιτλοποιήσεων</w:t>
            </w:r>
            <w:proofErr w:type="spellEnd"/>
            <w:r w:rsidRPr="00DE25DD">
              <w:rPr>
                <w:color w:val="002060"/>
                <w:sz w:val="20"/>
                <w:szCs w:val="20"/>
              </w:rPr>
              <w:t xml:space="preserve"> </w:t>
            </w:r>
            <w:proofErr w:type="spellStart"/>
            <w:r w:rsidRPr="00DE25DD">
              <w:rPr>
                <w:color w:val="002060"/>
                <w:sz w:val="20"/>
                <w:szCs w:val="20"/>
              </w:rPr>
              <w:t>Omega</w:t>
            </w:r>
            <w:proofErr w:type="spellEnd"/>
            <w:r w:rsidRPr="00DE25DD">
              <w:rPr>
                <w:color w:val="002060"/>
                <w:sz w:val="20"/>
                <w:szCs w:val="20"/>
              </w:rPr>
              <w:t xml:space="preserve">, </w:t>
            </w:r>
            <w:proofErr w:type="spellStart"/>
            <w:r w:rsidRPr="00DE25DD">
              <w:rPr>
                <w:color w:val="002060"/>
                <w:sz w:val="20"/>
                <w:szCs w:val="20"/>
              </w:rPr>
              <w:t>Astir</w:t>
            </w:r>
            <w:proofErr w:type="spellEnd"/>
            <w:r w:rsidRPr="00DE25DD">
              <w:rPr>
                <w:color w:val="002060"/>
                <w:sz w:val="20"/>
                <w:szCs w:val="20"/>
              </w:rPr>
              <w:t xml:space="preserve"> 1 και 2. Για τις </w:t>
            </w:r>
            <w:proofErr w:type="spellStart"/>
            <w:r w:rsidRPr="00DE25DD">
              <w:rPr>
                <w:color w:val="002060"/>
                <w:sz w:val="20"/>
                <w:szCs w:val="20"/>
              </w:rPr>
              <w:t>τιτλοποιήσεις</w:t>
            </w:r>
            <w:proofErr w:type="spellEnd"/>
            <w:r w:rsidRPr="00DE25DD">
              <w:rPr>
                <w:color w:val="002060"/>
                <w:sz w:val="20"/>
                <w:szCs w:val="20"/>
              </w:rPr>
              <w:t xml:space="preserve"> </w:t>
            </w:r>
            <w:proofErr w:type="spellStart"/>
            <w:r w:rsidRPr="00DE25DD">
              <w:rPr>
                <w:color w:val="002060"/>
                <w:sz w:val="20"/>
                <w:szCs w:val="20"/>
              </w:rPr>
              <w:t>Astir</w:t>
            </w:r>
            <w:proofErr w:type="spellEnd"/>
            <w:r w:rsidRPr="00DE25DD">
              <w:rPr>
                <w:color w:val="002060"/>
                <w:sz w:val="20"/>
                <w:szCs w:val="20"/>
              </w:rPr>
              <w:t xml:space="preserve"> 1 και 2, έχει ήδη προσληφθεί διεθνής οίκος για τον προσδιορισμό της πιστοληπτικής διαβάθμισης των τίτλων υψηλής σειράς εξόφλησης (</w:t>
            </w:r>
            <w:proofErr w:type="spellStart"/>
            <w:r w:rsidRPr="00DE25DD">
              <w:rPr>
                <w:color w:val="002060"/>
                <w:sz w:val="20"/>
                <w:szCs w:val="20"/>
              </w:rPr>
              <w:t>senior</w:t>
            </w:r>
            <w:proofErr w:type="spellEnd"/>
            <w:r w:rsidRPr="00DE25DD">
              <w:rPr>
                <w:color w:val="002060"/>
                <w:sz w:val="20"/>
                <w:szCs w:val="20"/>
              </w:rPr>
              <w:t xml:space="preserve"> </w:t>
            </w:r>
            <w:proofErr w:type="spellStart"/>
            <w:r w:rsidRPr="00DE25DD">
              <w:rPr>
                <w:color w:val="002060"/>
                <w:sz w:val="20"/>
                <w:szCs w:val="20"/>
              </w:rPr>
              <w:t>notes</w:t>
            </w:r>
            <w:proofErr w:type="spellEnd"/>
            <w:r w:rsidRPr="00DE25DD">
              <w:rPr>
                <w:color w:val="002060"/>
                <w:sz w:val="20"/>
                <w:szCs w:val="20"/>
              </w:rPr>
              <w:t>).</w:t>
            </w:r>
            <w:r>
              <w:rPr>
                <w:color w:val="002060"/>
                <w:sz w:val="20"/>
                <w:szCs w:val="20"/>
              </w:rPr>
              <w:t xml:space="preserve"> Τέλος, η Τράπεζα έχει ήδη λάβει μη δεσμευτική προσφορά για το </w:t>
            </w:r>
            <w:r>
              <w:rPr>
                <w:color w:val="002060"/>
                <w:sz w:val="20"/>
                <w:szCs w:val="20"/>
                <w:lang w:val="en-US"/>
              </w:rPr>
              <w:t>Mezzanine</w:t>
            </w:r>
            <w:r w:rsidRPr="00562A60">
              <w:rPr>
                <w:color w:val="002060"/>
                <w:sz w:val="20"/>
                <w:szCs w:val="20"/>
              </w:rPr>
              <w:t xml:space="preserve"> </w:t>
            </w:r>
            <w:r>
              <w:rPr>
                <w:color w:val="002060"/>
                <w:sz w:val="20"/>
                <w:szCs w:val="20"/>
                <w:lang w:val="en-US"/>
              </w:rPr>
              <w:t>note</w:t>
            </w:r>
            <w:r w:rsidRPr="00562A60">
              <w:rPr>
                <w:color w:val="002060"/>
                <w:sz w:val="20"/>
                <w:szCs w:val="20"/>
              </w:rPr>
              <w:t xml:space="preserve"> </w:t>
            </w:r>
            <w:r>
              <w:rPr>
                <w:color w:val="002060"/>
                <w:sz w:val="20"/>
                <w:szCs w:val="20"/>
              </w:rPr>
              <w:t xml:space="preserve">της </w:t>
            </w:r>
            <w:proofErr w:type="spellStart"/>
            <w:r>
              <w:rPr>
                <w:color w:val="002060"/>
                <w:sz w:val="20"/>
                <w:szCs w:val="20"/>
              </w:rPr>
              <w:t>τιτλοποίησης</w:t>
            </w:r>
            <w:proofErr w:type="spellEnd"/>
            <w:r>
              <w:rPr>
                <w:color w:val="002060"/>
                <w:sz w:val="20"/>
                <w:szCs w:val="20"/>
              </w:rPr>
              <w:t xml:space="preserve"> </w:t>
            </w:r>
            <w:r>
              <w:rPr>
                <w:color w:val="002060"/>
                <w:sz w:val="20"/>
                <w:szCs w:val="20"/>
                <w:lang w:val="en-US"/>
              </w:rPr>
              <w:t>Astir</w:t>
            </w:r>
            <w:r w:rsidRPr="00562A60">
              <w:rPr>
                <w:color w:val="002060"/>
                <w:sz w:val="20"/>
                <w:szCs w:val="20"/>
              </w:rPr>
              <w:t xml:space="preserve"> 1. </w:t>
            </w:r>
            <w:r>
              <w:rPr>
                <w:color w:val="002060"/>
                <w:sz w:val="20"/>
                <w:szCs w:val="20"/>
              </w:rPr>
              <w:t>Η σχετική διαδικασία βρίσκεται σε φάση ολοκλήρωσης.</w:t>
            </w:r>
          </w:p>
          <w:p w14:paraId="0CD9C9A7" w14:textId="77777777" w:rsidR="009100C7" w:rsidRPr="00BC5D54" w:rsidRDefault="009100C7" w:rsidP="009100C7">
            <w:pPr>
              <w:rPr>
                <w:color w:val="FF0000"/>
                <w:sz w:val="20"/>
                <w:szCs w:val="20"/>
              </w:rPr>
            </w:pPr>
          </w:p>
          <w:p w14:paraId="1A19B16F" w14:textId="77777777" w:rsidR="009100C7" w:rsidRPr="00BC5D54" w:rsidRDefault="009100C7" w:rsidP="009100C7">
            <w:pPr>
              <w:rPr>
                <w:noProof/>
                <w:color w:val="FF0000"/>
                <w:lang w:eastAsia="el-GR"/>
              </w:rPr>
            </w:pPr>
          </w:p>
        </w:tc>
      </w:tr>
    </w:tbl>
    <w:p w14:paraId="26E5EB8B" w14:textId="77777777" w:rsidR="009100C7" w:rsidRPr="00BC5D54" w:rsidRDefault="009100C7" w:rsidP="009100C7">
      <w:pPr>
        <w:rPr>
          <w:color w:val="FF0000"/>
        </w:rPr>
      </w:pPr>
    </w:p>
    <w:p w14:paraId="4E2BDA7D" w14:textId="77777777" w:rsidR="009100C7" w:rsidRPr="00BC5D54" w:rsidRDefault="009100C7" w:rsidP="009100C7">
      <w:pPr>
        <w:pStyle w:val="Heading3"/>
        <w:spacing w:before="119" w:line="276" w:lineRule="auto"/>
        <w:ind w:right="295" w:firstLine="720"/>
        <w:jc w:val="center"/>
        <w:rPr>
          <w:rFonts w:eastAsia="Verdana"/>
          <w:b/>
          <w:bCs/>
          <w:iCs/>
          <w:color w:val="FF0000"/>
          <w:sz w:val="28"/>
          <w:szCs w:val="28"/>
        </w:rPr>
      </w:pPr>
    </w:p>
    <w:p w14:paraId="0369D591" w14:textId="77777777" w:rsidR="009100C7" w:rsidRPr="00BC5D54" w:rsidRDefault="009100C7" w:rsidP="009100C7">
      <w:pPr>
        <w:rPr>
          <w:b/>
          <w:bCs/>
          <w:iCs/>
          <w:color w:val="FF0000"/>
          <w:sz w:val="28"/>
          <w:szCs w:val="28"/>
        </w:rPr>
      </w:pPr>
      <w:r w:rsidRPr="00BC5D54">
        <w:rPr>
          <w:b/>
          <w:bCs/>
          <w:iCs/>
          <w:color w:val="FF0000"/>
          <w:sz w:val="28"/>
          <w:szCs w:val="28"/>
        </w:rPr>
        <w:br w:type="page"/>
      </w:r>
    </w:p>
    <w:p w14:paraId="4B453F3D" w14:textId="77777777" w:rsidR="009100C7" w:rsidRPr="001F054C" w:rsidRDefault="009100C7" w:rsidP="009100C7">
      <w:pPr>
        <w:pStyle w:val="Heading3"/>
        <w:spacing w:before="119" w:line="276" w:lineRule="auto"/>
        <w:ind w:right="295" w:firstLine="720"/>
        <w:jc w:val="center"/>
        <w:rPr>
          <w:rFonts w:ascii="Georgia" w:eastAsia="Verdana" w:hAnsi="Georgia" w:cs="Verdana"/>
          <w:b/>
          <w:bCs/>
          <w:iCs/>
          <w:color w:val="002060"/>
          <w:sz w:val="28"/>
          <w:szCs w:val="28"/>
        </w:rPr>
      </w:pPr>
      <w:r w:rsidRPr="001F054C">
        <w:rPr>
          <w:rFonts w:ascii="Georgia" w:eastAsia="Verdana" w:hAnsi="Georgia" w:cs="Verdana"/>
          <w:b/>
          <w:bCs/>
          <w:iCs/>
          <w:color w:val="002060"/>
          <w:sz w:val="28"/>
          <w:szCs w:val="28"/>
        </w:rPr>
        <w:lastRenderedPageBreak/>
        <w:t>Επίδοση Ομίλου</w:t>
      </w:r>
    </w:p>
    <w:p w14:paraId="3A97F694" w14:textId="77777777" w:rsidR="009100C7" w:rsidRPr="00BC5D54" w:rsidRDefault="009100C7" w:rsidP="009100C7">
      <w:pPr>
        <w:pStyle w:val="BodyText"/>
        <w:ind w:right="295"/>
        <w:rPr>
          <w:color w:val="FF0000"/>
          <w:sz w:val="14"/>
        </w:rPr>
      </w:pPr>
    </w:p>
    <w:tbl>
      <w:tblPr>
        <w:tblStyle w:val="TableGrid"/>
        <w:tblW w:w="10345" w:type="dxa"/>
        <w:tblInd w:w="-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7650"/>
      </w:tblGrid>
      <w:tr w:rsidR="009100C7" w:rsidRPr="00BC5D54" w14:paraId="26CF29D7" w14:textId="77777777" w:rsidTr="009100C7">
        <w:trPr>
          <w:trHeight w:val="865"/>
        </w:trPr>
        <w:tc>
          <w:tcPr>
            <w:tcW w:w="2695" w:type="dxa"/>
            <w:vAlign w:val="center"/>
          </w:tcPr>
          <w:p w14:paraId="72DB696C" w14:textId="77777777" w:rsidR="009100C7" w:rsidRPr="00BC5D54" w:rsidRDefault="009100C7" w:rsidP="00DC6567">
            <w:pPr>
              <w:spacing w:line="276" w:lineRule="auto"/>
              <w:jc w:val="center"/>
              <w:rPr>
                <w:rFonts w:ascii="Georgia" w:hAnsi="Georgia"/>
                <w:color w:val="FF0000"/>
              </w:rPr>
            </w:pPr>
            <w:r w:rsidRPr="00493223">
              <w:rPr>
                <w:rFonts w:ascii="Georgia" w:hAnsi="Georgia"/>
                <w:b/>
                <w:color w:val="002060"/>
                <w:sz w:val="20"/>
                <w:szCs w:val="20"/>
              </w:rPr>
              <w:t>Θετική πορεία καθαρών εσόδων από τόκους</w:t>
            </w:r>
          </w:p>
        </w:tc>
        <w:tc>
          <w:tcPr>
            <w:tcW w:w="7650" w:type="dxa"/>
          </w:tcPr>
          <w:p w14:paraId="66685662" w14:textId="77777777" w:rsidR="009100C7" w:rsidRPr="009100C7" w:rsidRDefault="009100C7" w:rsidP="00DC6567">
            <w:pPr>
              <w:pStyle w:val="BodyText"/>
              <w:spacing w:before="9" w:line="360" w:lineRule="auto"/>
              <w:ind w:left="567" w:right="295"/>
              <w:rPr>
                <w:color w:val="002060"/>
                <w:sz w:val="20"/>
                <w:szCs w:val="20"/>
              </w:rPr>
            </w:pPr>
          </w:p>
          <w:p w14:paraId="4BC6DB12" w14:textId="77777777" w:rsidR="009100C7" w:rsidRPr="009100C7" w:rsidRDefault="009100C7" w:rsidP="009100C7">
            <w:pPr>
              <w:pStyle w:val="ListParagraph"/>
              <w:numPr>
                <w:ilvl w:val="0"/>
                <w:numId w:val="1"/>
              </w:numPr>
              <w:tabs>
                <w:tab w:val="left" w:pos="606"/>
              </w:tabs>
              <w:spacing w:line="360" w:lineRule="auto"/>
              <w:ind w:left="567" w:right="283"/>
              <w:rPr>
                <w:color w:val="002060"/>
                <w:sz w:val="20"/>
                <w:szCs w:val="20"/>
              </w:rPr>
            </w:pPr>
            <w:r w:rsidRPr="009100C7">
              <w:rPr>
                <w:color w:val="002060"/>
                <w:sz w:val="20"/>
                <w:szCs w:val="20"/>
              </w:rPr>
              <w:t xml:space="preserve">Τα καθαρά έσοδα από τόκους παρουσίασαν σημαντική αύξηση το α’ εξάμηνο 2021 κατά 21,8% κυρίως λόγω της αποκλιμάκωσης του κόστους χρηματοδότησης. Το κόστος χρηματοδότησης παρουσίασε σημαντική μείωση ύψους 20,6% σε ετήσια βάση, λόγω της σημαντικής συγκράτησης του κόστους καταθέσεων, το οποίο απορρόφησε το κόστος που σχετίζεται με τους τόκους από τα νέα δάνεια που εκταμιεύθηκαν κατά την </w:t>
            </w:r>
            <w:proofErr w:type="spellStart"/>
            <w:r w:rsidRPr="009100C7">
              <w:rPr>
                <w:color w:val="002060"/>
                <w:sz w:val="20"/>
                <w:szCs w:val="20"/>
              </w:rPr>
              <w:t>κλειόμενη</w:t>
            </w:r>
            <w:proofErr w:type="spellEnd"/>
            <w:r w:rsidRPr="009100C7">
              <w:rPr>
                <w:color w:val="002060"/>
                <w:sz w:val="20"/>
                <w:szCs w:val="20"/>
              </w:rPr>
              <w:t xml:space="preserve"> περίοδο του 2021.</w:t>
            </w:r>
          </w:p>
        </w:tc>
      </w:tr>
      <w:tr w:rsidR="009100C7" w:rsidRPr="00BC5D54" w14:paraId="24B0BF6A" w14:textId="77777777" w:rsidTr="009100C7">
        <w:trPr>
          <w:trHeight w:val="867"/>
        </w:trPr>
        <w:tc>
          <w:tcPr>
            <w:tcW w:w="2695" w:type="dxa"/>
            <w:vAlign w:val="center"/>
          </w:tcPr>
          <w:p w14:paraId="7484F0F3" w14:textId="77777777" w:rsidR="009100C7" w:rsidRPr="006B1089" w:rsidRDefault="009100C7" w:rsidP="00DC6567">
            <w:pPr>
              <w:pStyle w:val="BodyText"/>
              <w:spacing w:before="9" w:line="276" w:lineRule="auto"/>
              <w:ind w:right="295"/>
              <w:jc w:val="center"/>
              <w:rPr>
                <w:rFonts w:ascii="Georgia" w:hAnsi="Georgia"/>
                <w:b/>
                <w:color w:val="002060"/>
                <w:sz w:val="20"/>
                <w:szCs w:val="20"/>
              </w:rPr>
            </w:pPr>
          </w:p>
          <w:p w14:paraId="2B1C7DEF" w14:textId="77777777" w:rsidR="009100C7" w:rsidRPr="006B1089" w:rsidRDefault="009100C7" w:rsidP="00DC6567">
            <w:pPr>
              <w:pStyle w:val="BodyText"/>
              <w:spacing w:before="9" w:line="276" w:lineRule="auto"/>
              <w:ind w:right="295"/>
              <w:jc w:val="center"/>
              <w:rPr>
                <w:rFonts w:ascii="Georgia" w:hAnsi="Georgia"/>
                <w:b/>
                <w:color w:val="002060"/>
                <w:sz w:val="20"/>
                <w:szCs w:val="20"/>
              </w:rPr>
            </w:pPr>
            <w:r w:rsidRPr="006B1089">
              <w:rPr>
                <w:rFonts w:ascii="Georgia" w:hAnsi="Georgia"/>
                <w:b/>
                <w:color w:val="002060"/>
                <w:sz w:val="20"/>
                <w:szCs w:val="20"/>
              </w:rPr>
              <w:t>Αξιοσημείωτη Αύξηση Καθαρών Εσόδων από προμήθειες</w:t>
            </w:r>
          </w:p>
          <w:p w14:paraId="7F1803C6" w14:textId="77777777" w:rsidR="009100C7" w:rsidRPr="006B1089" w:rsidRDefault="009100C7" w:rsidP="00DC6567">
            <w:pPr>
              <w:pStyle w:val="BodyText"/>
              <w:spacing w:before="9" w:line="276" w:lineRule="auto"/>
              <w:ind w:right="295"/>
              <w:jc w:val="center"/>
              <w:rPr>
                <w:rFonts w:ascii="Georgia" w:hAnsi="Georgia"/>
                <w:b/>
                <w:color w:val="002060"/>
                <w:sz w:val="20"/>
                <w:szCs w:val="20"/>
              </w:rPr>
            </w:pPr>
          </w:p>
          <w:p w14:paraId="5755CDD8" w14:textId="77777777" w:rsidR="009100C7" w:rsidRPr="006B1089" w:rsidRDefault="009100C7" w:rsidP="00DC6567">
            <w:pPr>
              <w:pStyle w:val="BodyText"/>
              <w:spacing w:before="9" w:line="276" w:lineRule="auto"/>
              <w:ind w:right="295"/>
              <w:jc w:val="center"/>
              <w:rPr>
                <w:rFonts w:ascii="Georgia" w:hAnsi="Georgia"/>
                <w:b/>
                <w:color w:val="002060"/>
                <w:sz w:val="20"/>
                <w:szCs w:val="20"/>
              </w:rPr>
            </w:pPr>
          </w:p>
          <w:p w14:paraId="11C6CEAF" w14:textId="77777777" w:rsidR="009100C7" w:rsidRPr="006B1089" w:rsidRDefault="009100C7" w:rsidP="00DC6567">
            <w:pPr>
              <w:pStyle w:val="BodyText"/>
              <w:spacing w:before="9" w:line="276" w:lineRule="auto"/>
              <w:ind w:right="295"/>
              <w:rPr>
                <w:rFonts w:ascii="Georgia" w:hAnsi="Georgia"/>
                <w:b/>
                <w:color w:val="002060"/>
                <w:sz w:val="20"/>
                <w:szCs w:val="20"/>
              </w:rPr>
            </w:pPr>
          </w:p>
          <w:p w14:paraId="12F3C2AE" w14:textId="77777777" w:rsidR="009100C7" w:rsidRPr="006B1089" w:rsidRDefault="009100C7" w:rsidP="00DC6567">
            <w:pPr>
              <w:pStyle w:val="BodyText"/>
              <w:spacing w:before="9" w:line="276" w:lineRule="auto"/>
              <w:ind w:right="295"/>
              <w:rPr>
                <w:rFonts w:ascii="Georgia" w:hAnsi="Georgia"/>
                <w:b/>
                <w:color w:val="002060"/>
                <w:sz w:val="20"/>
                <w:szCs w:val="20"/>
              </w:rPr>
            </w:pPr>
          </w:p>
          <w:p w14:paraId="2C803C0B" w14:textId="77777777" w:rsidR="009100C7" w:rsidRPr="006B1089" w:rsidRDefault="009100C7" w:rsidP="00DC6567">
            <w:pPr>
              <w:pStyle w:val="BodyText"/>
              <w:spacing w:before="9" w:line="276" w:lineRule="auto"/>
              <w:ind w:right="295"/>
              <w:rPr>
                <w:rFonts w:ascii="Georgia" w:hAnsi="Georgia"/>
                <w:b/>
                <w:color w:val="002060"/>
                <w:sz w:val="20"/>
                <w:szCs w:val="20"/>
              </w:rPr>
            </w:pPr>
          </w:p>
          <w:p w14:paraId="4E8C39A1" w14:textId="77777777" w:rsidR="009100C7" w:rsidRPr="006B1089" w:rsidRDefault="009100C7" w:rsidP="00DC6567">
            <w:pPr>
              <w:pStyle w:val="BodyText"/>
              <w:spacing w:before="9" w:line="276" w:lineRule="auto"/>
              <w:ind w:right="295"/>
              <w:rPr>
                <w:rFonts w:ascii="Georgia" w:hAnsi="Georgia"/>
                <w:b/>
                <w:color w:val="002060"/>
                <w:sz w:val="20"/>
                <w:szCs w:val="20"/>
              </w:rPr>
            </w:pPr>
          </w:p>
          <w:p w14:paraId="748BA1D6" w14:textId="77777777" w:rsidR="009100C7" w:rsidRPr="006B1089" w:rsidRDefault="009100C7" w:rsidP="00DC6567">
            <w:pPr>
              <w:pStyle w:val="BodyText"/>
              <w:spacing w:before="9" w:line="276" w:lineRule="auto"/>
              <w:ind w:right="295"/>
              <w:rPr>
                <w:rFonts w:ascii="Georgia" w:hAnsi="Georgia"/>
                <w:b/>
                <w:color w:val="002060"/>
                <w:sz w:val="20"/>
                <w:szCs w:val="20"/>
              </w:rPr>
            </w:pPr>
          </w:p>
          <w:p w14:paraId="2BCC9278" w14:textId="77777777" w:rsidR="009100C7" w:rsidRPr="006B1089" w:rsidRDefault="009100C7" w:rsidP="00DC6567">
            <w:pPr>
              <w:pStyle w:val="BodyText"/>
              <w:spacing w:before="9" w:line="276" w:lineRule="auto"/>
              <w:ind w:right="295"/>
              <w:rPr>
                <w:rFonts w:ascii="Georgia" w:hAnsi="Georgia"/>
                <w:b/>
                <w:color w:val="002060"/>
                <w:sz w:val="20"/>
                <w:szCs w:val="20"/>
              </w:rPr>
            </w:pPr>
            <w:r>
              <w:rPr>
                <w:rFonts w:ascii="Georgia" w:hAnsi="Georgia"/>
                <w:b/>
                <w:color w:val="002060"/>
                <w:sz w:val="20"/>
                <w:szCs w:val="20"/>
              </w:rPr>
              <w:t xml:space="preserve">    </w:t>
            </w:r>
            <w:r w:rsidRPr="006B1089">
              <w:rPr>
                <w:rFonts w:ascii="Georgia" w:hAnsi="Georgia"/>
                <w:b/>
                <w:color w:val="002060"/>
                <w:sz w:val="20"/>
                <w:szCs w:val="20"/>
              </w:rPr>
              <w:t xml:space="preserve">Βάση Κόστους </w:t>
            </w:r>
          </w:p>
          <w:p w14:paraId="621BC5A8" w14:textId="77777777" w:rsidR="009100C7" w:rsidRPr="006B1089" w:rsidRDefault="009100C7" w:rsidP="00DC6567">
            <w:pPr>
              <w:pStyle w:val="BodyText"/>
              <w:spacing w:before="9" w:line="276" w:lineRule="auto"/>
              <w:ind w:right="295"/>
              <w:rPr>
                <w:rFonts w:ascii="Georgia" w:hAnsi="Georgia"/>
                <w:b/>
                <w:color w:val="002060"/>
                <w:sz w:val="20"/>
                <w:szCs w:val="20"/>
              </w:rPr>
            </w:pPr>
          </w:p>
          <w:p w14:paraId="5E7AA37C" w14:textId="77777777" w:rsidR="009100C7" w:rsidRPr="006B1089" w:rsidRDefault="009100C7" w:rsidP="00DC6567">
            <w:pPr>
              <w:pStyle w:val="BodyText"/>
              <w:spacing w:before="9" w:line="276" w:lineRule="auto"/>
              <w:ind w:right="295"/>
              <w:rPr>
                <w:rFonts w:ascii="Georgia" w:hAnsi="Georgia"/>
                <w:b/>
                <w:color w:val="002060"/>
                <w:sz w:val="20"/>
                <w:szCs w:val="20"/>
              </w:rPr>
            </w:pPr>
          </w:p>
          <w:p w14:paraId="21DEA3A4" w14:textId="77777777" w:rsidR="009100C7" w:rsidRPr="006B1089" w:rsidRDefault="009100C7" w:rsidP="00DC6567">
            <w:pPr>
              <w:pStyle w:val="BodyText"/>
              <w:spacing w:before="9" w:line="276" w:lineRule="auto"/>
              <w:ind w:right="295"/>
              <w:rPr>
                <w:rFonts w:ascii="Georgia" w:hAnsi="Georgia"/>
                <w:b/>
                <w:color w:val="002060"/>
                <w:sz w:val="20"/>
                <w:szCs w:val="20"/>
              </w:rPr>
            </w:pPr>
          </w:p>
          <w:p w14:paraId="75388B03" w14:textId="77777777" w:rsidR="009100C7" w:rsidRPr="006B1089" w:rsidRDefault="009100C7" w:rsidP="00DC6567">
            <w:pPr>
              <w:pStyle w:val="BodyText"/>
              <w:spacing w:before="9" w:line="276" w:lineRule="auto"/>
              <w:ind w:right="295"/>
              <w:rPr>
                <w:rFonts w:ascii="Georgia" w:hAnsi="Georgia"/>
                <w:b/>
                <w:color w:val="002060"/>
                <w:sz w:val="20"/>
                <w:szCs w:val="20"/>
              </w:rPr>
            </w:pPr>
          </w:p>
          <w:p w14:paraId="1539FA63" w14:textId="77777777" w:rsidR="009100C7" w:rsidRPr="006B1089" w:rsidRDefault="009100C7" w:rsidP="00DC6567">
            <w:pPr>
              <w:pStyle w:val="BodyText"/>
              <w:spacing w:before="9" w:line="276" w:lineRule="auto"/>
              <w:ind w:right="295"/>
              <w:rPr>
                <w:rFonts w:ascii="Georgia" w:hAnsi="Georgia"/>
                <w:b/>
                <w:color w:val="002060"/>
                <w:sz w:val="20"/>
                <w:szCs w:val="20"/>
              </w:rPr>
            </w:pPr>
          </w:p>
          <w:p w14:paraId="6C476B06" w14:textId="77777777" w:rsidR="009100C7" w:rsidRPr="006B1089" w:rsidRDefault="009100C7" w:rsidP="00DC6567">
            <w:pPr>
              <w:pStyle w:val="BodyText"/>
              <w:spacing w:before="9" w:line="276" w:lineRule="auto"/>
              <w:ind w:right="295"/>
              <w:rPr>
                <w:rFonts w:ascii="Georgia" w:hAnsi="Georgia"/>
                <w:b/>
                <w:color w:val="002060"/>
                <w:sz w:val="20"/>
                <w:szCs w:val="20"/>
              </w:rPr>
            </w:pPr>
          </w:p>
          <w:p w14:paraId="0AE1B4D4" w14:textId="77777777" w:rsidR="009100C7" w:rsidRPr="006B1089" w:rsidRDefault="009100C7" w:rsidP="00DC6567">
            <w:pPr>
              <w:pStyle w:val="BodyText"/>
              <w:spacing w:before="9" w:line="276" w:lineRule="auto"/>
              <w:ind w:right="295"/>
              <w:jc w:val="center"/>
              <w:rPr>
                <w:rFonts w:ascii="Georgia" w:hAnsi="Georgia"/>
                <w:b/>
                <w:color w:val="002060"/>
                <w:sz w:val="20"/>
                <w:szCs w:val="20"/>
              </w:rPr>
            </w:pPr>
          </w:p>
          <w:p w14:paraId="0FE2CF02" w14:textId="77777777" w:rsidR="009100C7" w:rsidRPr="006B1089" w:rsidRDefault="009100C7" w:rsidP="00DC6567">
            <w:pPr>
              <w:pStyle w:val="BodyText"/>
              <w:spacing w:before="9" w:line="276" w:lineRule="auto"/>
              <w:ind w:right="295"/>
              <w:rPr>
                <w:rFonts w:ascii="Georgia" w:hAnsi="Georgia"/>
                <w:b/>
                <w:color w:val="002060"/>
                <w:sz w:val="20"/>
                <w:szCs w:val="20"/>
              </w:rPr>
            </w:pPr>
          </w:p>
          <w:p w14:paraId="0B2C36BA" w14:textId="77777777" w:rsidR="009100C7" w:rsidRPr="006B1089" w:rsidRDefault="009100C7" w:rsidP="00DC6567">
            <w:pPr>
              <w:pStyle w:val="BodyText"/>
              <w:spacing w:before="9" w:line="276" w:lineRule="auto"/>
              <w:ind w:right="295"/>
              <w:jc w:val="center"/>
              <w:rPr>
                <w:rFonts w:ascii="Georgia" w:hAnsi="Georgia"/>
                <w:b/>
                <w:color w:val="002060"/>
                <w:sz w:val="20"/>
                <w:szCs w:val="20"/>
              </w:rPr>
            </w:pPr>
          </w:p>
          <w:p w14:paraId="3A3C3D7C" w14:textId="77777777" w:rsidR="009100C7" w:rsidRPr="006B1089" w:rsidRDefault="009100C7" w:rsidP="00DC6567">
            <w:pPr>
              <w:pStyle w:val="BodyText"/>
              <w:spacing w:before="9" w:line="276" w:lineRule="auto"/>
              <w:ind w:right="295"/>
              <w:rPr>
                <w:rFonts w:ascii="Georgia" w:hAnsi="Georgia"/>
                <w:b/>
                <w:color w:val="002060"/>
                <w:sz w:val="20"/>
                <w:szCs w:val="20"/>
              </w:rPr>
            </w:pPr>
          </w:p>
        </w:tc>
        <w:tc>
          <w:tcPr>
            <w:tcW w:w="7650" w:type="dxa"/>
          </w:tcPr>
          <w:p w14:paraId="340F9590" w14:textId="77777777" w:rsidR="009100C7" w:rsidRPr="009100C7" w:rsidRDefault="009100C7" w:rsidP="00DC6567">
            <w:pPr>
              <w:pStyle w:val="BodyText"/>
              <w:spacing w:before="9" w:line="360" w:lineRule="auto"/>
              <w:ind w:right="283"/>
              <w:rPr>
                <w:color w:val="002060"/>
                <w:sz w:val="20"/>
                <w:szCs w:val="20"/>
              </w:rPr>
            </w:pPr>
          </w:p>
          <w:p w14:paraId="54E99525" w14:textId="77777777" w:rsidR="009100C7" w:rsidRPr="009100C7" w:rsidRDefault="009100C7" w:rsidP="009100C7">
            <w:pPr>
              <w:pStyle w:val="ListParagraph"/>
              <w:numPr>
                <w:ilvl w:val="0"/>
                <w:numId w:val="1"/>
              </w:numPr>
              <w:tabs>
                <w:tab w:val="left" w:pos="606"/>
              </w:tabs>
              <w:spacing w:line="360" w:lineRule="auto"/>
              <w:ind w:left="567" w:right="283"/>
              <w:rPr>
                <w:color w:val="002060"/>
                <w:sz w:val="20"/>
                <w:szCs w:val="20"/>
              </w:rPr>
            </w:pPr>
            <w:r w:rsidRPr="009100C7">
              <w:rPr>
                <w:color w:val="002060"/>
                <w:sz w:val="20"/>
                <w:szCs w:val="20"/>
              </w:rPr>
              <w:t xml:space="preserve">Τα έσοδα από αμοιβές και προμήθειες το 2021 ανήλθαν σε €6,6 εκατ., μια ανθεκτική απόδοση, δεδομένου των περιορισμών στην οικονομική δραστηριότητα εξαιτίας της πανδημίας Covid-19 κατά το μεγαλύτερο </w:t>
            </w:r>
            <w:proofErr w:type="spellStart"/>
            <w:r w:rsidRPr="009100C7">
              <w:rPr>
                <w:color w:val="002060"/>
                <w:sz w:val="20"/>
                <w:szCs w:val="20"/>
              </w:rPr>
              <w:t>μέροςτης</w:t>
            </w:r>
            <w:proofErr w:type="spellEnd"/>
            <w:r w:rsidRPr="009100C7">
              <w:rPr>
                <w:color w:val="002060"/>
                <w:sz w:val="20"/>
                <w:szCs w:val="20"/>
              </w:rPr>
              <w:t xml:space="preserve"> περιόδου. Κύριοι συντελεστές στην ανθεκτικότητα αυτή ήταν η παραγωγή νέων δανείων καθώς και τα έσοδα από ασφαλιστικά προϊόντα.</w:t>
            </w:r>
          </w:p>
          <w:p w14:paraId="200B927F" w14:textId="77777777" w:rsidR="009100C7" w:rsidRPr="009100C7" w:rsidRDefault="009100C7" w:rsidP="00DC6567">
            <w:pPr>
              <w:tabs>
                <w:tab w:val="left" w:pos="483"/>
              </w:tabs>
              <w:spacing w:line="360" w:lineRule="auto"/>
              <w:ind w:right="283"/>
              <w:rPr>
                <w:color w:val="002060"/>
                <w:sz w:val="20"/>
                <w:szCs w:val="20"/>
              </w:rPr>
            </w:pPr>
          </w:p>
          <w:p w14:paraId="76FFD4BF" w14:textId="415D7533" w:rsidR="009100C7" w:rsidRPr="009100C7" w:rsidRDefault="009100C7" w:rsidP="009100C7">
            <w:pPr>
              <w:pStyle w:val="ListParagraph"/>
              <w:numPr>
                <w:ilvl w:val="0"/>
                <w:numId w:val="1"/>
              </w:numPr>
              <w:tabs>
                <w:tab w:val="left" w:pos="606"/>
              </w:tabs>
              <w:spacing w:line="360" w:lineRule="auto"/>
              <w:ind w:left="567" w:right="283"/>
              <w:rPr>
                <w:color w:val="002060"/>
                <w:sz w:val="20"/>
                <w:szCs w:val="20"/>
              </w:rPr>
            </w:pPr>
            <w:r w:rsidRPr="009100C7">
              <w:rPr>
                <w:color w:val="002060"/>
                <w:sz w:val="20"/>
                <w:szCs w:val="20"/>
              </w:rPr>
              <w:t xml:space="preserve">Παράλληλα, παρά την στελέχωση καίριων θέσεων, οι αμοιβές και τα έξοδα προσωπικού παρουσίασαν ανεπαίσθητη </w:t>
            </w:r>
            <w:r w:rsidR="00F03B4F">
              <w:rPr>
                <w:color w:val="002060"/>
                <w:sz w:val="20"/>
                <w:szCs w:val="20"/>
              </w:rPr>
              <w:t xml:space="preserve">μείωση </w:t>
            </w:r>
            <w:r w:rsidRPr="009100C7">
              <w:rPr>
                <w:color w:val="002060"/>
                <w:sz w:val="20"/>
                <w:szCs w:val="20"/>
              </w:rPr>
              <w:t>κατά 1,0%.</w:t>
            </w:r>
          </w:p>
          <w:p w14:paraId="4F918F95" w14:textId="77777777" w:rsidR="009100C7" w:rsidRPr="009100C7" w:rsidRDefault="009100C7" w:rsidP="00DC6567">
            <w:pPr>
              <w:pStyle w:val="ListParagraph"/>
              <w:tabs>
                <w:tab w:val="left" w:pos="606"/>
              </w:tabs>
              <w:spacing w:line="360" w:lineRule="auto"/>
              <w:ind w:left="567" w:right="283" w:firstLine="0"/>
              <w:rPr>
                <w:color w:val="002060"/>
                <w:sz w:val="20"/>
                <w:szCs w:val="20"/>
              </w:rPr>
            </w:pPr>
          </w:p>
          <w:p w14:paraId="1E3E2C0F" w14:textId="77777777" w:rsidR="009100C7" w:rsidRPr="009100C7" w:rsidRDefault="009100C7" w:rsidP="009100C7">
            <w:pPr>
              <w:pStyle w:val="ListParagraph"/>
              <w:numPr>
                <w:ilvl w:val="0"/>
                <w:numId w:val="1"/>
              </w:numPr>
              <w:tabs>
                <w:tab w:val="left" w:pos="606"/>
              </w:tabs>
              <w:spacing w:line="360" w:lineRule="auto"/>
              <w:ind w:left="567" w:right="283"/>
              <w:rPr>
                <w:color w:val="002060"/>
                <w:sz w:val="20"/>
                <w:szCs w:val="20"/>
              </w:rPr>
            </w:pPr>
            <w:r w:rsidRPr="009100C7">
              <w:rPr>
                <w:color w:val="002060"/>
                <w:sz w:val="20"/>
                <w:szCs w:val="20"/>
              </w:rPr>
              <w:t>Επιπλέον, και σε συνέχεια της ανακοίνωσης του από 13.5.2021 προγράμματος εθελούσιας εξόδου, έχει ήδη ολοκληρωθεί η πρώτη φάση του εν λόγω προγράμματος με την υποβολή 49 αιτήσεων και η ετήσια εξοικονόμηση εκτιμάται σε περίπου € 2,1 εκατ.</w:t>
            </w:r>
          </w:p>
          <w:p w14:paraId="522D08A0" w14:textId="77777777" w:rsidR="009100C7" w:rsidRPr="009100C7" w:rsidRDefault="009100C7" w:rsidP="00DC6567">
            <w:pPr>
              <w:tabs>
                <w:tab w:val="left" w:pos="483"/>
              </w:tabs>
              <w:spacing w:line="360" w:lineRule="auto"/>
              <w:ind w:right="283"/>
              <w:rPr>
                <w:color w:val="002060"/>
                <w:sz w:val="20"/>
                <w:szCs w:val="20"/>
              </w:rPr>
            </w:pPr>
          </w:p>
        </w:tc>
      </w:tr>
    </w:tbl>
    <w:p w14:paraId="7DFEE68E" w14:textId="77777777" w:rsidR="009100C7" w:rsidRDefault="009100C7" w:rsidP="009100C7">
      <w:pPr>
        <w:pStyle w:val="Heading3"/>
        <w:spacing w:before="119" w:line="276" w:lineRule="auto"/>
        <w:ind w:right="296" w:firstLine="687"/>
        <w:jc w:val="center"/>
        <w:rPr>
          <w:rFonts w:ascii="Georgia" w:eastAsia="Verdana" w:hAnsi="Georgia" w:cs="Verdana"/>
          <w:b/>
          <w:bCs/>
          <w:iCs/>
          <w:color w:val="002060"/>
          <w:sz w:val="28"/>
          <w:szCs w:val="28"/>
        </w:rPr>
      </w:pPr>
    </w:p>
    <w:p w14:paraId="38C548C1" w14:textId="77777777" w:rsidR="009100C7" w:rsidRDefault="009100C7" w:rsidP="009100C7">
      <w:pPr>
        <w:pStyle w:val="Heading3"/>
        <w:spacing w:before="119" w:line="276" w:lineRule="auto"/>
        <w:ind w:right="296" w:firstLine="687"/>
        <w:jc w:val="center"/>
        <w:rPr>
          <w:rFonts w:ascii="Georgia" w:eastAsia="Verdana" w:hAnsi="Georgia" w:cs="Verdana"/>
          <w:b/>
          <w:bCs/>
          <w:iCs/>
          <w:color w:val="002060"/>
          <w:sz w:val="28"/>
          <w:szCs w:val="28"/>
        </w:rPr>
      </w:pPr>
      <w:r w:rsidRPr="001F054C">
        <w:rPr>
          <w:rFonts w:ascii="Georgia" w:eastAsia="Verdana" w:hAnsi="Georgia" w:cs="Verdana"/>
          <w:b/>
          <w:bCs/>
          <w:iCs/>
          <w:color w:val="002060"/>
          <w:sz w:val="28"/>
          <w:szCs w:val="28"/>
        </w:rPr>
        <w:t>Ψηφιακός μετασχηματισμός Τράπεζας</w:t>
      </w:r>
    </w:p>
    <w:p w14:paraId="1A4570C2" w14:textId="77777777" w:rsidR="009100C7" w:rsidRPr="00BC5D54" w:rsidRDefault="009100C7" w:rsidP="009100C7">
      <w:pPr>
        <w:rPr>
          <w:rFonts w:ascii="Georgia" w:hAnsi="Georgia"/>
          <w:b/>
          <w:bCs/>
          <w:iCs/>
          <w:color w:val="FF0000"/>
          <w:sz w:val="28"/>
          <w:szCs w:val="28"/>
        </w:rPr>
      </w:pPr>
    </w:p>
    <w:tbl>
      <w:tblPr>
        <w:tblStyle w:val="TableGrid"/>
        <w:tblW w:w="10494" w:type="dxa"/>
        <w:tblInd w:w="-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1"/>
        <w:gridCol w:w="7683"/>
      </w:tblGrid>
      <w:tr w:rsidR="009100C7" w:rsidRPr="00BC5D54" w14:paraId="0BF48466" w14:textId="77777777" w:rsidTr="009100C7">
        <w:trPr>
          <w:trHeight w:val="1302"/>
        </w:trPr>
        <w:tc>
          <w:tcPr>
            <w:tcW w:w="2811" w:type="dxa"/>
            <w:vAlign w:val="center"/>
          </w:tcPr>
          <w:p w14:paraId="750381A3" w14:textId="77777777" w:rsidR="009100C7" w:rsidRPr="009100C7" w:rsidRDefault="009100C7" w:rsidP="00DC6567">
            <w:pPr>
              <w:tabs>
                <w:tab w:val="left" w:pos="404"/>
              </w:tabs>
              <w:spacing w:before="1" w:line="360" w:lineRule="auto"/>
              <w:ind w:right="297"/>
              <w:jc w:val="center"/>
              <w:rPr>
                <w:rFonts w:ascii="Georgia" w:hAnsi="Georgia"/>
                <w:b/>
                <w:color w:val="002060"/>
                <w:sz w:val="20"/>
                <w:szCs w:val="20"/>
              </w:rPr>
            </w:pPr>
          </w:p>
          <w:p w14:paraId="22914F24" w14:textId="77777777" w:rsidR="009100C7" w:rsidRPr="009100C7" w:rsidRDefault="009100C7" w:rsidP="00DC6567">
            <w:pPr>
              <w:tabs>
                <w:tab w:val="left" w:pos="404"/>
              </w:tabs>
              <w:spacing w:before="1" w:line="360" w:lineRule="auto"/>
              <w:ind w:right="297"/>
              <w:jc w:val="center"/>
              <w:rPr>
                <w:rFonts w:ascii="Georgia" w:hAnsi="Georgia"/>
                <w:b/>
                <w:color w:val="002060"/>
                <w:sz w:val="20"/>
                <w:szCs w:val="20"/>
              </w:rPr>
            </w:pPr>
            <w:r w:rsidRPr="009100C7">
              <w:rPr>
                <w:rFonts w:ascii="Georgia" w:hAnsi="Georgia"/>
                <w:b/>
                <w:color w:val="002060"/>
                <w:sz w:val="20"/>
                <w:szCs w:val="20"/>
              </w:rPr>
              <w:t>Αξιοσημείωτη αύξηση των ψηφιακών πληρωμών ως</w:t>
            </w:r>
          </w:p>
          <w:p w14:paraId="3B95D48C" w14:textId="77777777" w:rsidR="009100C7" w:rsidRPr="009100C7" w:rsidRDefault="009100C7" w:rsidP="00DC6567">
            <w:pPr>
              <w:tabs>
                <w:tab w:val="left" w:pos="404"/>
              </w:tabs>
              <w:spacing w:before="1" w:line="360" w:lineRule="auto"/>
              <w:ind w:right="297"/>
              <w:jc w:val="center"/>
              <w:rPr>
                <w:rFonts w:ascii="Georgia" w:hAnsi="Georgia"/>
                <w:b/>
                <w:color w:val="002060"/>
                <w:sz w:val="20"/>
                <w:szCs w:val="20"/>
              </w:rPr>
            </w:pPr>
            <w:r w:rsidRPr="009100C7">
              <w:rPr>
                <w:rFonts w:ascii="Georgia" w:hAnsi="Georgia"/>
                <w:b/>
                <w:color w:val="002060"/>
                <w:sz w:val="20"/>
                <w:szCs w:val="20"/>
              </w:rPr>
              <w:t>αποτέλεσμα του</w:t>
            </w:r>
          </w:p>
          <w:p w14:paraId="7E07C8BC" w14:textId="77777777" w:rsidR="009100C7" w:rsidRPr="009100C7" w:rsidRDefault="009100C7" w:rsidP="00DC6567">
            <w:pPr>
              <w:tabs>
                <w:tab w:val="left" w:pos="404"/>
                <w:tab w:val="left" w:pos="2171"/>
              </w:tabs>
              <w:spacing w:before="1" w:line="360" w:lineRule="auto"/>
              <w:ind w:right="297"/>
              <w:jc w:val="center"/>
              <w:rPr>
                <w:rFonts w:ascii="Georgia" w:hAnsi="Georgia"/>
                <w:b/>
                <w:color w:val="002060"/>
                <w:sz w:val="20"/>
                <w:szCs w:val="20"/>
              </w:rPr>
            </w:pPr>
            <w:r w:rsidRPr="009100C7">
              <w:rPr>
                <w:rFonts w:ascii="Georgia" w:hAnsi="Georgia"/>
                <w:b/>
                <w:color w:val="002060"/>
                <w:sz w:val="20"/>
                <w:szCs w:val="20"/>
              </w:rPr>
              <w:t>Ψηφιακού</w:t>
            </w:r>
          </w:p>
          <w:p w14:paraId="0BACD840" w14:textId="77777777" w:rsidR="009100C7" w:rsidRPr="009100C7" w:rsidRDefault="009100C7" w:rsidP="00DC6567">
            <w:pPr>
              <w:tabs>
                <w:tab w:val="left" w:pos="404"/>
              </w:tabs>
              <w:spacing w:before="1" w:line="360" w:lineRule="auto"/>
              <w:ind w:right="297"/>
              <w:jc w:val="center"/>
              <w:rPr>
                <w:rFonts w:ascii="Georgia" w:hAnsi="Georgia"/>
                <w:b/>
                <w:color w:val="002060"/>
                <w:sz w:val="20"/>
                <w:szCs w:val="20"/>
              </w:rPr>
            </w:pPr>
            <w:r w:rsidRPr="009100C7">
              <w:rPr>
                <w:rFonts w:ascii="Georgia" w:hAnsi="Georgia"/>
                <w:b/>
                <w:color w:val="002060"/>
                <w:sz w:val="20"/>
                <w:szCs w:val="20"/>
              </w:rPr>
              <w:t>Μετασχηματισμού</w:t>
            </w:r>
          </w:p>
          <w:p w14:paraId="00F0BDC9" w14:textId="77777777" w:rsidR="009100C7" w:rsidRPr="009100C7" w:rsidRDefault="009100C7" w:rsidP="00DC6567">
            <w:pPr>
              <w:tabs>
                <w:tab w:val="left" w:pos="404"/>
              </w:tabs>
              <w:spacing w:before="1" w:line="360" w:lineRule="auto"/>
              <w:ind w:right="297"/>
              <w:rPr>
                <w:b/>
                <w:color w:val="002060"/>
                <w:sz w:val="18"/>
              </w:rPr>
            </w:pPr>
          </w:p>
          <w:p w14:paraId="2EAD73C7" w14:textId="77777777" w:rsidR="009100C7" w:rsidRPr="009100C7" w:rsidRDefault="009100C7" w:rsidP="00DC6567">
            <w:pPr>
              <w:tabs>
                <w:tab w:val="left" w:pos="404"/>
              </w:tabs>
              <w:spacing w:before="1" w:line="360" w:lineRule="auto"/>
              <w:ind w:right="297"/>
              <w:rPr>
                <w:b/>
                <w:color w:val="002060"/>
                <w:sz w:val="18"/>
              </w:rPr>
            </w:pPr>
          </w:p>
          <w:p w14:paraId="4F3F7621" w14:textId="77777777" w:rsidR="009100C7" w:rsidRPr="009100C7" w:rsidRDefault="009100C7" w:rsidP="00DC6567">
            <w:pPr>
              <w:tabs>
                <w:tab w:val="left" w:pos="404"/>
              </w:tabs>
              <w:spacing w:before="1" w:line="360" w:lineRule="auto"/>
              <w:ind w:right="297"/>
              <w:rPr>
                <w:i/>
                <w:color w:val="002060"/>
                <w:sz w:val="14"/>
              </w:rPr>
            </w:pPr>
          </w:p>
        </w:tc>
        <w:tc>
          <w:tcPr>
            <w:tcW w:w="7683" w:type="dxa"/>
          </w:tcPr>
          <w:p w14:paraId="50A3B75A" w14:textId="340BE5A5" w:rsidR="009100C7" w:rsidRPr="009100C7" w:rsidRDefault="009100C7" w:rsidP="009100C7">
            <w:pPr>
              <w:pStyle w:val="ListParagraph"/>
              <w:numPr>
                <w:ilvl w:val="0"/>
                <w:numId w:val="19"/>
              </w:numPr>
              <w:tabs>
                <w:tab w:val="left" w:pos="-108"/>
              </w:tabs>
              <w:spacing w:line="360" w:lineRule="auto"/>
              <w:ind w:right="175"/>
              <w:rPr>
                <w:color w:val="002060"/>
                <w:sz w:val="20"/>
                <w:szCs w:val="20"/>
              </w:rPr>
            </w:pPr>
            <w:proofErr w:type="spellStart"/>
            <w:r w:rsidRPr="009100C7">
              <w:rPr>
                <w:color w:val="002060"/>
                <w:sz w:val="20"/>
                <w:szCs w:val="20"/>
              </w:rPr>
              <w:t>Oι</w:t>
            </w:r>
            <w:proofErr w:type="spellEnd"/>
            <w:r w:rsidRPr="009100C7">
              <w:rPr>
                <w:color w:val="002060"/>
                <w:sz w:val="20"/>
                <w:szCs w:val="20"/>
              </w:rPr>
              <w:t xml:space="preserve"> ενεργοί χρήστες e-</w:t>
            </w:r>
            <w:proofErr w:type="spellStart"/>
            <w:r w:rsidRPr="009100C7">
              <w:rPr>
                <w:color w:val="002060"/>
                <w:sz w:val="20"/>
                <w:szCs w:val="20"/>
              </w:rPr>
              <w:t>banking</w:t>
            </w:r>
            <w:proofErr w:type="spellEnd"/>
            <w:r w:rsidRPr="009100C7">
              <w:rPr>
                <w:color w:val="002060"/>
                <w:sz w:val="20"/>
                <w:szCs w:val="20"/>
              </w:rPr>
              <w:t xml:space="preserve"> αυξήθηκαν κατά 18% σε ετήσια βάση. Επιπλέον, οι ενεργοί πελάτες των ψηφιακών υπηρεσιών (</w:t>
            </w:r>
            <w:proofErr w:type="spellStart"/>
            <w:r w:rsidRPr="009100C7">
              <w:rPr>
                <w:color w:val="002060"/>
                <w:sz w:val="20"/>
                <w:szCs w:val="20"/>
              </w:rPr>
              <w:t>internet</w:t>
            </w:r>
            <w:proofErr w:type="spellEnd"/>
            <w:r w:rsidRPr="009100C7">
              <w:rPr>
                <w:color w:val="002060"/>
                <w:sz w:val="20"/>
                <w:szCs w:val="20"/>
              </w:rPr>
              <w:t xml:space="preserve"> &amp; </w:t>
            </w:r>
            <w:proofErr w:type="spellStart"/>
            <w:r w:rsidRPr="009100C7">
              <w:rPr>
                <w:color w:val="002060"/>
                <w:sz w:val="20"/>
                <w:szCs w:val="20"/>
              </w:rPr>
              <w:t>mobile</w:t>
            </w:r>
            <w:proofErr w:type="spellEnd"/>
            <w:r w:rsidRPr="009100C7">
              <w:rPr>
                <w:color w:val="002060"/>
                <w:sz w:val="20"/>
                <w:szCs w:val="20"/>
              </w:rPr>
              <w:t xml:space="preserve"> </w:t>
            </w:r>
            <w:proofErr w:type="spellStart"/>
            <w:r w:rsidRPr="009100C7">
              <w:rPr>
                <w:color w:val="002060"/>
                <w:sz w:val="20"/>
                <w:szCs w:val="20"/>
              </w:rPr>
              <w:t>banking</w:t>
            </w:r>
            <w:proofErr w:type="spellEnd"/>
            <w:r w:rsidRPr="009100C7">
              <w:rPr>
                <w:color w:val="002060"/>
                <w:sz w:val="20"/>
                <w:szCs w:val="20"/>
              </w:rPr>
              <w:t>) της Attica Bank για το α’ εξάμηνο του 2021 σημείωσαν αξιόλογη αύξηση που ανήλθε σε 25% σε σχέση με την αντίστοιχη χρήση του 2020.</w:t>
            </w:r>
          </w:p>
          <w:p w14:paraId="33BDD44F" w14:textId="77777777" w:rsidR="009100C7" w:rsidRPr="009100C7" w:rsidRDefault="009100C7" w:rsidP="009100C7">
            <w:pPr>
              <w:pStyle w:val="ListParagraph"/>
              <w:tabs>
                <w:tab w:val="left" w:pos="-108"/>
              </w:tabs>
              <w:spacing w:line="360" w:lineRule="auto"/>
              <w:ind w:left="-108" w:right="283" w:firstLine="0"/>
              <w:rPr>
                <w:color w:val="002060"/>
                <w:sz w:val="20"/>
                <w:szCs w:val="20"/>
              </w:rPr>
            </w:pPr>
          </w:p>
          <w:p w14:paraId="1486A1A9" w14:textId="0EC26B7F" w:rsidR="009100C7" w:rsidRPr="009100C7" w:rsidRDefault="009100C7" w:rsidP="009100C7">
            <w:pPr>
              <w:pStyle w:val="ListParagraph"/>
              <w:numPr>
                <w:ilvl w:val="0"/>
                <w:numId w:val="19"/>
              </w:numPr>
              <w:tabs>
                <w:tab w:val="left" w:pos="-108"/>
              </w:tabs>
              <w:spacing w:line="360" w:lineRule="auto"/>
              <w:ind w:right="283"/>
              <w:rPr>
                <w:color w:val="002060"/>
                <w:sz w:val="18"/>
              </w:rPr>
            </w:pPr>
            <w:r w:rsidRPr="009100C7">
              <w:rPr>
                <w:color w:val="002060"/>
                <w:sz w:val="20"/>
                <w:szCs w:val="20"/>
              </w:rPr>
              <w:t>Το ποσοστό των συναλλαγών που πραγματοποιήθηκαν από πελάτες μέσω των ψηφιακών δικτύων της Τράπεζας (e-</w:t>
            </w:r>
            <w:proofErr w:type="spellStart"/>
            <w:r w:rsidRPr="009100C7">
              <w:rPr>
                <w:color w:val="002060"/>
                <w:sz w:val="20"/>
                <w:szCs w:val="20"/>
              </w:rPr>
              <w:t>banking</w:t>
            </w:r>
            <w:proofErr w:type="spellEnd"/>
            <w:r w:rsidRPr="009100C7">
              <w:rPr>
                <w:color w:val="002060"/>
                <w:sz w:val="20"/>
                <w:szCs w:val="20"/>
              </w:rPr>
              <w:t xml:space="preserve"> &amp; m-</w:t>
            </w:r>
            <w:proofErr w:type="spellStart"/>
            <w:r w:rsidRPr="009100C7">
              <w:rPr>
                <w:color w:val="002060"/>
                <w:sz w:val="20"/>
                <w:szCs w:val="20"/>
              </w:rPr>
              <w:t>banking</w:t>
            </w:r>
            <w:proofErr w:type="spellEnd"/>
            <w:r w:rsidRPr="009100C7">
              <w:rPr>
                <w:color w:val="002060"/>
                <w:sz w:val="20"/>
                <w:szCs w:val="20"/>
              </w:rPr>
              <w:t xml:space="preserve">) αυξήθηκε κατά 34,5% σε ετήσια βάση. Ειδικά, οι διενεργούμενες συναλλαγές μέσω </w:t>
            </w:r>
            <w:proofErr w:type="spellStart"/>
            <w:r w:rsidRPr="009100C7">
              <w:rPr>
                <w:color w:val="002060"/>
                <w:sz w:val="20"/>
                <w:szCs w:val="20"/>
              </w:rPr>
              <w:t>mobile</w:t>
            </w:r>
            <w:proofErr w:type="spellEnd"/>
            <w:r w:rsidRPr="009100C7">
              <w:rPr>
                <w:color w:val="002060"/>
                <w:sz w:val="20"/>
                <w:szCs w:val="20"/>
              </w:rPr>
              <w:t xml:space="preserve"> </w:t>
            </w:r>
            <w:proofErr w:type="spellStart"/>
            <w:r w:rsidRPr="009100C7">
              <w:rPr>
                <w:color w:val="002060"/>
                <w:sz w:val="20"/>
                <w:szCs w:val="20"/>
              </w:rPr>
              <w:t>banking</w:t>
            </w:r>
            <w:proofErr w:type="spellEnd"/>
            <w:r w:rsidRPr="009100C7">
              <w:rPr>
                <w:color w:val="002060"/>
                <w:sz w:val="20"/>
                <w:szCs w:val="20"/>
              </w:rPr>
              <w:t xml:space="preserve"> παρουσίασαν ετήσια αύξηση 110%. </w:t>
            </w:r>
          </w:p>
        </w:tc>
      </w:tr>
    </w:tbl>
    <w:p w14:paraId="3E87F2C7" w14:textId="77777777" w:rsidR="009100C7" w:rsidRPr="00BC5D54" w:rsidRDefault="009100C7" w:rsidP="009100C7">
      <w:pPr>
        <w:rPr>
          <w:color w:val="FF0000"/>
        </w:rPr>
      </w:pPr>
      <w:r w:rsidRPr="00BC5D54">
        <w:rPr>
          <w:color w:val="FF0000"/>
        </w:rPr>
        <w:br w:type="page"/>
      </w:r>
    </w:p>
    <w:p w14:paraId="00799F34" w14:textId="77777777" w:rsidR="009100C7" w:rsidRPr="00A32A8E" w:rsidRDefault="009100C7" w:rsidP="009100C7">
      <w:pPr>
        <w:jc w:val="center"/>
        <w:rPr>
          <w:rFonts w:ascii="Georgia" w:hAnsi="Georgia"/>
          <w:b/>
          <w:bCs/>
          <w:iCs/>
          <w:color w:val="002060"/>
          <w:sz w:val="28"/>
          <w:szCs w:val="28"/>
        </w:rPr>
      </w:pPr>
      <w:r w:rsidRPr="001F054C">
        <w:rPr>
          <w:rFonts w:ascii="Georgia" w:hAnsi="Georgia"/>
          <w:b/>
          <w:bCs/>
          <w:iCs/>
          <w:color w:val="002060"/>
          <w:sz w:val="28"/>
          <w:szCs w:val="28"/>
        </w:rPr>
        <w:lastRenderedPageBreak/>
        <w:t>Συνοπτικά Οικονομικά Στοιχεία</w:t>
      </w:r>
    </w:p>
    <w:p w14:paraId="54DD3860" w14:textId="7885D00B" w:rsidR="009100C7" w:rsidRDefault="009100C7" w:rsidP="009100C7">
      <w:pPr>
        <w:pStyle w:val="BodyText"/>
        <w:rPr>
          <w:rFonts w:asciiTheme="minorHAnsi" w:eastAsiaTheme="minorHAnsi" w:hAnsiTheme="minorHAnsi" w:cstheme="minorBidi"/>
          <w:sz w:val="22"/>
          <w:szCs w:val="22"/>
          <w:lang w:val="en-US"/>
        </w:rPr>
      </w:pPr>
      <w:r>
        <w:rPr>
          <w:sz w:val="18"/>
        </w:rPr>
        <w:fldChar w:fldCharType="begin"/>
      </w:r>
      <w:r>
        <w:instrText xml:space="preserve"> LINK </w:instrText>
      </w:r>
      <w:r w:rsidR="000D1BEC">
        <w:instrText xml:space="preserve">Excel.Sheet.12 "\\\\atticaserver\\Investor Relations Common\\PRESENTATIONS\\ΠΑΡΟΥΣΙΑΣΕΙΣ ΑΠΟΤΕΛΕΣΜΑΤΩΝ\\2021\\H1 2021\\Η1 2021_Financial data_new.xlsx" "P&amp;L for Press Release!R3C2:R14C6" </w:instrText>
      </w:r>
      <w:r>
        <w:instrText xml:space="preserve">\a \f 4 \h  \* MERGEFORMAT </w:instrText>
      </w:r>
      <w:r>
        <w:rPr>
          <w:sz w:val="18"/>
        </w:rPr>
        <w:fldChar w:fldCharType="separate"/>
      </w:r>
    </w:p>
    <w:tbl>
      <w:tblPr>
        <w:tblW w:w="8761" w:type="dxa"/>
        <w:jc w:val="center"/>
        <w:tblLook w:val="04A0" w:firstRow="1" w:lastRow="0" w:firstColumn="1" w:lastColumn="0" w:noHBand="0" w:noVBand="1"/>
      </w:tblPr>
      <w:tblGrid>
        <w:gridCol w:w="2760"/>
        <w:gridCol w:w="1400"/>
        <w:gridCol w:w="1900"/>
        <w:gridCol w:w="1120"/>
        <w:gridCol w:w="1581"/>
      </w:tblGrid>
      <w:tr w:rsidR="009100C7" w:rsidRPr="00F13D81" w14:paraId="5CC76F58" w14:textId="77777777" w:rsidTr="00DC6567">
        <w:trPr>
          <w:trHeight w:val="255"/>
          <w:jc w:val="center"/>
        </w:trPr>
        <w:tc>
          <w:tcPr>
            <w:tcW w:w="2760" w:type="dxa"/>
            <w:tcBorders>
              <w:top w:val="single" w:sz="4" w:space="0" w:color="auto"/>
              <w:left w:val="single" w:sz="4" w:space="0" w:color="auto"/>
              <w:bottom w:val="nil"/>
              <w:right w:val="nil"/>
            </w:tcBorders>
            <w:shd w:val="clear" w:color="000000" w:fill="2F3E80"/>
            <w:vAlign w:val="center"/>
            <w:hideMark/>
          </w:tcPr>
          <w:p w14:paraId="45C89457" w14:textId="77777777" w:rsidR="009100C7" w:rsidRPr="00F13D81" w:rsidRDefault="009100C7" w:rsidP="00DC6567">
            <w:pPr>
              <w:widowControl/>
              <w:autoSpaceDE/>
              <w:autoSpaceDN/>
              <w:jc w:val="center"/>
              <w:rPr>
                <w:rFonts w:eastAsia="Times New Roman"/>
                <w:i/>
                <w:iCs/>
                <w:color w:val="FFFFFF"/>
                <w:sz w:val="18"/>
                <w:szCs w:val="18"/>
                <w:lang w:eastAsia="el-GR"/>
              </w:rPr>
            </w:pPr>
            <w:r w:rsidRPr="00F13D81">
              <w:rPr>
                <w:rFonts w:eastAsia="Times New Roman"/>
                <w:i/>
                <w:iCs/>
                <w:color w:val="FFFFFF"/>
                <w:sz w:val="18"/>
                <w:szCs w:val="18"/>
                <w:lang w:eastAsia="el-GR"/>
              </w:rPr>
              <w:t>Ποσά σε εκατ. Ευρώ</w:t>
            </w:r>
          </w:p>
        </w:tc>
        <w:tc>
          <w:tcPr>
            <w:tcW w:w="1400" w:type="dxa"/>
            <w:vMerge w:val="restart"/>
            <w:tcBorders>
              <w:top w:val="single" w:sz="4" w:space="0" w:color="auto"/>
              <w:left w:val="nil"/>
              <w:bottom w:val="single" w:sz="4" w:space="0" w:color="000000"/>
              <w:right w:val="nil"/>
            </w:tcBorders>
            <w:shd w:val="clear" w:color="000000" w:fill="2F3E80"/>
            <w:vAlign w:val="center"/>
            <w:hideMark/>
          </w:tcPr>
          <w:p w14:paraId="3AEFAE43" w14:textId="77777777" w:rsidR="009100C7" w:rsidRPr="00F13D81" w:rsidRDefault="009100C7" w:rsidP="00DC6567">
            <w:pPr>
              <w:widowControl/>
              <w:autoSpaceDE/>
              <w:autoSpaceDN/>
              <w:jc w:val="center"/>
              <w:rPr>
                <w:rFonts w:eastAsia="Times New Roman"/>
                <w:b/>
                <w:bCs/>
                <w:color w:val="FFFFFF"/>
                <w:sz w:val="18"/>
                <w:szCs w:val="18"/>
                <w:lang w:eastAsia="el-GR"/>
              </w:rPr>
            </w:pPr>
            <w:r w:rsidRPr="00F13D81">
              <w:rPr>
                <w:rFonts w:eastAsia="Times New Roman"/>
                <w:b/>
                <w:bCs/>
                <w:color w:val="FFFFFF"/>
                <w:sz w:val="18"/>
                <w:szCs w:val="18"/>
                <w:lang w:eastAsia="el-GR"/>
              </w:rPr>
              <w:t>Ιουν-21</w:t>
            </w:r>
          </w:p>
        </w:tc>
        <w:tc>
          <w:tcPr>
            <w:tcW w:w="1900" w:type="dxa"/>
            <w:vMerge w:val="restart"/>
            <w:tcBorders>
              <w:top w:val="single" w:sz="4" w:space="0" w:color="auto"/>
              <w:left w:val="nil"/>
              <w:bottom w:val="single" w:sz="4" w:space="0" w:color="000000"/>
              <w:right w:val="nil"/>
            </w:tcBorders>
            <w:shd w:val="clear" w:color="000000" w:fill="2F3E80"/>
            <w:vAlign w:val="center"/>
            <w:hideMark/>
          </w:tcPr>
          <w:p w14:paraId="17FD2652" w14:textId="77777777" w:rsidR="009100C7" w:rsidRPr="00F13D81" w:rsidRDefault="009100C7" w:rsidP="00DC6567">
            <w:pPr>
              <w:widowControl/>
              <w:autoSpaceDE/>
              <w:autoSpaceDN/>
              <w:jc w:val="center"/>
              <w:rPr>
                <w:rFonts w:eastAsia="Times New Roman"/>
                <w:b/>
                <w:bCs/>
                <w:color w:val="FFFFFF"/>
                <w:sz w:val="18"/>
                <w:szCs w:val="18"/>
                <w:lang w:eastAsia="el-GR"/>
              </w:rPr>
            </w:pPr>
            <w:r w:rsidRPr="00F13D81">
              <w:rPr>
                <w:rFonts w:eastAsia="Times New Roman"/>
                <w:b/>
                <w:bCs/>
                <w:color w:val="FFFFFF"/>
                <w:sz w:val="18"/>
                <w:szCs w:val="18"/>
                <w:lang w:eastAsia="el-GR"/>
              </w:rPr>
              <w:t>Ιουν-20</w:t>
            </w:r>
          </w:p>
        </w:tc>
        <w:tc>
          <w:tcPr>
            <w:tcW w:w="1120" w:type="dxa"/>
            <w:vMerge w:val="restart"/>
            <w:tcBorders>
              <w:top w:val="single" w:sz="4" w:space="0" w:color="auto"/>
              <w:left w:val="nil"/>
              <w:bottom w:val="single" w:sz="4" w:space="0" w:color="000000"/>
              <w:right w:val="nil"/>
            </w:tcBorders>
            <w:shd w:val="clear" w:color="000000" w:fill="2F3E80"/>
            <w:vAlign w:val="center"/>
            <w:hideMark/>
          </w:tcPr>
          <w:p w14:paraId="65B3D36E" w14:textId="77777777" w:rsidR="009100C7" w:rsidRPr="00F13D81" w:rsidRDefault="009100C7" w:rsidP="00DC6567">
            <w:pPr>
              <w:widowControl/>
              <w:autoSpaceDE/>
              <w:autoSpaceDN/>
              <w:jc w:val="center"/>
              <w:rPr>
                <w:rFonts w:eastAsia="Times New Roman"/>
                <w:b/>
                <w:bCs/>
                <w:color w:val="FFFFFF"/>
                <w:sz w:val="18"/>
                <w:szCs w:val="18"/>
                <w:lang w:eastAsia="el-GR"/>
              </w:rPr>
            </w:pPr>
            <w:r w:rsidRPr="00F13D81">
              <w:rPr>
                <w:rFonts w:eastAsia="Times New Roman"/>
                <w:b/>
                <w:bCs/>
                <w:color w:val="FFFFFF"/>
                <w:sz w:val="18"/>
                <w:szCs w:val="18"/>
                <w:lang w:eastAsia="el-GR"/>
              </w:rPr>
              <w:t>Δ EUR</w:t>
            </w:r>
          </w:p>
        </w:tc>
        <w:tc>
          <w:tcPr>
            <w:tcW w:w="1581" w:type="dxa"/>
            <w:vMerge w:val="restart"/>
            <w:tcBorders>
              <w:top w:val="single" w:sz="4" w:space="0" w:color="auto"/>
              <w:left w:val="nil"/>
              <w:bottom w:val="single" w:sz="4" w:space="0" w:color="000000"/>
              <w:right w:val="single" w:sz="4" w:space="0" w:color="auto"/>
            </w:tcBorders>
            <w:shd w:val="clear" w:color="000000" w:fill="2F3E80"/>
            <w:vAlign w:val="center"/>
            <w:hideMark/>
          </w:tcPr>
          <w:p w14:paraId="3EC31347" w14:textId="77777777" w:rsidR="009100C7" w:rsidRPr="00F13D81" w:rsidRDefault="009100C7" w:rsidP="00DC6567">
            <w:pPr>
              <w:widowControl/>
              <w:autoSpaceDE/>
              <w:autoSpaceDN/>
              <w:jc w:val="center"/>
              <w:rPr>
                <w:rFonts w:eastAsia="Times New Roman"/>
                <w:b/>
                <w:bCs/>
                <w:color w:val="FFFFFF"/>
                <w:sz w:val="18"/>
                <w:szCs w:val="18"/>
                <w:lang w:eastAsia="el-GR"/>
              </w:rPr>
            </w:pPr>
            <w:r w:rsidRPr="00F13D81">
              <w:rPr>
                <w:rFonts w:eastAsia="Times New Roman"/>
                <w:b/>
                <w:bCs/>
                <w:color w:val="FFFFFF"/>
                <w:sz w:val="18"/>
                <w:szCs w:val="18"/>
                <w:lang w:eastAsia="el-GR"/>
              </w:rPr>
              <w:t>Δ %</w:t>
            </w:r>
          </w:p>
        </w:tc>
      </w:tr>
      <w:tr w:rsidR="009100C7" w:rsidRPr="00F13D81" w14:paraId="5DD0D227" w14:textId="77777777" w:rsidTr="00DC6567">
        <w:trPr>
          <w:trHeight w:val="255"/>
          <w:jc w:val="center"/>
        </w:trPr>
        <w:tc>
          <w:tcPr>
            <w:tcW w:w="2760" w:type="dxa"/>
            <w:tcBorders>
              <w:top w:val="nil"/>
              <w:left w:val="single" w:sz="4" w:space="0" w:color="auto"/>
              <w:bottom w:val="nil"/>
              <w:right w:val="nil"/>
            </w:tcBorders>
            <w:shd w:val="clear" w:color="000000" w:fill="2F3E80"/>
            <w:vAlign w:val="center"/>
            <w:hideMark/>
          </w:tcPr>
          <w:p w14:paraId="6A077A07" w14:textId="77777777" w:rsidR="009100C7" w:rsidRPr="00F13D81" w:rsidRDefault="009100C7" w:rsidP="00DC6567">
            <w:pPr>
              <w:widowControl/>
              <w:autoSpaceDE/>
              <w:autoSpaceDN/>
              <w:jc w:val="center"/>
              <w:rPr>
                <w:rFonts w:eastAsia="Times New Roman"/>
                <w:b/>
                <w:bCs/>
                <w:color w:val="FFFFFF"/>
                <w:sz w:val="18"/>
                <w:szCs w:val="18"/>
                <w:lang w:eastAsia="el-GR"/>
              </w:rPr>
            </w:pPr>
            <w:r w:rsidRPr="00F13D81">
              <w:rPr>
                <w:rFonts w:eastAsia="Times New Roman"/>
                <w:b/>
                <w:bCs/>
                <w:color w:val="FFFFFF"/>
                <w:sz w:val="18"/>
                <w:szCs w:val="18"/>
                <w:lang w:eastAsia="el-GR"/>
              </w:rPr>
              <w:t>Κατάσταση αποτελεσμάτων</w:t>
            </w:r>
          </w:p>
        </w:tc>
        <w:tc>
          <w:tcPr>
            <w:tcW w:w="1400" w:type="dxa"/>
            <w:vMerge/>
            <w:tcBorders>
              <w:top w:val="single" w:sz="4" w:space="0" w:color="auto"/>
              <w:left w:val="nil"/>
              <w:bottom w:val="single" w:sz="4" w:space="0" w:color="000000"/>
              <w:right w:val="nil"/>
            </w:tcBorders>
            <w:vAlign w:val="center"/>
            <w:hideMark/>
          </w:tcPr>
          <w:p w14:paraId="3BE1506F" w14:textId="77777777" w:rsidR="009100C7" w:rsidRPr="00F13D81" w:rsidRDefault="009100C7" w:rsidP="00DC6567">
            <w:pPr>
              <w:widowControl/>
              <w:autoSpaceDE/>
              <w:autoSpaceDN/>
              <w:rPr>
                <w:rFonts w:eastAsia="Times New Roman"/>
                <w:b/>
                <w:bCs/>
                <w:color w:val="FFFFFF"/>
                <w:sz w:val="18"/>
                <w:szCs w:val="18"/>
                <w:lang w:eastAsia="el-GR"/>
              </w:rPr>
            </w:pPr>
          </w:p>
        </w:tc>
        <w:tc>
          <w:tcPr>
            <w:tcW w:w="1900" w:type="dxa"/>
            <w:vMerge/>
            <w:tcBorders>
              <w:top w:val="single" w:sz="4" w:space="0" w:color="auto"/>
              <w:left w:val="nil"/>
              <w:bottom w:val="single" w:sz="4" w:space="0" w:color="000000"/>
              <w:right w:val="nil"/>
            </w:tcBorders>
            <w:vAlign w:val="center"/>
            <w:hideMark/>
          </w:tcPr>
          <w:p w14:paraId="4DD78FC2" w14:textId="77777777" w:rsidR="009100C7" w:rsidRPr="00F13D81" w:rsidRDefault="009100C7" w:rsidP="00DC6567">
            <w:pPr>
              <w:widowControl/>
              <w:autoSpaceDE/>
              <w:autoSpaceDN/>
              <w:rPr>
                <w:rFonts w:eastAsia="Times New Roman"/>
                <w:b/>
                <w:bCs/>
                <w:color w:val="FFFFFF"/>
                <w:sz w:val="18"/>
                <w:szCs w:val="18"/>
                <w:lang w:eastAsia="el-GR"/>
              </w:rPr>
            </w:pPr>
          </w:p>
        </w:tc>
        <w:tc>
          <w:tcPr>
            <w:tcW w:w="1120" w:type="dxa"/>
            <w:vMerge/>
            <w:tcBorders>
              <w:top w:val="single" w:sz="4" w:space="0" w:color="auto"/>
              <w:left w:val="nil"/>
              <w:bottom w:val="single" w:sz="4" w:space="0" w:color="000000"/>
              <w:right w:val="nil"/>
            </w:tcBorders>
            <w:vAlign w:val="center"/>
            <w:hideMark/>
          </w:tcPr>
          <w:p w14:paraId="61B2F2B8" w14:textId="77777777" w:rsidR="009100C7" w:rsidRPr="00F13D81" w:rsidRDefault="009100C7" w:rsidP="00DC6567">
            <w:pPr>
              <w:widowControl/>
              <w:autoSpaceDE/>
              <w:autoSpaceDN/>
              <w:rPr>
                <w:rFonts w:eastAsia="Times New Roman"/>
                <w:b/>
                <w:bCs/>
                <w:color w:val="FFFFFF"/>
                <w:sz w:val="18"/>
                <w:szCs w:val="18"/>
                <w:lang w:eastAsia="el-GR"/>
              </w:rPr>
            </w:pPr>
          </w:p>
        </w:tc>
        <w:tc>
          <w:tcPr>
            <w:tcW w:w="1581" w:type="dxa"/>
            <w:vMerge/>
            <w:tcBorders>
              <w:top w:val="single" w:sz="4" w:space="0" w:color="auto"/>
              <w:left w:val="nil"/>
              <w:bottom w:val="single" w:sz="4" w:space="0" w:color="000000"/>
              <w:right w:val="single" w:sz="4" w:space="0" w:color="auto"/>
            </w:tcBorders>
            <w:vAlign w:val="center"/>
            <w:hideMark/>
          </w:tcPr>
          <w:p w14:paraId="2916769B" w14:textId="77777777" w:rsidR="009100C7" w:rsidRPr="00F13D81" w:rsidRDefault="009100C7" w:rsidP="00DC6567">
            <w:pPr>
              <w:widowControl/>
              <w:autoSpaceDE/>
              <w:autoSpaceDN/>
              <w:rPr>
                <w:rFonts w:eastAsia="Times New Roman"/>
                <w:b/>
                <w:bCs/>
                <w:color w:val="FFFFFF"/>
                <w:sz w:val="18"/>
                <w:szCs w:val="18"/>
                <w:lang w:eastAsia="el-GR"/>
              </w:rPr>
            </w:pPr>
          </w:p>
        </w:tc>
      </w:tr>
      <w:tr w:rsidR="009100C7" w:rsidRPr="00F13D81" w14:paraId="641B0C00" w14:textId="77777777" w:rsidTr="00DC6567">
        <w:trPr>
          <w:trHeight w:val="435"/>
          <w:jc w:val="center"/>
        </w:trPr>
        <w:tc>
          <w:tcPr>
            <w:tcW w:w="2760" w:type="dxa"/>
            <w:tcBorders>
              <w:top w:val="single" w:sz="4" w:space="0" w:color="auto"/>
              <w:left w:val="single" w:sz="4" w:space="0" w:color="auto"/>
              <w:bottom w:val="nil"/>
              <w:right w:val="nil"/>
            </w:tcBorders>
            <w:shd w:val="clear" w:color="auto" w:fill="auto"/>
            <w:vAlign w:val="center"/>
            <w:hideMark/>
          </w:tcPr>
          <w:p w14:paraId="2F1B04B3" w14:textId="77777777" w:rsidR="009100C7" w:rsidRPr="00F13D81" w:rsidRDefault="009100C7" w:rsidP="00DC6567">
            <w:pPr>
              <w:widowControl/>
              <w:autoSpaceDE/>
              <w:autoSpaceDN/>
              <w:rPr>
                <w:rFonts w:eastAsia="Times New Roman"/>
                <w:b/>
                <w:bCs/>
                <w:color w:val="002060"/>
                <w:sz w:val="18"/>
                <w:szCs w:val="18"/>
                <w:lang w:eastAsia="el-GR"/>
              </w:rPr>
            </w:pPr>
            <w:r w:rsidRPr="00F13D81">
              <w:rPr>
                <w:rFonts w:eastAsia="Times New Roman"/>
                <w:b/>
                <w:bCs/>
                <w:color w:val="002060"/>
                <w:sz w:val="18"/>
                <w:szCs w:val="18"/>
                <w:lang w:eastAsia="el-GR"/>
              </w:rPr>
              <w:t>Καθαρά έσοδα από τόκους</w:t>
            </w:r>
          </w:p>
        </w:tc>
        <w:tc>
          <w:tcPr>
            <w:tcW w:w="1400" w:type="dxa"/>
            <w:tcBorders>
              <w:top w:val="nil"/>
              <w:left w:val="nil"/>
              <w:bottom w:val="nil"/>
              <w:right w:val="nil"/>
            </w:tcBorders>
            <w:shd w:val="clear" w:color="auto" w:fill="auto"/>
            <w:vAlign w:val="center"/>
            <w:hideMark/>
          </w:tcPr>
          <w:p w14:paraId="3A901B66"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28.78</w:t>
            </w:r>
          </w:p>
        </w:tc>
        <w:tc>
          <w:tcPr>
            <w:tcW w:w="1900" w:type="dxa"/>
            <w:tcBorders>
              <w:top w:val="nil"/>
              <w:left w:val="nil"/>
              <w:bottom w:val="nil"/>
              <w:right w:val="nil"/>
            </w:tcBorders>
            <w:shd w:val="clear" w:color="auto" w:fill="auto"/>
            <w:vAlign w:val="center"/>
            <w:hideMark/>
          </w:tcPr>
          <w:p w14:paraId="4577DFC3"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23.63</w:t>
            </w:r>
          </w:p>
        </w:tc>
        <w:tc>
          <w:tcPr>
            <w:tcW w:w="1120" w:type="dxa"/>
            <w:tcBorders>
              <w:top w:val="nil"/>
              <w:left w:val="nil"/>
              <w:bottom w:val="nil"/>
              <w:right w:val="nil"/>
            </w:tcBorders>
            <w:shd w:val="clear" w:color="auto" w:fill="auto"/>
            <w:vAlign w:val="center"/>
            <w:hideMark/>
          </w:tcPr>
          <w:p w14:paraId="22D00F2A"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5.16</w:t>
            </w:r>
          </w:p>
        </w:tc>
        <w:tc>
          <w:tcPr>
            <w:tcW w:w="1581" w:type="dxa"/>
            <w:tcBorders>
              <w:top w:val="single" w:sz="4" w:space="0" w:color="auto"/>
              <w:left w:val="nil"/>
              <w:bottom w:val="nil"/>
              <w:right w:val="single" w:sz="4" w:space="0" w:color="auto"/>
            </w:tcBorders>
            <w:shd w:val="clear" w:color="auto" w:fill="auto"/>
            <w:vAlign w:val="center"/>
            <w:hideMark/>
          </w:tcPr>
          <w:p w14:paraId="22E27123"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21.8%</w:t>
            </w:r>
          </w:p>
        </w:tc>
      </w:tr>
      <w:tr w:rsidR="009100C7" w:rsidRPr="00F13D81" w14:paraId="391F1E72" w14:textId="77777777" w:rsidTr="00DC6567">
        <w:trPr>
          <w:trHeight w:val="540"/>
          <w:jc w:val="center"/>
        </w:trPr>
        <w:tc>
          <w:tcPr>
            <w:tcW w:w="2760" w:type="dxa"/>
            <w:tcBorders>
              <w:top w:val="nil"/>
              <w:left w:val="single" w:sz="4" w:space="0" w:color="auto"/>
              <w:bottom w:val="nil"/>
              <w:right w:val="nil"/>
            </w:tcBorders>
            <w:shd w:val="clear" w:color="auto" w:fill="auto"/>
            <w:vAlign w:val="center"/>
            <w:hideMark/>
          </w:tcPr>
          <w:p w14:paraId="7CA8565B" w14:textId="77777777" w:rsidR="009100C7" w:rsidRPr="00F13D81" w:rsidRDefault="009100C7" w:rsidP="00DC6567">
            <w:pPr>
              <w:widowControl/>
              <w:autoSpaceDE/>
              <w:autoSpaceDN/>
              <w:rPr>
                <w:rFonts w:eastAsia="Times New Roman"/>
                <w:b/>
                <w:bCs/>
                <w:color w:val="002060"/>
                <w:sz w:val="18"/>
                <w:szCs w:val="18"/>
                <w:lang w:eastAsia="el-GR"/>
              </w:rPr>
            </w:pPr>
            <w:r w:rsidRPr="00F13D81">
              <w:rPr>
                <w:rFonts w:eastAsia="Times New Roman"/>
                <w:b/>
                <w:bCs/>
                <w:color w:val="002060"/>
                <w:sz w:val="18"/>
                <w:szCs w:val="18"/>
                <w:lang w:eastAsia="el-GR"/>
              </w:rPr>
              <w:t>Καθαρά έσοδα προμηθειών</w:t>
            </w:r>
          </w:p>
        </w:tc>
        <w:tc>
          <w:tcPr>
            <w:tcW w:w="1400" w:type="dxa"/>
            <w:tcBorders>
              <w:top w:val="nil"/>
              <w:left w:val="nil"/>
              <w:bottom w:val="nil"/>
              <w:right w:val="nil"/>
            </w:tcBorders>
            <w:shd w:val="clear" w:color="auto" w:fill="auto"/>
            <w:vAlign w:val="center"/>
            <w:hideMark/>
          </w:tcPr>
          <w:p w14:paraId="6105D2A6"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2.01</w:t>
            </w:r>
          </w:p>
        </w:tc>
        <w:tc>
          <w:tcPr>
            <w:tcW w:w="1900" w:type="dxa"/>
            <w:tcBorders>
              <w:top w:val="nil"/>
              <w:left w:val="nil"/>
              <w:bottom w:val="nil"/>
              <w:right w:val="nil"/>
            </w:tcBorders>
            <w:shd w:val="clear" w:color="auto" w:fill="auto"/>
            <w:vAlign w:val="center"/>
            <w:hideMark/>
          </w:tcPr>
          <w:p w14:paraId="376F123B"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1.33</w:t>
            </w:r>
          </w:p>
        </w:tc>
        <w:tc>
          <w:tcPr>
            <w:tcW w:w="1120" w:type="dxa"/>
            <w:tcBorders>
              <w:top w:val="nil"/>
              <w:left w:val="nil"/>
              <w:bottom w:val="nil"/>
              <w:right w:val="nil"/>
            </w:tcBorders>
            <w:shd w:val="clear" w:color="auto" w:fill="auto"/>
            <w:vAlign w:val="center"/>
            <w:hideMark/>
          </w:tcPr>
          <w:p w14:paraId="3B1B38CD"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0.68</w:t>
            </w:r>
          </w:p>
        </w:tc>
        <w:tc>
          <w:tcPr>
            <w:tcW w:w="1581" w:type="dxa"/>
            <w:tcBorders>
              <w:top w:val="nil"/>
              <w:left w:val="nil"/>
              <w:bottom w:val="nil"/>
              <w:right w:val="single" w:sz="4" w:space="0" w:color="auto"/>
            </w:tcBorders>
            <w:shd w:val="clear" w:color="auto" w:fill="auto"/>
            <w:vAlign w:val="center"/>
            <w:hideMark/>
          </w:tcPr>
          <w:p w14:paraId="1E5EE25F"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51.2%</w:t>
            </w:r>
          </w:p>
        </w:tc>
      </w:tr>
      <w:tr w:rsidR="009100C7" w:rsidRPr="00F13D81" w14:paraId="0C231C87" w14:textId="77777777" w:rsidTr="00DC6567">
        <w:trPr>
          <w:trHeight w:val="675"/>
          <w:jc w:val="center"/>
        </w:trPr>
        <w:tc>
          <w:tcPr>
            <w:tcW w:w="2760" w:type="dxa"/>
            <w:tcBorders>
              <w:top w:val="nil"/>
              <w:left w:val="single" w:sz="4" w:space="0" w:color="auto"/>
              <w:bottom w:val="nil"/>
              <w:right w:val="nil"/>
            </w:tcBorders>
            <w:shd w:val="clear" w:color="auto" w:fill="auto"/>
            <w:vAlign w:val="center"/>
            <w:hideMark/>
          </w:tcPr>
          <w:p w14:paraId="79DFBD46" w14:textId="77777777" w:rsidR="009100C7" w:rsidRPr="00F13D81" w:rsidRDefault="009100C7" w:rsidP="00DC6567">
            <w:pPr>
              <w:widowControl/>
              <w:autoSpaceDE/>
              <w:autoSpaceDN/>
              <w:rPr>
                <w:rFonts w:eastAsia="Times New Roman"/>
                <w:b/>
                <w:bCs/>
                <w:color w:val="002060"/>
                <w:sz w:val="18"/>
                <w:szCs w:val="18"/>
                <w:lang w:eastAsia="el-GR"/>
              </w:rPr>
            </w:pPr>
            <w:r w:rsidRPr="00F13D81">
              <w:rPr>
                <w:rFonts w:eastAsia="Times New Roman"/>
                <w:b/>
                <w:bCs/>
                <w:color w:val="002060"/>
                <w:sz w:val="18"/>
                <w:szCs w:val="18"/>
                <w:lang w:eastAsia="el-GR"/>
              </w:rPr>
              <w:t>Σύνολο λειτουργικών εσόδων</w:t>
            </w:r>
          </w:p>
        </w:tc>
        <w:tc>
          <w:tcPr>
            <w:tcW w:w="1400" w:type="dxa"/>
            <w:tcBorders>
              <w:top w:val="nil"/>
              <w:left w:val="nil"/>
              <w:bottom w:val="nil"/>
              <w:right w:val="nil"/>
            </w:tcBorders>
            <w:shd w:val="clear" w:color="auto" w:fill="auto"/>
            <w:vAlign w:val="center"/>
            <w:hideMark/>
          </w:tcPr>
          <w:p w14:paraId="176D19AC"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26.35</w:t>
            </w:r>
          </w:p>
        </w:tc>
        <w:tc>
          <w:tcPr>
            <w:tcW w:w="1900" w:type="dxa"/>
            <w:tcBorders>
              <w:top w:val="nil"/>
              <w:left w:val="nil"/>
              <w:bottom w:val="nil"/>
              <w:right w:val="nil"/>
            </w:tcBorders>
            <w:shd w:val="clear" w:color="auto" w:fill="auto"/>
            <w:vAlign w:val="center"/>
            <w:hideMark/>
          </w:tcPr>
          <w:p w14:paraId="4F7E9D0C"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34.32</w:t>
            </w:r>
          </w:p>
        </w:tc>
        <w:tc>
          <w:tcPr>
            <w:tcW w:w="1120" w:type="dxa"/>
            <w:tcBorders>
              <w:top w:val="nil"/>
              <w:left w:val="nil"/>
              <w:bottom w:val="nil"/>
              <w:right w:val="nil"/>
            </w:tcBorders>
            <w:shd w:val="clear" w:color="auto" w:fill="auto"/>
            <w:vAlign w:val="center"/>
            <w:hideMark/>
          </w:tcPr>
          <w:p w14:paraId="475BACBA"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-7.97</w:t>
            </w:r>
          </w:p>
        </w:tc>
        <w:tc>
          <w:tcPr>
            <w:tcW w:w="1581" w:type="dxa"/>
            <w:tcBorders>
              <w:top w:val="nil"/>
              <w:left w:val="nil"/>
              <w:bottom w:val="nil"/>
              <w:right w:val="single" w:sz="4" w:space="0" w:color="auto"/>
            </w:tcBorders>
            <w:shd w:val="clear" w:color="auto" w:fill="auto"/>
            <w:vAlign w:val="center"/>
            <w:hideMark/>
          </w:tcPr>
          <w:p w14:paraId="22FE2D78"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-23.2%</w:t>
            </w:r>
          </w:p>
        </w:tc>
      </w:tr>
      <w:tr w:rsidR="009100C7" w:rsidRPr="00F13D81" w14:paraId="1C485C3F" w14:textId="77777777" w:rsidTr="00DC6567">
        <w:trPr>
          <w:trHeight w:val="420"/>
          <w:jc w:val="center"/>
        </w:trPr>
        <w:tc>
          <w:tcPr>
            <w:tcW w:w="2760" w:type="dxa"/>
            <w:tcBorders>
              <w:top w:val="nil"/>
              <w:left w:val="single" w:sz="4" w:space="0" w:color="auto"/>
              <w:bottom w:val="nil"/>
              <w:right w:val="nil"/>
            </w:tcBorders>
            <w:shd w:val="clear" w:color="auto" w:fill="auto"/>
            <w:vAlign w:val="center"/>
            <w:hideMark/>
          </w:tcPr>
          <w:p w14:paraId="3A0A28E8" w14:textId="77777777" w:rsidR="009100C7" w:rsidRPr="00F13D81" w:rsidRDefault="009100C7" w:rsidP="00DC6567">
            <w:pPr>
              <w:widowControl/>
              <w:autoSpaceDE/>
              <w:autoSpaceDN/>
              <w:rPr>
                <w:rFonts w:eastAsia="Times New Roman"/>
                <w:b/>
                <w:bCs/>
                <w:color w:val="002060"/>
                <w:sz w:val="18"/>
                <w:szCs w:val="18"/>
                <w:lang w:eastAsia="el-GR"/>
              </w:rPr>
            </w:pPr>
            <w:r w:rsidRPr="00F13D81">
              <w:rPr>
                <w:rFonts w:eastAsia="Times New Roman"/>
                <w:b/>
                <w:bCs/>
                <w:color w:val="002060"/>
                <w:sz w:val="18"/>
                <w:szCs w:val="18"/>
                <w:lang w:eastAsia="el-GR"/>
              </w:rPr>
              <w:t>Σύνολο λειτουργικών εξόδων</w:t>
            </w:r>
          </w:p>
        </w:tc>
        <w:tc>
          <w:tcPr>
            <w:tcW w:w="1400" w:type="dxa"/>
            <w:tcBorders>
              <w:top w:val="nil"/>
              <w:left w:val="nil"/>
              <w:bottom w:val="nil"/>
              <w:right w:val="nil"/>
            </w:tcBorders>
            <w:shd w:val="clear" w:color="auto" w:fill="auto"/>
            <w:vAlign w:val="center"/>
            <w:hideMark/>
          </w:tcPr>
          <w:p w14:paraId="32D01929"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-33.36</w:t>
            </w:r>
          </w:p>
        </w:tc>
        <w:tc>
          <w:tcPr>
            <w:tcW w:w="1900" w:type="dxa"/>
            <w:tcBorders>
              <w:top w:val="nil"/>
              <w:left w:val="nil"/>
              <w:bottom w:val="nil"/>
              <w:right w:val="nil"/>
            </w:tcBorders>
            <w:shd w:val="clear" w:color="auto" w:fill="auto"/>
            <w:vAlign w:val="center"/>
            <w:hideMark/>
          </w:tcPr>
          <w:p w14:paraId="7461FB4E"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-32.00</w:t>
            </w:r>
          </w:p>
        </w:tc>
        <w:tc>
          <w:tcPr>
            <w:tcW w:w="1120" w:type="dxa"/>
            <w:tcBorders>
              <w:top w:val="nil"/>
              <w:left w:val="nil"/>
              <w:bottom w:val="nil"/>
              <w:right w:val="nil"/>
            </w:tcBorders>
            <w:shd w:val="clear" w:color="auto" w:fill="auto"/>
            <w:vAlign w:val="center"/>
            <w:hideMark/>
          </w:tcPr>
          <w:p w14:paraId="6DF2CF20"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-1.35</w:t>
            </w:r>
          </w:p>
        </w:tc>
        <w:tc>
          <w:tcPr>
            <w:tcW w:w="1581" w:type="dxa"/>
            <w:tcBorders>
              <w:top w:val="nil"/>
              <w:left w:val="nil"/>
              <w:bottom w:val="nil"/>
              <w:right w:val="single" w:sz="4" w:space="0" w:color="auto"/>
            </w:tcBorders>
            <w:shd w:val="clear" w:color="auto" w:fill="auto"/>
            <w:vAlign w:val="center"/>
            <w:hideMark/>
          </w:tcPr>
          <w:p w14:paraId="1700FF21"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4.2%</w:t>
            </w:r>
          </w:p>
        </w:tc>
      </w:tr>
      <w:tr w:rsidR="009100C7" w:rsidRPr="00F13D81" w14:paraId="10FBF4A6" w14:textId="77777777" w:rsidTr="00DC6567">
        <w:trPr>
          <w:trHeight w:val="660"/>
          <w:jc w:val="center"/>
        </w:trPr>
        <w:tc>
          <w:tcPr>
            <w:tcW w:w="2760" w:type="dxa"/>
            <w:tcBorders>
              <w:top w:val="nil"/>
              <w:left w:val="single" w:sz="4" w:space="0" w:color="auto"/>
              <w:bottom w:val="nil"/>
              <w:right w:val="nil"/>
            </w:tcBorders>
            <w:shd w:val="clear" w:color="auto" w:fill="auto"/>
            <w:vAlign w:val="center"/>
            <w:hideMark/>
          </w:tcPr>
          <w:p w14:paraId="1F07ACC3" w14:textId="77777777" w:rsidR="009100C7" w:rsidRPr="00F13D81" w:rsidRDefault="009100C7" w:rsidP="00DC6567">
            <w:pPr>
              <w:widowControl/>
              <w:autoSpaceDE/>
              <w:autoSpaceDN/>
              <w:rPr>
                <w:rFonts w:eastAsia="Times New Roman"/>
                <w:b/>
                <w:bCs/>
                <w:color w:val="002060"/>
                <w:sz w:val="18"/>
                <w:szCs w:val="18"/>
                <w:lang w:eastAsia="el-GR"/>
              </w:rPr>
            </w:pPr>
            <w:r w:rsidRPr="00F13D81">
              <w:rPr>
                <w:rFonts w:eastAsia="Times New Roman"/>
                <w:b/>
                <w:bCs/>
                <w:color w:val="002060"/>
                <w:sz w:val="18"/>
                <w:szCs w:val="18"/>
                <w:lang w:eastAsia="el-GR"/>
              </w:rPr>
              <w:t>Κέρδη προ φόρων και προβλέψεων</w:t>
            </w:r>
          </w:p>
        </w:tc>
        <w:tc>
          <w:tcPr>
            <w:tcW w:w="1400" w:type="dxa"/>
            <w:tcBorders>
              <w:top w:val="nil"/>
              <w:left w:val="nil"/>
              <w:bottom w:val="nil"/>
              <w:right w:val="nil"/>
            </w:tcBorders>
            <w:shd w:val="clear" w:color="auto" w:fill="auto"/>
            <w:vAlign w:val="center"/>
            <w:hideMark/>
          </w:tcPr>
          <w:p w14:paraId="047B8072"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-7.00</w:t>
            </w:r>
          </w:p>
        </w:tc>
        <w:tc>
          <w:tcPr>
            <w:tcW w:w="1900" w:type="dxa"/>
            <w:tcBorders>
              <w:top w:val="nil"/>
              <w:left w:val="nil"/>
              <w:bottom w:val="nil"/>
              <w:right w:val="nil"/>
            </w:tcBorders>
            <w:shd w:val="clear" w:color="auto" w:fill="auto"/>
            <w:vAlign w:val="center"/>
            <w:hideMark/>
          </w:tcPr>
          <w:p w14:paraId="10FB5375"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2.32</w:t>
            </w:r>
          </w:p>
        </w:tc>
        <w:tc>
          <w:tcPr>
            <w:tcW w:w="1120" w:type="dxa"/>
            <w:tcBorders>
              <w:top w:val="nil"/>
              <w:left w:val="nil"/>
              <w:bottom w:val="nil"/>
              <w:right w:val="nil"/>
            </w:tcBorders>
            <w:shd w:val="clear" w:color="auto" w:fill="auto"/>
            <w:vAlign w:val="center"/>
            <w:hideMark/>
          </w:tcPr>
          <w:p w14:paraId="14BD7245"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-9.32</w:t>
            </w:r>
          </w:p>
        </w:tc>
        <w:tc>
          <w:tcPr>
            <w:tcW w:w="1581" w:type="dxa"/>
            <w:tcBorders>
              <w:top w:val="nil"/>
              <w:left w:val="nil"/>
              <w:bottom w:val="nil"/>
              <w:right w:val="single" w:sz="4" w:space="0" w:color="auto"/>
            </w:tcBorders>
            <w:shd w:val="clear" w:color="auto" w:fill="auto"/>
            <w:vAlign w:val="center"/>
            <w:hideMark/>
          </w:tcPr>
          <w:p w14:paraId="42D56E79"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-402.3%</w:t>
            </w:r>
          </w:p>
        </w:tc>
      </w:tr>
      <w:tr w:rsidR="009100C7" w:rsidRPr="00F13D81" w14:paraId="5980BED1" w14:textId="77777777" w:rsidTr="00DC6567">
        <w:trPr>
          <w:trHeight w:val="720"/>
          <w:jc w:val="center"/>
        </w:trPr>
        <w:tc>
          <w:tcPr>
            <w:tcW w:w="2760" w:type="dxa"/>
            <w:tcBorders>
              <w:top w:val="nil"/>
              <w:left w:val="single" w:sz="4" w:space="0" w:color="auto"/>
              <w:bottom w:val="nil"/>
              <w:right w:val="nil"/>
            </w:tcBorders>
            <w:shd w:val="clear" w:color="auto" w:fill="auto"/>
            <w:vAlign w:val="center"/>
            <w:hideMark/>
          </w:tcPr>
          <w:p w14:paraId="2CE52BDE" w14:textId="77777777" w:rsidR="009100C7" w:rsidRPr="00F13D81" w:rsidRDefault="009100C7" w:rsidP="00DC6567">
            <w:pPr>
              <w:widowControl/>
              <w:autoSpaceDE/>
              <w:autoSpaceDN/>
              <w:rPr>
                <w:rFonts w:eastAsia="Times New Roman"/>
                <w:b/>
                <w:bCs/>
                <w:color w:val="002060"/>
                <w:sz w:val="18"/>
                <w:szCs w:val="18"/>
                <w:lang w:eastAsia="el-GR"/>
              </w:rPr>
            </w:pPr>
            <w:r w:rsidRPr="00F13D81">
              <w:rPr>
                <w:rFonts w:eastAsia="Times New Roman"/>
                <w:b/>
                <w:bCs/>
                <w:color w:val="002060"/>
                <w:sz w:val="18"/>
                <w:szCs w:val="18"/>
                <w:lang w:eastAsia="el-GR"/>
              </w:rPr>
              <w:t>Σύνολο προβλέψεων πιστωτικού κινδύνου και λοιπές προβλέψεις</w:t>
            </w:r>
          </w:p>
        </w:tc>
        <w:tc>
          <w:tcPr>
            <w:tcW w:w="1400" w:type="dxa"/>
            <w:tcBorders>
              <w:top w:val="nil"/>
              <w:left w:val="nil"/>
              <w:bottom w:val="nil"/>
              <w:right w:val="nil"/>
            </w:tcBorders>
            <w:shd w:val="clear" w:color="auto" w:fill="auto"/>
            <w:vAlign w:val="center"/>
            <w:hideMark/>
          </w:tcPr>
          <w:p w14:paraId="6ED0B9E3"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-5.86</w:t>
            </w:r>
          </w:p>
        </w:tc>
        <w:tc>
          <w:tcPr>
            <w:tcW w:w="1900" w:type="dxa"/>
            <w:tcBorders>
              <w:top w:val="nil"/>
              <w:left w:val="nil"/>
              <w:bottom w:val="nil"/>
              <w:right w:val="nil"/>
            </w:tcBorders>
            <w:shd w:val="clear" w:color="auto" w:fill="auto"/>
            <w:vAlign w:val="center"/>
            <w:hideMark/>
          </w:tcPr>
          <w:p w14:paraId="58783C4A"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-30.27</w:t>
            </w:r>
          </w:p>
        </w:tc>
        <w:tc>
          <w:tcPr>
            <w:tcW w:w="1120" w:type="dxa"/>
            <w:tcBorders>
              <w:top w:val="nil"/>
              <w:left w:val="nil"/>
              <w:bottom w:val="nil"/>
              <w:right w:val="nil"/>
            </w:tcBorders>
            <w:shd w:val="clear" w:color="auto" w:fill="auto"/>
            <w:vAlign w:val="center"/>
            <w:hideMark/>
          </w:tcPr>
          <w:p w14:paraId="17ADC26B"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24.41</w:t>
            </w:r>
          </w:p>
        </w:tc>
        <w:tc>
          <w:tcPr>
            <w:tcW w:w="1581" w:type="dxa"/>
            <w:tcBorders>
              <w:top w:val="nil"/>
              <w:left w:val="nil"/>
              <w:bottom w:val="nil"/>
              <w:right w:val="single" w:sz="4" w:space="0" w:color="auto"/>
            </w:tcBorders>
            <w:shd w:val="clear" w:color="auto" w:fill="auto"/>
            <w:vAlign w:val="center"/>
            <w:hideMark/>
          </w:tcPr>
          <w:p w14:paraId="00084D0E"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-80.6%</w:t>
            </w:r>
          </w:p>
        </w:tc>
      </w:tr>
      <w:tr w:rsidR="009100C7" w:rsidRPr="00F13D81" w14:paraId="5EC8E290" w14:textId="77777777" w:rsidTr="00DC6567">
        <w:trPr>
          <w:trHeight w:val="480"/>
          <w:jc w:val="center"/>
        </w:trPr>
        <w:tc>
          <w:tcPr>
            <w:tcW w:w="2760" w:type="dxa"/>
            <w:tcBorders>
              <w:top w:val="nil"/>
              <w:left w:val="single" w:sz="4" w:space="0" w:color="auto"/>
              <w:bottom w:val="nil"/>
              <w:right w:val="nil"/>
            </w:tcBorders>
            <w:shd w:val="clear" w:color="auto" w:fill="auto"/>
            <w:vAlign w:val="center"/>
            <w:hideMark/>
          </w:tcPr>
          <w:p w14:paraId="3B2542A0" w14:textId="77777777" w:rsidR="009100C7" w:rsidRPr="00F13D81" w:rsidRDefault="009100C7" w:rsidP="00DC6567">
            <w:pPr>
              <w:widowControl/>
              <w:autoSpaceDE/>
              <w:autoSpaceDN/>
              <w:rPr>
                <w:rFonts w:eastAsia="Times New Roman"/>
                <w:b/>
                <w:bCs/>
                <w:color w:val="002060"/>
                <w:sz w:val="18"/>
                <w:szCs w:val="18"/>
                <w:lang w:eastAsia="el-GR"/>
              </w:rPr>
            </w:pPr>
            <w:r w:rsidRPr="00F13D81">
              <w:rPr>
                <w:rFonts w:eastAsia="Times New Roman"/>
                <w:b/>
                <w:bCs/>
                <w:color w:val="002060"/>
                <w:sz w:val="18"/>
                <w:szCs w:val="18"/>
                <w:lang w:eastAsia="el-GR"/>
              </w:rPr>
              <w:t>Αποτελέσματα συμμετοχών σε συγγενείς εταιρείες</w:t>
            </w:r>
          </w:p>
        </w:tc>
        <w:tc>
          <w:tcPr>
            <w:tcW w:w="1400" w:type="dxa"/>
            <w:tcBorders>
              <w:top w:val="nil"/>
              <w:left w:val="nil"/>
              <w:bottom w:val="nil"/>
              <w:right w:val="nil"/>
            </w:tcBorders>
            <w:shd w:val="clear" w:color="auto" w:fill="auto"/>
            <w:vAlign w:val="center"/>
            <w:hideMark/>
          </w:tcPr>
          <w:p w14:paraId="1F79CE6A"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0.32</w:t>
            </w:r>
          </w:p>
        </w:tc>
        <w:tc>
          <w:tcPr>
            <w:tcW w:w="1900" w:type="dxa"/>
            <w:tcBorders>
              <w:top w:val="nil"/>
              <w:left w:val="nil"/>
              <w:bottom w:val="nil"/>
              <w:right w:val="nil"/>
            </w:tcBorders>
            <w:shd w:val="clear" w:color="auto" w:fill="auto"/>
            <w:vAlign w:val="center"/>
            <w:hideMark/>
          </w:tcPr>
          <w:p w14:paraId="1EF08DA1"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0.42</w:t>
            </w:r>
          </w:p>
        </w:tc>
        <w:tc>
          <w:tcPr>
            <w:tcW w:w="1120" w:type="dxa"/>
            <w:tcBorders>
              <w:top w:val="nil"/>
              <w:left w:val="nil"/>
              <w:bottom w:val="nil"/>
              <w:right w:val="nil"/>
            </w:tcBorders>
            <w:shd w:val="clear" w:color="auto" w:fill="auto"/>
            <w:vAlign w:val="center"/>
            <w:hideMark/>
          </w:tcPr>
          <w:p w14:paraId="0D761A28"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-0.10</w:t>
            </w:r>
          </w:p>
        </w:tc>
        <w:tc>
          <w:tcPr>
            <w:tcW w:w="1581" w:type="dxa"/>
            <w:tcBorders>
              <w:top w:val="nil"/>
              <w:left w:val="nil"/>
              <w:bottom w:val="nil"/>
              <w:right w:val="single" w:sz="4" w:space="0" w:color="auto"/>
            </w:tcBorders>
            <w:shd w:val="clear" w:color="auto" w:fill="auto"/>
            <w:vAlign w:val="center"/>
            <w:hideMark/>
          </w:tcPr>
          <w:p w14:paraId="06D61AA5"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-23.5%</w:t>
            </w:r>
          </w:p>
        </w:tc>
      </w:tr>
      <w:tr w:rsidR="009100C7" w:rsidRPr="00F13D81" w14:paraId="078323F8" w14:textId="77777777" w:rsidTr="00DC6567">
        <w:trPr>
          <w:trHeight w:val="420"/>
          <w:jc w:val="center"/>
        </w:trPr>
        <w:tc>
          <w:tcPr>
            <w:tcW w:w="2760" w:type="dxa"/>
            <w:tcBorders>
              <w:top w:val="nil"/>
              <w:left w:val="single" w:sz="4" w:space="0" w:color="auto"/>
              <w:bottom w:val="nil"/>
              <w:right w:val="nil"/>
            </w:tcBorders>
            <w:shd w:val="clear" w:color="auto" w:fill="auto"/>
            <w:vAlign w:val="center"/>
            <w:hideMark/>
          </w:tcPr>
          <w:p w14:paraId="5BA8981C" w14:textId="77777777" w:rsidR="009100C7" w:rsidRPr="00F13D81" w:rsidRDefault="009100C7" w:rsidP="00DC6567">
            <w:pPr>
              <w:widowControl/>
              <w:autoSpaceDE/>
              <w:autoSpaceDN/>
              <w:rPr>
                <w:rFonts w:eastAsia="Times New Roman"/>
                <w:b/>
                <w:bCs/>
                <w:color w:val="002060"/>
                <w:sz w:val="18"/>
                <w:szCs w:val="18"/>
                <w:lang w:eastAsia="el-GR"/>
              </w:rPr>
            </w:pPr>
            <w:r w:rsidRPr="00F13D81">
              <w:rPr>
                <w:rFonts w:eastAsia="Times New Roman"/>
                <w:b/>
                <w:bCs/>
                <w:color w:val="002060"/>
                <w:sz w:val="18"/>
                <w:szCs w:val="18"/>
                <w:lang w:eastAsia="el-GR"/>
              </w:rPr>
              <w:t>Κέρδη /(ζημίες) προ φόρων</w:t>
            </w:r>
          </w:p>
        </w:tc>
        <w:tc>
          <w:tcPr>
            <w:tcW w:w="1400" w:type="dxa"/>
            <w:tcBorders>
              <w:top w:val="nil"/>
              <w:left w:val="nil"/>
              <w:bottom w:val="nil"/>
              <w:right w:val="nil"/>
            </w:tcBorders>
            <w:shd w:val="clear" w:color="auto" w:fill="auto"/>
            <w:vAlign w:val="center"/>
            <w:hideMark/>
          </w:tcPr>
          <w:p w14:paraId="6DE0564A"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-12.55</w:t>
            </w:r>
          </w:p>
        </w:tc>
        <w:tc>
          <w:tcPr>
            <w:tcW w:w="1900" w:type="dxa"/>
            <w:tcBorders>
              <w:top w:val="nil"/>
              <w:left w:val="nil"/>
              <w:bottom w:val="nil"/>
              <w:right w:val="nil"/>
            </w:tcBorders>
            <w:shd w:val="clear" w:color="auto" w:fill="auto"/>
            <w:vAlign w:val="center"/>
            <w:hideMark/>
          </w:tcPr>
          <w:p w14:paraId="525B5935"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-27.53</w:t>
            </w:r>
          </w:p>
        </w:tc>
        <w:tc>
          <w:tcPr>
            <w:tcW w:w="1120" w:type="dxa"/>
            <w:tcBorders>
              <w:top w:val="nil"/>
              <w:left w:val="nil"/>
              <w:bottom w:val="nil"/>
              <w:right w:val="nil"/>
            </w:tcBorders>
            <w:shd w:val="clear" w:color="auto" w:fill="auto"/>
            <w:vAlign w:val="center"/>
            <w:hideMark/>
          </w:tcPr>
          <w:p w14:paraId="157A17B4"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14.99</w:t>
            </w:r>
          </w:p>
        </w:tc>
        <w:tc>
          <w:tcPr>
            <w:tcW w:w="1581" w:type="dxa"/>
            <w:tcBorders>
              <w:top w:val="nil"/>
              <w:left w:val="nil"/>
              <w:bottom w:val="nil"/>
              <w:right w:val="single" w:sz="4" w:space="0" w:color="auto"/>
            </w:tcBorders>
            <w:shd w:val="clear" w:color="auto" w:fill="auto"/>
            <w:vAlign w:val="center"/>
            <w:hideMark/>
          </w:tcPr>
          <w:p w14:paraId="07EC18E1"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-54.4%</w:t>
            </w:r>
          </w:p>
        </w:tc>
      </w:tr>
      <w:tr w:rsidR="009100C7" w:rsidRPr="00F13D81" w14:paraId="62A0AA29" w14:textId="77777777" w:rsidTr="00DC6567">
        <w:trPr>
          <w:trHeight w:val="465"/>
          <w:jc w:val="center"/>
        </w:trPr>
        <w:tc>
          <w:tcPr>
            <w:tcW w:w="2760" w:type="dxa"/>
            <w:tcBorders>
              <w:top w:val="nil"/>
              <w:left w:val="single" w:sz="4" w:space="0" w:color="auto"/>
              <w:bottom w:val="nil"/>
              <w:right w:val="nil"/>
            </w:tcBorders>
            <w:shd w:val="clear" w:color="auto" w:fill="auto"/>
            <w:vAlign w:val="center"/>
            <w:hideMark/>
          </w:tcPr>
          <w:p w14:paraId="4D07855C" w14:textId="77777777" w:rsidR="009100C7" w:rsidRPr="00F13D81" w:rsidRDefault="009100C7" w:rsidP="00DC6567">
            <w:pPr>
              <w:widowControl/>
              <w:autoSpaceDE/>
              <w:autoSpaceDN/>
              <w:rPr>
                <w:rFonts w:eastAsia="Times New Roman"/>
                <w:b/>
                <w:bCs/>
                <w:color w:val="002060"/>
                <w:sz w:val="18"/>
                <w:szCs w:val="18"/>
                <w:lang w:eastAsia="el-GR"/>
              </w:rPr>
            </w:pPr>
            <w:r w:rsidRPr="00F13D81">
              <w:rPr>
                <w:rFonts w:eastAsia="Times New Roman"/>
                <w:b/>
                <w:bCs/>
                <w:color w:val="002060"/>
                <w:sz w:val="18"/>
                <w:szCs w:val="18"/>
                <w:lang w:eastAsia="el-GR"/>
              </w:rPr>
              <w:t>Φόρος εισοδήματος</w:t>
            </w:r>
          </w:p>
        </w:tc>
        <w:tc>
          <w:tcPr>
            <w:tcW w:w="1400" w:type="dxa"/>
            <w:tcBorders>
              <w:top w:val="nil"/>
              <w:left w:val="nil"/>
              <w:bottom w:val="nil"/>
              <w:right w:val="nil"/>
            </w:tcBorders>
            <w:shd w:val="clear" w:color="auto" w:fill="auto"/>
            <w:vAlign w:val="center"/>
            <w:hideMark/>
          </w:tcPr>
          <w:p w14:paraId="3493F0F7"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-6.95</w:t>
            </w:r>
          </w:p>
        </w:tc>
        <w:tc>
          <w:tcPr>
            <w:tcW w:w="1900" w:type="dxa"/>
            <w:tcBorders>
              <w:top w:val="nil"/>
              <w:left w:val="nil"/>
              <w:bottom w:val="nil"/>
              <w:right w:val="nil"/>
            </w:tcBorders>
            <w:shd w:val="clear" w:color="auto" w:fill="auto"/>
            <w:vAlign w:val="center"/>
            <w:hideMark/>
          </w:tcPr>
          <w:p w14:paraId="2A9005B4"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-2.01</w:t>
            </w:r>
          </w:p>
        </w:tc>
        <w:tc>
          <w:tcPr>
            <w:tcW w:w="1120" w:type="dxa"/>
            <w:tcBorders>
              <w:top w:val="nil"/>
              <w:left w:val="nil"/>
              <w:bottom w:val="nil"/>
              <w:right w:val="nil"/>
            </w:tcBorders>
            <w:shd w:val="clear" w:color="auto" w:fill="auto"/>
            <w:vAlign w:val="center"/>
            <w:hideMark/>
          </w:tcPr>
          <w:p w14:paraId="7237994A"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-4.94</w:t>
            </w:r>
          </w:p>
        </w:tc>
        <w:tc>
          <w:tcPr>
            <w:tcW w:w="1581" w:type="dxa"/>
            <w:tcBorders>
              <w:top w:val="nil"/>
              <w:left w:val="nil"/>
              <w:bottom w:val="nil"/>
              <w:right w:val="single" w:sz="4" w:space="0" w:color="auto"/>
            </w:tcBorders>
            <w:shd w:val="clear" w:color="auto" w:fill="auto"/>
            <w:vAlign w:val="center"/>
            <w:hideMark/>
          </w:tcPr>
          <w:p w14:paraId="5A008FFC"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245.2%</w:t>
            </w:r>
          </w:p>
        </w:tc>
      </w:tr>
      <w:tr w:rsidR="009100C7" w:rsidRPr="00F13D81" w14:paraId="0E22C70D" w14:textId="77777777" w:rsidTr="00DC6567">
        <w:trPr>
          <w:trHeight w:val="675"/>
          <w:jc w:val="center"/>
        </w:trPr>
        <w:tc>
          <w:tcPr>
            <w:tcW w:w="2760" w:type="dxa"/>
            <w:tcBorders>
              <w:top w:val="nil"/>
              <w:left w:val="single" w:sz="4" w:space="0" w:color="auto"/>
              <w:bottom w:val="single" w:sz="4" w:space="0" w:color="auto"/>
              <w:right w:val="nil"/>
            </w:tcBorders>
            <w:shd w:val="clear" w:color="auto" w:fill="auto"/>
            <w:vAlign w:val="center"/>
            <w:hideMark/>
          </w:tcPr>
          <w:p w14:paraId="48ACCB26" w14:textId="77777777" w:rsidR="009100C7" w:rsidRPr="00F13D81" w:rsidRDefault="009100C7" w:rsidP="00DC6567">
            <w:pPr>
              <w:widowControl/>
              <w:autoSpaceDE/>
              <w:autoSpaceDN/>
              <w:rPr>
                <w:rFonts w:eastAsia="Times New Roman"/>
                <w:b/>
                <w:bCs/>
                <w:color w:val="002060"/>
                <w:sz w:val="18"/>
                <w:szCs w:val="18"/>
                <w:lang w:eastAsia="el-GR"/>
              </w:rPr>
            </w:pPr>
            <w:r w:rsidRPr="00F13D81">
              <w:rPr>
                <w:rFonts w:eastAsia="Times New Roman"/>
                <w:b/>
                <w:bCs/>
                <w:color w:val="002060"/>
                <w:sz w:val="18"/>
                <w:szCs w:val="18"/>
                <w:lang w:eastAsia="el-GR"/>
              </w:rPr>
              <w:t>Κέρδη /(ζημίες) μετά από φόρους</w:t>
            </w:r>
          </w:p>
        </w:tc>
        <w:tc>
          <w:tcPr>
            <w:tcW w:w="1400" w:type="dxa"/>
            <w:tcBorders>
              <w:top w:val="nil"/>
              <w:left w:val="nil"/>
              <w:bottom w:val="single" w:sz="4" w:space="0" w:color="auto"/>
              <w:right w:val="nil"/>
            </w:tcBorders>
            <w:shd w:val="clear" w:color="auto" w:fill="auto"/>
            <w:vAlign w:val="center"/>
            <w:hideMark/>
          </w:tcPr>
          <w:p w14:paraId="27FA4BFF"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-19.50</w:t>
            </w:r>
          </w:p>
        </w:tc>
        <w:tc>
          <w:tcPr>
            <w:tcW w:w="1900" w:type="dxa"/>
            <w:tcBorders>
              <w:top w:val="nil"/>
              <w:left w:val="nil"/>
              <w:bottom w:val="single" w:sz="4" w:space="0" w:color="auto"/>
              <w:right w:val="nil"/>
            </w:tcBorders>
            <w:shd w:val="clear" w:color="auto" w:fill="auto"/>
            <w:vAlign w:val="center"/>
            <w:hideMark/>
          </w:tcPr>
          <w:p w14:paraId="48422B49"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-29.55</w:t>
            </w:r>
          </w:p>
        </w:tc>
        <w:tc>
          <w:tcPr>
            <w:tcW w:w="1120" w:type="dxa"/>
            <w:tcBorders>
              <w:top w:val="nil"/>
              <w:left w:val="nil"/>
              <w:bottom w:val="single" w:sz="4" w:space="0" w:color="auto"/>
              <w:right w:val="nil"/>
            </w:tcBorders>
            <w:shd w:val="clear" w:color="auto" w:fill="auto"/>
            <w:vAlign w:val="center"/>
            <w:hideMark/>
          </w:tcPr>
          <w:p w14:paraId="2D836B75"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10.05</w:t>
            </w:r>
          </w:p>
        </w:tc>
        <w:tc>
          <w:tcPr>
            <w:tcW w:w="1581" w:type="dxa"/>
            <w:tcBorders>
              <w:top w:val="nil"/>
              <w:left w:val="nil"/>
              <w:bottom w:val="single" w:sz="4" w:space="0" w:color="auto"/>
              <w:right w:val="single" w:sz="4" w:space="0" w:color="auto"/>
            </w:tcBorders>
            <w:shd w:val="clear" w:color="auto" w:fill="auto"/>
            <w:vAlign w:val="center"/>
            <w:hideMark/>
          </w:tcPr>
          <w:p w14:paraId="25BE3C79"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-34.0%</w:t>
            </w:r>
          </w:p>
        </w:tc>
      </w:tr>
    </w:tbl>
    <w:p w14:paraId="673AF013" w14:textId="1E28FD98" w:rsidR="009100C7" w:rsidRPr="00F13D81" w:rsidRDefault="009100C7" w:rsidP="009100C7">
      <w:pPr>
        <w:pStyle w:val="BodyText"/>
        <w:rPr>
          <w:color w:val="FF0000"/>
          <w:sz w:val="20"/>
        </w:rPr>
      </w:pPr>
      <w:r>
        <w:rPr>
          <w:color w:val="FF0000"/>
          <w:sz w:val="20"/>
        </w:rPr>
        <w:fldChar w:fldCharType="end"/>
      </w:r>
      <w:r>
        <w:rPr>
          <w:color w:val="FF0000"/>
          <w:sz w:val="20"/>
        </w:rPr>
        <w:fldChar w:fldCharType="begin"/>
      </w:r>
      <w:r>
        <w:rPr>
          <w:color w:val="FF0000"/>
          <w:sz w:val="20"/>
        </w:rPr>
        <w:instrText xml:space="preserve"> LINK </w:instrText>
      </w:r>
      <w:r w:rsidR="000D1BEC">
        <w:rPr>
          <w:color w:val="FF0000"/>
          <w:sz w:val="20"/>
        </w:rPr>
        <w:instrText xml:space="preserve">Excel.Sheet.12 "\\\\atticaserver\\Investor Relations Common\\PRESENTATIONS\\ΠΑΡΟΥΣΙΑΣΕΙΣ ΑΠΟΤΕΛΕΣΜΑΤΩΝ\\2021\\H1 2021\\Η1 2021_Financial data_new.xlsx" "BS for Press Release!R2C2:R16C6" </w:instrText>
      </w:r>
      <w:r>
        <w:rPr>
          <w:color w:val="FF0000"/>
          <w:sz w:val="20"/>
        </w:rPr>
        <w:instrText xml:space="preserve">\a \f 4 \h  \* MERGEFORMAT </w:instrText>
      </w:r>
      <w:r>
        <w:rPr>
          <w:color w:val="FF0000"/>
          <w:sz w:val="20"/>
        </w:rPr>
        <w:fldChar w:fldCharType="separate"/>
      </w:r>
    </w:p>
    <w:tbl>
      <w:tblPr>
        <w:tblW w:w="8806" w:type="dxa"/>
        <w:jc w:val="center"/>
        <w:tblLook w:val="04A0" w:firstRow="1" w:lastRow="0" w:firstColumn="1" w:lastColumn="0" w:noHBand="0" w:noVBand="1"/>
      </w:tblPr>
      <w:tblGrid>
        <w:gridCol w:w="2900"/>
        <w:gridCol w:w="1540"/>
        <w:gridCol w:w="1420"/>
        <w:gridCol w:w="1560"/>
        <w:gridCol w:w="1386"/>
      </w:tblGrid>
      <w:tr w:rsidR="009100C7" w:rsidRPr="00F13D81" w14:paraId="61D5C3E8" w14:textId="77777777" w:rsidTr="00DC6567">
        <w:trPr>
          <w:trHeight w:val="255"/>
          <w:jc w:val="center"/>
        </w:trPr>
        <w:tc>
          <w:tcPr>
            <w:tcW w:w="2900" w:type="dxa"/>
            <w:tcBorders>
              <w:top w:val="single" w:sz="4" w:space="0" w:color="auto"/>
              <w:left w:val="single" w:sz="4" w:space="0" w:color="auto"/>
              <w:bottom w:val="nil"/>
              <w:right w:val="nil"/>
            </w:tcBorders>
            <w:shd w:val="clear" w:color="000000" w:fill="2F3E80"/>
            <w:vAlign w:val="center"/>
            <w:hideMark/>
          </w:tcPr>
          <w:p w14:paraId="5B18E523" w14:textId="77777777" w:rsidR="009100C7" w:rsidRPr="00F13D81" w:rsidRDefault="009100C7" w:rsidP="00DC6567">
            <w:pPr>
              <w:jc w:val="center"/>
              <w:rPr>
                <w:rFonts w:eastAsia="Times New Roman"/>
                <w:color w:val="FFFFFF"/>
                <w:sz w:val="18"/>
                <w:szCs w:val="18"/>
                <w:lang w:eastAsia="el-GR"/>
              </w:rPr>
            </w:pPr>
            <w:r w:rsidRPr="00F13D81">
              <w:rPr>
                <w:rFonts w:eastAsia="Times New Roman"/>
                <w:color w:val="FFFFFF"/>
                <w:sz w:val="18"/>
                <w:szCs w:val="18"/>
                <w:lang w:eastAsia="el-GR"/>
              </w:rPr>
              <w:t>Ποσά σε εκατ. Ευρώ</w:t>
            </w:r>
          </w:p>
        </w:tc>
        <w:tc>
          <w:tcPr>
            <w:tcW w:w="1540" w:type="dxa"/>
            <w:vMerge w:val="restart"/>
            <w:tcBorders>
              <w:top w:val="single" w:sz="4" w:space="0" w:color="auto"/>
              <w:left w:val="nil"/>
              <w:bottom w:val="nil"/>
              <w:right w:val="nil"/>
            </w:tcBorders>
            <w:shd w:val="clear" w:color="000000" w:fill="2F3E80"/>
            <w:vAlign w:val="center"/>
            <w:hideMark/>
          </w:tcPr>
          <w:p w14:paraId="651B608E" w14:textId="77777777" w:rsidR="009100C7" w:rsidRPr="00F13D81" w:rsidRDefault="009100C7" w:rsidP="00DC6567">
            <w:pPr>
              <w:widowControl/>
              <w:autoSpaceDE/>
              <w:autoSpaceDN/>
              <w:jc w:val="center"/>
              <w:rPr>
                <w:rFonts w:eastAsia="Times New Roman"/>
                <w:b/>
                <w:bCs/>
                <w:color w:val="FFFFFF"/>
                <w:sz w:val="18"/>
                <w:szCs w:val="18"/>
                <w:lang w:eastAsia="el-GR"/>
              </w:rPr>
            </w:pPr>
            <w:r w:rsidRPr="00F13D81">
              <w:rPr>
                <w:rFonts w:eastAsia="Times New Roman"/>
                <w:b/>
                <w:bCs/>
                <w:color w:val="FFFFFF"/>
                <w:sz w:val="18"/>
                <w:szCs w:val="18"/>
                <w:lang w:eastAsia="el-GR"/>
              </w:rPr>
              <w:t>Ιουν-21</w:t>
            </w:r>
          </w:p>
        </w:tc>
        <w:tc>
          <w:tcPr>
            <w:tcW w:w="1420" w:type="dxa"/>
            <w:vMerge w:val="restart"/>
            <w:tcBorders>
              <w:top w:val="single" w:sz="4" w:space="0" w:color="auto"/>
              <w:left w:val="nil"/>
              <w:bottom w:val="nil"/>
              <w:right w:val="nil"/>
            </w:tcBorders>
            <w:shd w:val="clear" w:color="000000" w:fill="2F3E80"/>
            <w:vAlign w:val="center"/>
            <w:hideMark/>
          </w:tcPr>
          <w:p w14:paraId="6654168D" w14:textId="77777777" w:rsidR="009100C7" w:rsidRPr="00F13D81" w:rsidRDefault="009100C7" w:rsidP="00DC6567">
            <w:pPr>
              <w:widowControl/>
              <w:autoSpaceDE/>
              <w:autoSpaceDN/>
              <w:jc w:val="center"/>
              <w:rPr>
                <w:rFonts w:eastAsia="Times New Roman"/>
                <w:b/>
                <w:bCs/>
                <w:color w:val="FFFFFF"/>
                <w:sz w:val="18"/>
                <w:szCs w:val="18"/>
                <w:lang w:eastAsia="el-GR"/>
              </w:rPr>
            </w:pPr>
            <w:r w:rsidRPr="00F13D81">
              <w:rPr>
                <w:rFonts w:eastAsia="Times New Roman"/>
                <w:b/>
                <w:bCs/>
                <w:color w:val="FFFFFF"/>
                <w:sz w:val="18"/>
                <w:szCs w:val="18"/>
                <w:lang w:eastAsia="el-GR"/>
              </w:rPr>
              <w:t>Δεκ-20</w:t>
            </w:r>
          </w:p>
        </w:tc>
        <w:tc>
          <w:tcPr>
            <w:tcW w:w="1560" w:type="dxa"/>
            <w:vMerge w:val="restart"/>
            <w:tcBorders>
              <w:top w:val="single" w:sz="4" w:space="0" w:color="auto"/>
              <w:left w:val="nil"/>
              <w:bottom w:val="nil"/>
              <w:right w:val="nil"/>
            </w:tcBorders>
            <w:shd w:val="clear" w:color="000000" w:fill="2F3E80"/>
            <w:vAlign w:val="center"/>
            <w:hideMark/>
          </w:tcPr>
          <w:p w14:paraId="42F21FCD" w14:textId="77777777" w:rsidR="009100C7" w:rsidRPr="00F13D81" w:rsidRDefault="009100C7" w:rsidP="00DC6567">
            <w:pPr>
              <w:widowControl/>
              <w:autoSpaceDE/>
              <w:autoSpaceDN/>
              <w:jc w:val="center"/>
              <w:rPr>
                <w:rFonts w:eastAsia="Times New Roman"/>
                <w:b/>
                <w:bCs/>
                <w:color w:val="FFFFFF"/>
                <w:sz w:val="18"/>
                <w:szCs w:val="18"/>
                <w:lang w:eastAsia="el-GR"/>
              </w:rPr>
            </w:pPr>
            <w:r w:rsidRPr="00F13D81">
              <w:rPr>
                <w:rFonts w:eastAsia="Times New Roman"/>
                <w:b/>
                <w:bCs/>
                <w:color w:val="FFFFFF"/>
                <w:sz w:val="18"/>
                <w:szCs w:val="18"/>
                <w:lang w:eastAsia="el-GR"/>
              </w:rPr>
              <w:t>Δ EUR</w:t>
            </w:r>
          </w:p>
        </w:tc>
        <w:tc>
          <w:tcPr>
            <w:tcW w:w="1386" w:type="dxa"/>
            <w:vMerge w:val="restart"/>
            <w:tcBorders>
              <w:top w:val="single" w:sz="4" w:space="0" w:color="auto"/>
              <w:left w:val="nil"/>
              <w:bottom w:val="nil"/>
              <w:right w:val="single" w:sz="4" w:space="0" w:color="auto"/>
            </w:tcBorders>
            <w:shd w:val="clear" w:color="000000" w:fill="2F3E80"/>
            <w:vAlign w:val="center"/>
            <w:hideMark/>
          </w:tcPr>
          <w:p w14:paraId="5DBAC99F" w14:textId="77777777" w:rsidR="009100C7" w:rsidRPr="00F13D81" w:rsidRDefault="009100C7" w:rsidP="00DC6567">
            <w:pPr>
              <w:widowControl/>
              <w:autoSpaceDE/>
              <w:autoSpaceDN/>
              <w:jc w:val="center"/>
              <w:rPr>
                <w:rFonts w:eastAsia="Times New Roman"/>
                <w:b/>
                <w:bCs/>
                <w:color w:val="FFFFFF"/>
                <w:sz w:val="18"/>
                <w:szCs w:val="18"/>
                <w:lang w:eastAsia="el-GR"/>
              </w:rPr>
            </w:pPr>
            <w:r w:rsidRPr="00F13D81">
              <w:rPr>
                <w:rFonts w:eastAsia="Times New Roman"/>
                <w:b/>
                <w:bCs/>
                <w:color w:val="FFFFFF"/>
                <w:sz w:val="18"/>
                <w:szCs w:val="18"/>
                <w:lang w:eastAsia="el-GR"/>
              </w:rPr>
              <w:t>Δ %</w:t>
            </w:r>
          </w:p>
        </w:tc>
      </w:tr>
      <w:tr w:rsidR="009100C7" w:rsidRPr="00F13D81" w14:paraId="6C89FCF6" w14:textId="77777777" w:rsidTr="00DC6567">
        <w:trPr>
          <w:trHeight w:val="255"/>
          <w:jc w:val="center"/>
        </w:trPr>
        <w:tc>
          <w:tcPr>
            <w:tcW w:w="2900" w:type="dxa"/>
            <w:tcBorders>
              <w:top w:val="single" w:sz="4" w:space="0" w:color="auto"/>
              <w:left w:val="single" w:sz="4" w:space="0" w:color="auto"/>
              <w:bottom w:val="nil"/>
              <w:right w:val="nil"/>
            </w:tcBorders>
            <w:shd w:val="clear" w:color="000000" w:fill="2F3E80"/>
            <w:vAlign w:val="center"/>
            <w:hideMark/>
          </w:tcPr>
          <w:p w14:paraId="60C991BE" w14:textId="77777777" w:rsidR="009100C7" w:rsidRPr="00F13D81" w:rsidRDefault="009100C7" w:rsidP="00DC6567">
            <w:pPr>
              <w:widowControl/>
              <w:autoSpaceDE/>
              <w:autoSpaceDN/>
              <w:jc w:val="center"/>
              <w:rPr>
                <w:rFonts w:eastAsia="Times New Roman"/>
                <w:b/>
                <w:bCs/>
                <w:color w:val="FFFFFF"/>
                <w:sz w:val="18"/>
                <w:szCs w:val="18"/>
                <w:lang w:eastAsia="el-GR"/>
              </w:rPr>
            </w:pPr>
            <w:r w:rsidRPr="00F13D81">
              <w:rPr>
                <w:rFonts w:eastAsia="Times New Roman"/>
                <w:b/>
                <w:bCs/>
                <w:color w:val="FFFFFF"/>
                <w:sz w:val="18"/>
                <w:szCs w:val="18"/>
                <w:lang w:eastAsia="el-GR"/>
              </w:rPr>
              <w:t>Κατάσταση Οικονομικής Θέσης</w:t>
            </w:r>
          </w:p>
        </w:tc>
        <w:tc>
          <w:tcPr>
            <w:tcW w:w="1540" w:type="dxa"/>
            <w:vMerge/>
            <w:tcBorders>
              <w:top w:val="single" w:sz="4" w:space="0" w:color="auto"/>
              <w:left w:val="nil"/>
              <w:bottom w:val="nil"/>
              <w:right w:val="nil"/>
            </w:tcBorders>
            <w:vAlign w:val="center"/>
            <w:hideMark/>
          </w:tcPr>
          <w:p w14:paraId="2FE90688" w14:textId="77777777" w:rsidR="009100C7" w:rsidRPr="00F13D81" w:rsidRDefault="009100C7" w:rsidP="00DC6567">
            <w:pPr>
              <w:widowControl/>
              <w:autoSpaceDE/>
              <w:autoSpaceDN/>
              <w:rPr>
                <w:rFonts w:eastAsia="Times New Roman"/>
                <w:b/>
                <w:bCs/>
                <w:color w:val="FFFFFF"/>
                <w:sz w:val="18"/>
                <w:szCs w:val="18"/>
                <w:lang w:eastAsia="el-GR"/>
              </w:rPr>
            </w:pPr>
          </w:p>
        </w:tc>
        <w:tc>
          <w:tcPr>
            <w:tcW w:w="1420" w:type="dxa"/>
            <w:vMerge/>
            <w:tcBorders>
              <w:top w:val="single" w:sz="4" w:space="0" w:color="auto"/>
              <w:left w:val="nil"/>
              <w:bottom w:val="nil"/>
              <w:right w:val="nil"/>
            </w:tcBorders>
            <w:vAlign w:val="center"/>
            <w:hideMark/>
          </w:tcPr>
          <w:p w14:paraId="19AC6773" w14:textId="77777777" w:rsidR="009100C7" w:rsidRPr="00F13D81" w:rsidRDefault="009100C7" w:rsidP="00DC6567">
            <w:pPr>
              <w:widowControl/>
              <w:autoSpaceDE/>
              <w:autoSpaceDN/>
              <w:rPr>
                <w:rFonts w:eastAsia="Times New Roman"/>
                <w:b/>
                <w:bCs/>
                <w:color w:val="FFFFFF"/>
                <w:sz w:val="18"/>
                <w:szCs w:val="18"/>
                <w:lang w:eastAsia="el-GR"/>
              </w:rPr>
            </w:pPr>
          </w:p>
        </w:tc>
        <w:tc>
          <w:tcPr>
            <w:tcW w:w="1560" w:type="dxa"/>
            <w:vMerge/>
            <w:tcBorders>
              <w:top w:val="single" w:sz="4" w:space="0" w:color="auto"/>
              <w:left w:val="nil"/>
              <w:bottom w:val="nil"/>
              <w:right w:val="nil"/>
            </w:tcBorders>
            <w:vAlign w:val="center"/>
            <w:hideMark/>
          </w:tcPr>
          <w:p w14:paraId="06096AAB" w14:textId="77777777" w:rsidR="009100C7" w:rsidRPr="00F13D81" w:rsidRDefault="009100C7" w:rsidP="00DC6567">
            <w:pPr>
              <w:widowControl/>
              <w:autoSpaceDE/>
              <w:autoSpaceDN/>
              <w:rPr>
                <w:rFonts w:eastAsia="Times New Roman"/>
                <w:b/>
                <w:bCs/>
                <w:color w:val="FFFFFF"/>
                <w:sz w:val="18"/>
                <w:szCs w:val="18"/>
                <w:lang w:eastAsia="el-GR"/>
              </w:rPr>
            </w:pPr>
          </w:p>
        </w:tc>
        <w:tc>
          <w:tcPr>
            <w:tcW w:w="1386" w:type="dxa"/>
            <w:vMerge/>
            <w:tcBorders>
              <w:top w:val="single" w:sz="4" w:space="0" w:color="auto"/>
              <w:left w:val="nil"/>
              <w:bottom w:val="nil"/>
              <w:right w:val="single" w:sz="4" w:space="0" w:color="auto"/>
            </w:tcBorders>
            <w:vAlign w:val="center"/>
            <w:hideMark/>
          </w:tcPr>
          <w:p w14:paraId="324DC4F7" w14:textId="77777777" w:rsidR="009100C7" w:rsidRPr="00F13D81" w:rsidRDefault="009100C7" w:rsidP="00DC6567">
            <w:pPr>
              <w:widowControl/>
              <w:autoSpaceDE/>
              <w:autoSpaceDN/>
              <w:rPr>
                <w:rFonts w:eastAsia="Times New Roman"/>
                <w:b/>
                <w:bCs/>
                <w:color w:val="FFFFFF"/>
                <w:sz w:val="18"/>
                <w:szCs w:val="18"/>
                <w:lang w:eastAsia="el-GR"/>
              </w:rPr>
            </w:pPr>
          </w:p>
        </w:tc>
      </w:tr>
      <w:tr w:rsidR="009100C7" w:rsidRPr="00F13D81" w14:paraId="1852A02E" w14:textId="77777777" w:rsidTr="00DC6567">
        <w:trPr>
          <w:trHeight w:val="480"/>
          <w:jc w:val="center"/>
        </w:trPr>
        <w:tc>
          <w:tcPr>
            <w:tcW w:w="2900" w:type="dxa"/>
            <w:tcBorders>
              <w:top w:val="nil"/>
              <w:left w:val="single" w:sz="4" w:space="0" w:color="auto"/>
              <w:bottom w:val="nil"/>
              <w:right w:val="nil"/>
            </w:tcBorders>
            <w:shd w:val="clear" w:color="auto" w:fill="auto"/>
            <w:vAlign w:val="center"/>
            <w:hideMark/>
          </w:tcPr>
          <w:p w14:paraId="04BA6348" w14:textId="77777777" w:rsidR="009100C7" w:rsidRPr="00F13D81" w:rsidRDefault="009100C7" w:rsidP="00DC6567">
            <w:pPr>
              <w:widowControl/>
              <w:autoSpaceDE/>
              <w:autoSpaceDN/>
              <w:rPr>
                <w:rFonts w:eastAsia="Times New Roman"/>
                <w:b/>
                <w:bCs/>
                <w:color w:val="002060"/>
                <w:sz w:val="18"/>
                <w:szCs w:val="18"/>
                <w:lang w:eastAsia="el-GR"/>
              </w:rPr>
            </w:pPr>
            <w:r w:rsidRPr="00F13D81">
              <w:rPr>
                <w:rFonts w:eastAsia="Times New Roman"/>
                <w:b/>
                <w:bCs/>
                <w:color w:val="002060"/>
                <w:sz w:val="18"/>
                <w:szCs w:val="18"/>
                <w:lang w:eastAsia="el-GR"/>
              </w:rPr>
              <w:t>Δάνεια και προκαταβολές σε πελάτες (προ προβλέψεων)</w:t>
            </w:r>
          </w:p>
        </w:tc>
        <w:tc>
          <w:tcPr>
            <w:tcW w:w="1540" w:type="dxa"/>
            <w:tcBorders>
              <w:top w:val="nil"/>
              <w:left w:val="nil"/>
              <w:bottom w:val="nil"/>
              <w:right w:val="nil"/>
            </w:tcBorders>
            <w:shd w:val="clear" w:color="auto" w:fill="auto"/>
            <w:vAlign w:val="center"/>
            <w:hideMark/>
          </w:tcPr>
          <w:p w14:paraId="7D7F62A5"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2,066.5</w:t>
            </w:r>
          </w:p>
        </w:tc>
        <w:tc>
          <w:tcPr>
            <w:tcW w:w="1420" w:type="dxa"/>
            <w:tcBorders>
              <w:top w:val="nil"/>
              <w:left w:val="nil"/>
              <w:bottom w:val="nil"/>
              <w:right w:val="nil"/>
            </w:tcBorders>
            <w:shd w:val="clear" w:color="auto" w:fill="auto"/>
            <w:vAlign w:val="center"/>
            <w:hideMark/>
          </w:tcPr>
          <w:p w14:paraId="1AF85B90"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1,986.9</w:t>
            </w:r>
          </w:p>
        </w:tc>
        <w:tc>
          <w:tcPr>
            <w:tcW w:w="1560" w:type="dxa"/>
            <w:tcBorders>
              <w:top w:val="nil"/>
              <w:left w:val="nil"/>
              <w:bottom w:val="nil"/>
              <w:right w:val="nil"/>
            </w:tcBorders>
            <w:shd w:val="clear" w:color="auto" w:fill="auto"/>
            <w:vAlign w:val="center"/>
            <w:hideMark/>
          </w:tcPr>
          <w:p w14:paraId="44DD7476"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79.5</w:t>
            </w:r>
          </w:p>
        </w:tc>
        <w:tc>
          <w:tcPr>
            <w:tcW w:w="1386" w:type="dxa"/>
            <w:tcBorders>
              <w:top w:val="nil"/>
              <w:left w:val="nil"/>
              <w:bottom w:val="nil"/>
              <w:right w:val="single" w:sz="4" w:space="0" w:color="auto"/>
            </w:tcBorders>
            <w:shd w:val="clear" w:color="auto" w:fill="auto"/>
            <w:vAlign w:val="center"/>
            <w:hideMark/>
          </w:tcPr>
          <w:p w14:paraId="7EC9A1D7"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4.0%</w:t>
            </w:r>
          </w:p>
        </w:tc>
      </w:tr>
      <w:tr w:rsidR="009100C7" w:rsidRPr="00F13D81" w14:paraId="18CC8450" w14:textId="77777777" w:rsidTr="00DC6567">
        <w:trPr>
          <w:trHeight w:val="480"/>
          <w:jc w:val="center"/>
        </w:trPr>
        <w:tc>
          <w:tcPr>
            <w:tcW w:w="2900" w:type="dxa"/>
            <w:tcBorders>
              <w:top w:val="nil"/>
              <w:left w:val="single" w:sz="4" w:space="0" w:color="auto"/>
              <w:bottom w:val="nil"/>
              <w:right w:val="nil"/>
            </w:tcBorders>
            <w:shd w:val="clear" w:color="auto" w:fill="auto"/>
            <w:vAlign w:val="center"/>
            <w:hideMark/>
          </w:tcPr>
          <w:p w14:paraId="34D7CDEB" w14:textId="77777777" w:rsidR="009100C7" w:rsidRPr="00F13D81" w:rsidRDefault="009100C7" w:rsidP="00DC6567">
            <w:pPr>
              <w:widowControl/>
              <w:autoSpaceDE/>
              <w:autoSpaceDN/>
              <w:rPr>
                <w:rFonts w:eastAsia="Times New Roman"/>
                <w:b/>
                <w:bCs/>
                <w:color w:val="002060"/>
                <w:sz w:val="18"/>
                <w:szCs w:val="18"/>
                <w:lang w:eastAsia="el-GR"/>
              </w:rPr>
            </w:pPr>
            <w:r w:rsidRPr="00F13D81">
              <w:rPr>
                <w:rFonts w:eastAsia="Times New Roman"/>
                <w:b/>
                <w:bCs/>
                <w:color w:val="002060"/>
                <w:sz w:val="18"/>
                <w:szCs w:val="18"/>
                <w:lang w:eastAsia="el-GR"/>
              </w:rPr>
              <w:t>Δάνεια και προκαταβολές σε πελάτες (μετά από προβλέψεις)</w:t>
            </w:r>
          </w:p>
        </w:tc>
        <w:tc>
          <w:tcPr>
            <w:tcW w:w="1540" w:type="dxa"/>
            <w:tcBorders>
              <w:top w:val="nil"/>
              <w:left w:val="nil"/>
              <w:bottom w:val="nil"/>
              <w:right w:val="nil"/>
            </w:tcBorders>
            <w:shd w:val="clear" w:color="auto" w:fill="auto"/>
            <w:vAlign w:val="center"/>
            <w:hideMark/>
          </w:tcPr>
          <w:p w14:paraId="5603759B"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1,679.8</w:t>
            </w:r>
          </w:p>
        </w:tc>
        <w:tc>
          <w:tcPr>
            <w:tcW w:w="1420" w:type="dxa"/>
            <w:tcBorders>
              <w:top w:val="nil"/>
              <w:left w:val="nil"/>
              <w:bottom w:val="nil"/>
              <w:right w:val="nil"/>
            </w:tcBorders>
            <w:shd w:val="clear" w:color="auto" w:fill="auto"/>
            <w:vAlign w:val="center"/>
            <w:hideMark/>
          </w:tcPr>
          <w:p w14:paraId="5DC38EDA"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1,600.9</w:t>
            </w:r>
          </w:p>
        </w:tc>
        <w:tc>
          <w:tcPr>
            <w:tcW w:w="1560" w:type="dxa"/>
            <w:tcBorders>
              <w:top w:val="nil"/>
              <w:left w:val="nil"/>
              <w:bottom w:val="nil"/>
              <w:right w:val="nil"/>
            </w:tcBorders>
            <w:shd w:val="clear" w:color="auto" w:fill="auto"/>
            <w:vAlign w:val="center"/>
            <w:hideMark/>
          </w:tcPr>
          <w:p w14:paraId="324C2F57"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78.8</w:t>
            </w:r>
          </w:p>
        </w:tc>
        <w:tc>
          <w:tcPr>
            <w:tcW w:w="1386" w:type="dxa"/>
            <w:tcBorders>
              <w:top w:val="nil"/>
              <w:left w:val="nil"/>
              <w:bottom w:val="nil"/>
              <w:right w:val="single" w:sz="4" w:space="0" w:color="auto"/>
            </w:tcBorders>
            <w:shd w:val="clear" w:color="auto" w:fill="auto"/>
            <w:vAlign w:val="center"/>
            <w:hideMark/>
          </w:tcPr>
          <w:p w14:paraId="2FC0F6E5"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4.9%</w:t>
            </w:r>
          </w:p>
        </w:tc>
      </w:tr>
      <w:tr w:rsidR="009100C7" w:rsidRPr="00F13D81" w14:paraId="14C840C8" w14:textId="77777777" w:rsidTr="00DC6567">
        <w:trPr>
          <w:trHeight w:val="480"/>
          <w:jc w:val="center"/>
        </w:trPr>
        <w:tc>
          <w:tcPr>
            <w:tcW w:w="2900" w:type="dxa"/>
            <w:tcBorders>
              <w:top w:val="nil"/>
              <w:left w:val="single" w:sz="4" w:space="0" w:color="auto"/>
              <w:bottom w:val="nil"/>
              <w:right w:val="nil"/>
            </w:tcBorders>
            <w:shd w:val="clear" w:color="auto" w:fill="auto"/>
            <w:vAlign w:val="center"/>
            <w:hideMark/>
          </w:tcPr>
          <w:p w14:paraId="78FCB1B9" w14:textId="77777777" w:rsidR="009100C7" w:rsidRPr="00F13D81" w:rsidRDefault="009100C7" w:rsidP="00DC6567">
            <w:pPr>
              <w:widowControl/>
              <w:autoSpaceDE/>
              <w:autoSpaceDN/>
              <w:rPr>
                <w:rFonts w:eastAsia="Times New Roman"/>
                <w:b/>
                <w:bCs/>
                <w:color w:val="002060"/>
                <w:sz w:val="18"/>
                <w:szCs w:val="18"/>
                <w:lang w:eastAsia="el-GR"/>
              </w:rPr>
            </w:pPr>
            <w:r w:rsidRPr="00F13D81">
              <w:rPr>
                <w:rFonts w:eastAsia="Times New Roman"/>
                <w:b/>
                <w:bCs/>
                <w:color w:val="002060"/>
                <w:sz w:val="18"/>
                <w:szCs w:val="18"/>
                <w:lang w:eastAsia="el-GR"/>
              </w:rPr>
              <w:t>Επενδυτικοί τίτλοι</w:t>
            </w:r>
          </w:p>
        </w:tc>
        <w:tc>
          <w:tcPr>
            <w:tcW w:w="1540" w:type="dxa"/>
            <w:tcBorders>
              <w:top w:val="nil"/>
              <w:left w:val="nil"/>
              <w:bottom w:val="nil"/>
              <w:right w:val="nil"/>
            </w:tcBorders>
            <w:shd w:val="clear" w:color="auto" w:fill="auto"/>
            <w:vAlign w:val="center"/>
            <w:hideMark/>
          </w:tcPr>
          <w:p w14:paraId="113AFD0C"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1,000.5</w:t>
            </w:r>
          </w:p>
        </w:tc>
        <w:tc>
          <w:tcPr>
            <w:tcW w:w="1420" w:type="dxa"/>
            <w:tcBorders>
              <w:top w:val="nil"/>
              <w:left w:val="nil"/>
              <w:bottom w:val="nil"/>
              <w:right w:val="nil"/>
            </w:tcBorders>
            <w:shd w:val="clear" w:color="auto" w:fill="auto"/>
            <w:vAlign w:val="center"/>
            <w:hideMark/>
          </w:tcPr>
          <w:p w14:paraId="1F0A6C22"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981.1</w:t>
            </w:r>
          </w:p>
        </w:tc>
        <w:tc>
          <w:tcPr>
            <w:tcW w:w="1560" w:type="dxa"/>
            <w:tcBorders>
              <w:top w:val="nil"/>
              <w:left w:val="nil"/>
              <w:bottom w:val="nil"/>
              <w:right w:val="nil"/>
            </w:tcBorders>
            <w:shd w:val="clear" w:color="auto" w:fill="auto"/>
            <w:vAlign w:val="center"/>
            <w:hideMark/>
          </w:tcPr>
          <w:p w14:paraId="6DE325B9"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19.5</w:t>
            </w:r>
          </w:p>
        </w:tc>
        <w:tc>
          <w:tcPr>
            <w:tcW w:w="1386" w:type="dxa"/>
            <w:tcBorders>
              <w:top w:val="nil"/>
              <w:left w:val="nil"/>
              <w:bottom w:val="nil"/>
              <w:right w:val="single" w:sz="4" w:space="0" w:color="auto"/>
            </w:tcBorders>
            <w:shd w:val="clear" w:color="auto" w:fill="auto"/>
            <w:vAlign w:val="center"/>
            <w:hideMark/>
          </w:tcPr>
          <w:p w14:paraId="3E2B0E16"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2.0%</w:t>
            </w:r>
          </w:p>
        </w:tc>
      </w:tr>
      <w:tr w:rsidR="009100C7" w:rsidRPr="00F13D81" w14:paraId="71007A3D" w14:textId="77777777" w:rsidTr="00DC6567">
        <w:trPr>
          <w:trHeight w:val="480"/>
          <w:jc w:val="center"/>
        </w:trPr>
        <w:tc>
          <w:tcPr>
            <w:tcW w:w="2900" w:type="dxa"/>
            <w:tcBorders>
              <w:top w:val="nil"/>
              <w:left w:val="single" w:sz="4" w:space="0" w:color="auto"/>
              <w:bottom w:val="nil"/>
              <w:right w:val="nil"/>
            </w:tcBorders>
            <w:shd w:val="clear" w:color="auto" w:fill="auto"/>
            <w:vAlign w:val="center"/>
            <w:hideMark/>
          </w:tcPr>
          <w:p w14:paraId="6169E383" w14:textId="77777777" w:rsidR="009100C7" w:rsidRPr="00F13D81" w:rsidRDefault="009100C7" w:rsidP="00DC6567">
            <w:pPr>
              <w:widowControl/>
              <w:autoSpaceDE/>
              <w:autoSpaceDN/>
              <w:rPr>
                <w:rFonts w:eastAsia="Times New Roman"/>
                <w:b/>
                <w:bCs/>
                <w:color w:val="002060"/>
                <w:sz w:val="18"/>
                <w:szCs w:val="18"/>
                <w:lang w:eastAsia="el-GR"/>
              </w:rPr>
            </w:pPr>
            <w:r w:rsidRPr="00F13D81">
              <w:rPr>
                <w:rFonts w:eastAsia="Times New Roman"/>
                <w:b/>
                <w:bCs/>
                <w:color w:val="002060"/>
                <w:sz w:val="18"/>
                <w:szCs w:val="18"/>
                <w:lang w:eastAsia="el-GR"/>
              </w:rPr>
              <w:t>Πάγια και άυλα στοιχεία, επενδύσεις σε ακίνητα</w:t>
            </w:r>
          </w:p>
        </w:tc>
        <w:tc>
          <w:tcPr>
            <w:tcW w:w="1540" w:type="dxa"/>
            <w:tcBorders>
              <w:top w:val="nil"/>
              <w:left w:val="nil"/>
              <w:bottom w:val="nil"/>
              <w:right w:val="nil"/>
            </w:tcBorders>
            <w:shd w:val="clear" w:color="auto" w:fill="auto"/>
            <w:vAlign w:val="center"/>
            <w:hideMark/>
          </w:tcPr>
          <w:p w14:paraId="364A14E6"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162.5</w:t>
            </w:r>
          </w:p>
        </w:tc>
        <w:tc>
          <w:tcPr>
            <w:tcW w:w="1420" w:type="dxa"/>
            <w:tcBorders>
              <w:top w:val="nil"/>
              <w:left w:val="nil"/>
              <w:bottom w:val="nil"/>
              <w:right w:val="nil"/>
            </w:tcBorders>
            <w:shd w:val="clear" w:color="auto" w:fill="auto"/>
            <w:vAlign w:val="center"/>
            <w:hideMark/>
          </w:tcPr>
          <w:p w14:paraId="53107C24"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162.2</w:t>
            </w:r>
          </w:p>
        </w:tc>
        <w:tc>
          <w:tcPr>
            <w:tcW w:w="1560" w:type="dxa"/>
            <w:tcBorders>
              <w:top w:val="nil"/>
              <w:left w:val="nil"/>
              <w:bottom w:val="nil"/>
              <w:right w:val="nil"/>
            </w:tcBorders>
            <w:shd w:val="clear" w:color="auto" w:fill="auto"/>
            <w:vAlign w:val="center"/>
            <w:hideMark/>
          </w:tcPr>
          <w:p w14:paraId="3A7760F2"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0.3</w:t>
            </w:r>
          </w:p>
        </w:tc>
        <w:tc>
          <w:tcPr>
            <w:tcW w:w="1386" w:type="dxa"/>
            <w:tcBorders>
              <w:top w:val="nil"/>
              <w:left w:val="nil"/>
              <w:bottom w:val="nil"/>
              <w:right w:val="single" w:sz="4" w:space="0" w:color="auto"/>
            </w:tcBorders>
            <w:shd w:val="clear" w:color="auto" w:fill="auto"/>
            <w:vAlign w:val="center"/>
            <w:hideMark/>
          </w:tcPr>
          <w:p w14:paraId="10CF0506"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0.2%</w:t>
            </w:r>
          </w:p>
        </w:tc>
      </w:tr>
      <w:tr w:rsidR="009100C7" w:rsidRPr="00F13D81" w14:paraId="62EBC184" w14:textId="77777777" w:rsidTr="00DC6567">
        <w:trPr>
          <w:trHeight w:val="480"/>
          <w:jc w:val="center"/>
        </w:trPr>
        <w:tc>
          <w:tcPr>
            <w:tcW w:w="2900" w:type="dxa"/>
            <w:tcBorders>
              <w:top w:val="nil"/>
              <w:left w:val="single" w:sz="4" w:space="0" w:color="auto"/>
              <w:bottom w:val="nil"/>
              <w:right w:val="nil"/>
            </w:tcBorders>
            <w:shd w:val="clear" w:color="auto" w:fill="auto"/>
            <w:vAlign w:val="center"/>
            <w:hideMark/>
          </w:tcPr>
          <w:p w14:paraId="3A5E65CE" w14:textId="77777777" w:rsidR="009100C7" w:rsidRPr="00F13D81" w:rsidRDefault="009100C7" w:rsidP="00DC6567">
            <w:pPr>
              <w:widowControl/>
              <w:autoSpaceDE/>
              <w:autoSpaceDN/>
              <w:rPr>
                <w:rFonts w:eastAsia="Times New Roman"/>
                <w:b/>
                <w:bCs/>
                <w:color w:val="002060"/>
                <w:sz w:val="18"/>
                <w:szCs w:val="18"/>
                <w:lang w:eastAsia="el-GR"/>
              </w:rPr>
            </w:pPr>
            <w:r w:rsidRPr="00F13D81">
              <w:rPr>
                <w:rFonts w:eastAsia="Times New Roman"/>
                <w:b/>
                <w:bCs/>
                <w:color w:val="002060"/>
                <w:sz w:val="18"/>
                <w:szCs w:val="18"/>
                <w:lang w:eastAsia="el-GR"/>
              </w:rPr>
              <w:t>Αναβαλλόμενη φορολογική απαίτηση</w:t>
            </w:r>
          </w:p>
        </w:tc>
        <w:tc>
          <w:tcPr>
            <w:tcW w:w="1540" w:type="dxa"/>
            <w:tcBorders>
              <w:top w:val="nil"/>
              <w:left w:val="nil"/>
              <w:bottom w:val="nil"/>
              <w:right w:val="nil"/>
            </w:tcBorders>
            <w:shd w:val="clear" w:color="auto" w:fill="auto"/>
            <w:vAlign w:val="center"/>
            <w:hideMark/>
          </w:tcPr>
          <w:p w14:paraId="52745C30"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414.3</w:t>
            </w:r>
          </w:p>
        </w:tc>
        <w:tc>
          <w:tcPr>
            <w:tcW w:w="1420" w:type="dxa"/>
            <w:tcBorders>
              <w:top w:val="nil"/>
              <w:left w:val="nil"/>
              <w:bottom w:val="nil"/>
              <w:right w:val="nil"/>
            </w:tcBorders>
            <w:shd w:val="clear" w:color="auto" w:fill="auto"/>
            <w:vAlign w:val="center"/>
            <w:hideMark/>
          </w:tcPr>
          <w:p w14:paraId="55017ACC"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421.4</w:t>
            </w:r>
          </w:p>
        </w:tc>
        <w:tc>
          <w:tcPr>
            <w:tcW w:w="1560" w:type="dxa"/>
            <w:tcBorders>
              <w:top w:val="nil"/>
              <w:left w:val="nil"/>
              <w:bottom w:val="nil"/>
              <w:right w:val="nil"/>
            </w:tcBorders>
            <w:shd w:val="clear" w:color="auto" w:fill="auto"/>
            <w:vAlign w:val="center"/>
            <w:hideMark/>
          </w:tcPr>
          <w:p w14:paraId="34D0CA63"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-7.1</w:t>
            </w:r>
          </w:p>
        </w:tc>
        <w:tc>
          <w:tcPr>
            <w:tcW w:w="1386" w:type="dxa"/>
            <w:tcBorders>
              <w:top w:val="nil"/>
              <w:left w:val="nil"/>
              <w:bottom w:val="nil"/>
              <w:right w:val="single" w:sz="4" w:space="0" w:color="auto"/>
            </w:tcBorders>
            <w:shd w:val="clear" w:color="auto" w:fill="auto"/>
            <w:vAlign w:val="center"/>
            <w:hideMark/>
          </w:tcPr>
          <w:p w14:paraId="48F10F7B"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-1.7%</w:t>
            </w:r>
          </w:p>
        </w:tc>
      </w:tr>
      <w:tr w:rsidR="009100C7" w:rsidRPr="00F13D81" w14:paraId="084F44B1" w14:textId="77777777" w:rsidTr="00DC6567">
        <w:trPr>
          <w:trHeight w:val="255"/>
          <w:jc w:val="center"/>
        </w:trPr>
        <w:tc>
          <w:tcPr>
            <w:tcW w:w="2900" w:type="dxa"/>
            <w:tcBorders>
              <w:top w:val="nil"/>
              <w:left w:val="single" w:sz="4" w:space="0" w:color="auto"/>
              <w:bottom w:val="nil"/>
              <w:right w:val="nil"/>
            </w:tcBorders>
            <w:shd w:val="clear" w:color="auto" w:fill="auto"/>
            <w:vAlign w:val="center"/>
            <w:hideMark/>
          </w:tcPr>
          <w:p w14:paraId="096BCB02" w14:textId="77777777" w:rsidR="009100C7" w:rsidRPr="00F13D81" w:rsidRDefault="009100C7" w:rsidP="00DC6567">
            <w:pPr>
              <w:widowControl/>
              <w:autoSpaceDE/>
              <w:autoSpaceDN/>
              <w:rPr>
                <w:rFonts w:eastAsia="Times New Roman"/>
                <w:b/>
                <w:bCs/>
                <w:color w:val="002060"/>
                <w:sz w:val="18"/>
                <w:szCs w:val="18"/>
                <w:lang w:eastAsia="el-GR"/>
              </w:rPr>
            </w:pPr>
            <w:r w:rsidRPr="00F13D81">
              <w:rPr>
                <w:rFonts w:eastAsia="Times New Roman"/>
                <w:b/>
                <w:bCs/>
                <w:color w:val="002060"/>
                <w:sz w:val="18"/>
                <w:szCs w:val="18"/>
                <w:lang w:eastAsia="el-GR"/>
              </w:rPr>
              <w:t>Λοιπά στοιχεία ενεργητικού</w:t>
            </w:r>
          </w:p>
        </w:tc>
        <w:tc>
          <w:tcPr>
            <w:tcW w:w="1540" w:type="dxa"/>
            <w:tcBorders>
              <w:top w:val="nil"/>
              <w:left w:val="nil"/>
              <w:bottom w:val="nil"/>
              <w:right w:val="nil"/>
            </w:tcBorders>
            <w:shd w:val="clear" w:color="auto" w:fill="auto"/>
            <w:vAlign w:val="center"/>
            <w:hideMark/>
          </w:tcPr>
          <w:p w14:paraId="0757CE57"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390.1</w:t>
            </w:r>
          </w:p>
        </w:tc>
        <w:tc>
          <w:tcPr>
            <w:tcW w:w="1420" w:type="dxa"/>
            <w:tcBorders>
              <w:top w:val="nil"/>
              <w:left w:val="nil"/>
              <w:bottom w:val="nil"/>
              <w:right w:val="nil"/>
            </w:tcBorders>
            <w:shd w:val="clear" w:color="auto" w:fill="auto"/>
            <w:vAlign w:val="center"/>
            <w:hideMark/>
          </w:tcPr>
          <w:p w14:paraId="4E93A570"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413.9</w:t>
            </w:r>
          </w:p>
        </w:tc>
        <w:tc>
          <w:tcPr>
            <w:tcW w:w="1560" w:type="dxa"/>
            <w:tcBorders>
              <w:top w:val="nil"/>
              <w:left w:val="nil"/>
              <w:bottom w:val="nil"/>
              <w:right w:val="nil"/>
            </w:tcBorders>
            <w:shd w:val="clear" w:color="auto" w:fill="auto"/>
            <w:vAlign w:val="center"/>
            <w:hideMark/>
          </w:tcPr>
          <w:p w14:paraId="113E9E9E"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-23.9</w:t>
            </w:r>
          </w:p>
        </w:tc>
        <w:tc>
          <w:tcPr>
            <w:tcW w:w="1386" w:type="dxa"/>
            <w:tcBorders>
              <w:top w:val="nil"/>
              <w:left w:val="nil"/>
              <w:bottom w:val="nil"/>
              <w:right w:val="single" w:sz="4" w:space="0" w:color="auto"/>
            </w:tcBorders>
            <w:shd w:val="clear" w:color="auto" w:fill="auto"/>
            <w:vAlign w:val="center"/>
            <w:hideMark/>
          </w:tcPr>
          <w:p w14:paraId="2A57E094"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-5.8%</w:t>
            </w:r>
          </w:p>
        </w:tc>
      </w:tr>
      <w:tr w:rsidR="009100C7" w:rsidRPr="00F13D81" w14:paraId="4B834E68" w14:textId="77777777" w:rsidTr="00DC6567">
        <w:trPr>
          <w:trHeight w:val="345"/>
          <w:jc w:val="center"/>
        </w:trPr>
        <w:tc>
          <w:tcPr>
            <w:tcW w:w="2900" w:type="dxa"/>
            <w:tcBorders>
              <w:top w:val="nil"/>
              <w:left w:val="single" w:sz="4" w:space="0" w:color="auto"/>
              <w:bottom w:val="nil"/>
              <w:right w:val="nil"/>
            </w:tcBorders>
            <w:shd w:val="clear" w:color="000000" w:fill="BFBFBF"/>
            <w:vAlign w:val="center"/>
            <w:hideMark/>
          </w:tcPr>
          <w:p w14:paraId="640AF33F" w14:textId="77777777" w:rsidR="009100C7" w:rsidRPr="00F13D81" w:rsidRDefault="009100C7" w:rsidP="00DC6567">
            <w:pPr>
              <w:widowControl/>
              <w:autoSpaceDE/>
              <w:autoSpaceDN/>
              <w:rPr>
                <w:rFonts w:eastAsia="Times New Roman"/>
                <w:b/>
                <w:bCs/>
                <w:color w:val="002060"/>
                <w:sz w:val="18"/>
                <w:szCs w:val="18"/>
                <w:lang w:eastAsia="el-GR"/>
              </w:rPr>
            </w:pPr>
            <w:r w:rsidRPr="00F13D81">
              <w:rPr>
                <w:rFonts w:eastAsia="Times New Roman"/>
                <w:b/>
                <w:bCs/>
                <w:color w:val="002060"/>
                <w:sz w:val="18"/>
                <w:szCs w:val="18"/>
                <w:lang w:eastAsia="el-GR"/>
              </w:rPr>
              <w:t>Σύνολο ενεργητικού</w:t>
            </w:r>
          </w:p>
        </w:tc>
        <w:tc>
          <w:tcPr>
            <w:tcW w:w="1540" w:type="dxa"/>
            <w:tcBorders>
              <w:top w:val="nil"/>
              <w:left w:val="nil"/>
              <w:bottom w:val="nil"/>
              <w:right w:val="nil"/>
            </w:tcBorders>
            <w:shd w:val="clear" w:color="000000" w:fill="BFBFBF"/>
            <w:vAlign w:val="center"/>
            <w:hideMark/>
          </w:tcPr>
          <w:p w14:paraId="13229387" w14:textId="77777777" w:rsidR="009100C7" w:rsidRPr="00F13D81" w:rsidRDefault="009100C7" w:rsidP="00DC6567">
            <w:pPr>
              <w:widowControl/>
              <w:autoSpaceDE/>
              <w:autoSpaceDN/>
              <w:jc w:val="center"/>
              <w:rPr>
                <w:rFonts w:eastAsia="Times New Roman"/>
                <w:b/>
                <w:bCs/>
                <w:color w:val="002060"/>
                <w:sz w:val="18"/>
                <w:szCs w:val="18"/>
                <w:lang w:eastAsia="el-GR"/>
              </w:rPr>
            </w:pPr>
            <w:r w:rsidRPr="00F13D81">
              <w:rPr>
                <w:rFonts w:eastAsia="Times New Roman"/>
                <w:b/>
                <w:bCs/>
                <w:color w:val="002060"/>
                <w:sz w:val="18"/>
                <w:szCs w:val="18"/>
                <w:lang w:eastAsia="el-GR"/>
              </w:rPr>
              <w:t>3,647.2</w:t>
            </w:r>
          </w:p>
        </w:tc>
        <w:tc>
          <w:tcPr>
            <w:tcW w:w="1420" w:type="dxa"/>
            <w:tcBorders>
              <w:top w:val="nil"/>
              <w:left w:val="nil"/>
              <w:bottom w:val="nil"/>
              <w:right w:val="nil"/>
            </w:tcBorders>
            <w:shd w:val="clear" w:color="000000" w:fill="BFBFBF"/>
            <w:vAlign w:val="center"/>
            <w:hideMark/>
          </w:tcPr>
          <w:p w14:paraId="30825B24" w14:textId="77777777" w:rsidR="009100C7" w:rsidRPr="00F13D81" w:rsidRDefault="009100C7" w:rsidP="00DC6567">
            <w:pPr>
              <w:widowControl/>
              <w:autoSpaceDE/>
              <w:autoSpaceDN/>
              <w:jc w:val="center"/>
              <w:rPr>
                <w:rFonts w:eastAsia="Times New Roman"/>
                <w:b/>
                <w:bCs/>
                <w:color w:val="002060"/>
                <w:sz w:val="18"/>
                <w:szCs w:val="18"/>
                <w:lang w:eastAsia="el-GR"/>
              </w:rPr>
            </w:pPr>
            <w:r w:rsidRPr="00F13D81">
              <w:rPr>
                <w:rFonts w:eastAsia="Times New Roman"/>
                <w:b/>
                <w:bCs/>
                <w:color w:val="002060"/>
                <w:sz w:val="18"/>
                <w:szCs w:val="18"/>
                <w:lang w:eastAsia="el-GR"/>
              </w:rPr>
              <w:t>3,579.5</w:t>
            </w:r>
          </w:p>
        </w:tc>
        <w:tc>
          <w:tcPr>
            <w:tcW w:w="1560" w:type="dxa"/>
            <w:tcBorders>
              <w:top w:val="nil"/>
              <w:left w:val="nil"/>
              <w:bottom w:val="nil"/>
              <w:right w:val="nil"/>
            </w:tcBorders>
            <w:shd w:val="clear" w:color="000000" w:fill="BFBFBF"/>
            <w:vAlign w:val="center"/>
            <w:hideMark/>
          </w:tcPr>
          <w:p w14:paraId="13EF374B" w14:textId="77777777" w:rsidR="009100C7" w:rsidRPr="00F13D81" w:rsidRDefault="009100C7" w:rsidP="00DC6567">
            <w:pPr>
              <w:widowControl/>
              <w:autoSpaceDE/>
              <w:autoSpaceDN/>
              <w:jc w:val="center"/>
              <w:rPr>
                <w:rFonts w:eastAsia="Times New Roman"/>
                <w:b/>
                <w:bCs/>
                <w:color w:val="002060"/>
                <w:sz w:val="18"/>
                <w:szCs w:val="18"/>
                <w:lang w:eastAsia="el-GR"/>
              </w:rPr>
            </w:pPr>
            <w:r w:rsidRPr="00F13D81">
              <w:rPr>
                <w:rFonts w:eastAsia="Times New Roman"/>
                <w:b/>
                <w:bCs/>
                <w:color w:val="002060"/>
                <w:sz w:val="18"/>
                <w:szCs w:val="18"/>
                <w:lang w:eastAsia="el-GR"/>
              </w:rPr>
              <w:t>67.6</w:t>
            </w:r>
          </w:p>
        </w:tc>
        <w:tc>
          <w:tcPr>
            <w:tcW w:w="1386" w:type="dxa"/>
            <w:tcBorders>
              <w:top w:val="nil"/>
              <w:left w:val="nil"/>
              <w:bottom w:val="nil"/>
              <w:right w:val="single" w:sz="4" w:space="0" w:color="auto"/>
            </w:tcBorders>
            <w:shd w:val="clear" w:color="000000" w:fill="BFBFBF"/>
            <w:vAlign w:val="center"/>
            <w:hideMark/>
          </w:tcPr>
          <w:p w14:paraId="5B28E919" w14:textId="77777777" w:rsidR="009100C7" w:rsidRPr="00F13D81" w:rsidRDefault="009100C7" w:rsidP="00DC6567">
            <w:pPr>
              <w:widowControl/>
              <w:autoSpaceDE/>
              <w:autoSpaceDN/>
              <w:jc w:val="center"/>
              <w:rPr>
                <w:rFonts w:eastAsia="Times New Roman"/>
                <w:b/>
                <w:bCs/>
                <w:color w:val="002060"/>
                <w:sz w:val="18"/>
                <w:szCs w:val="18"/>
                <w:lang w:eastAsia="el-GR"/>
              </w:rPr>
            </w:pPr>
            <w:r w:rsidRPr="00F13D81">
              <w:rPr>
                <w:rFonts w:eastAsia="Times New Roman"/>
                <w:b/>
                <w:bCs/>
                <w:color w:val="002060"/>
                <w:sz w:val="18"/>
                <w:szCs w:val="18"/>
                <w:lang w:eastAsia="el-GR"/>
              </w:rPr>
              <w:t>1.9%</w:t>
            </w:r>
          </w:p>
        </w:tc>
      </w:tr>
      <w:tr w:rsidR="009100C7" w:rsidRPr="00F13D81" w14:paraId="2F64F646" w14:textId="77777777" w:rsidTr="00DC6567">
        <w:trPr>
          <w:trHeight w:val="480"/>
          <w:jc w:val="center"/>
        </w:trPr>
        <w:tc>
          <w:tcPr>
            <w:tcW w:w="2900" w:type="dxa"/>
            <w:tcBorders>
              <w:top w:val="nil"/>
              <w:left w:val="single" w:sz="4" w:space="0" w:color="auto"/>
              <w:bottom w:val="nil"/>
              <w:right w:val="nil"/>
            </w:tcBorders>
            <w:shd w:val="clear" w:color="auto" w:fill="auto"/>
            <w:vAlign w:val="center"/>
            <w:hideMark/>
          </w:tcPr>
          <w:p w14:paraId="0763BBF5" w14:textId="77777777" w:rsidR="009100C7" w:rsidRPr="00F13D81" w:rsidRDefault="009100C7" w:rsidP="00DC6567">
            <w:pPr>
              <w:widowControl/>
              <w:autoSpaceDE/>
              <w:autoSpaceDN/>
              <w:rPr>
                <w:rFonts w:eastAsia="Times New Roman"/>
                <w:b/>
                <w:bCs/>
                <w:color w:val="002060"/>
                <w:sz w:val="18"/>
                <w:szCs w:val="18"/>
                <w:lang w:eastAsia="el-GR"/>
              </w:rPr>
            </w:pPr>
            <w:r w:rsidRPr="00F13D81">
              <w:rPr>
                <w:rFonts w:eastAsia="Times New Roman"/>
                <w:b/>
                <w:bCs/>
                <w:color w:val="002060"/>
                <w:sz w:val="18"/>
                <w:szCs w:val="18"/>
                <w:lang w:eastAsia="el-GR"/>
              </w:rPr>
              <w:t>Υποχρεώσεις προς πιστωτικά ιδρύματα</w:t>
            </w:r>
          </w:p>
        </w:tc>
        <w:tc>
          <w:tcPr>
            <w:tcW w:w="1540" w:type="dxa"/>
            <w:tcBorders>
              <w:top w:val="nil"/>
              <w:left w:val="nil"/>
              <w:bottom w:val="nil"/>
              <w:right w:val="nil"/>
            </w:tcBorders>
            <w:shd w:val="clear" w:color="auto" w:fill="auto"/>
            <w:vAlign w:val="center"/>
            <w:hideMark/>
          </w:tcPr>
          <w:p w14:paraId="182E671F"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393.0</w:t>
            </w:r>
          </w:p>
        </w:tc>
        <w:tc>
          <w:tcPr>
            <w:tcW w:w="1420" w:type="dxa"/>
            <w:tcBorders>
              <w:top w:val="nil"/>
              <w:left w:val="nil"/>
              <w:bottom w:val="nil"/>
              <w:right w:val="nil"/>
            </w:tcBorders>
            <w:shd w:val="clear" w:color="auto" w:fill="auto"/>
            <w:vAlign w:val="center"/>
            <w:hideMark/>
          </w:tcPr>
          <w:p w14:paraId="4736BDD1"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401.2</w:t>
            </w:r>
          </w:p>
        </w:tc>
        <w:tc>
          <w:tcPr>
            <w:tcW w:w="1560" w:type="dxa"/>
            <w:tcBorders>
              <w:top w:val="nil"/>
              <w:left w:val="nil"/>
              <w:bottom w:val="nil"/>
              <w:right w:val="nil"/>
            </w:tcBorders>
            <w:shd w:val="clear" w:color="auto" w:fill="auto"/>
            <w:vAlign w:val="center"/>
            <w:hideMark/>
          </w:tcPr>
          <w:p w14:paraId="1A1CE58D"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-8.1</w:t>
            </w:r>
          </w:p>
        </w:tc>
        <w:tc>
          <w:tcPr>
            <w:tcW w:w="1386" w:type="dxa"/>
            <w:tcBorders>
              <w:top w:val="nil"/>
              <w:left w:val="nil"/>
              <w:bottom w:val="nil"/>
              <w:right w:val="single" w:sz="4" w:space="0" w:color="auto"/>
            </w:tcBorders>
            <w:shd w:val="clear" w:color="auto" w:fill="auto"/>
            <w:vAlign w:val="center"/>
            <w:hideMark/>
          </w:tcPr>
          <w:p w14:paraId="619F17E7"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-2.0%</w:t>
            </w:r>
          </w:p>
        </w:tc>
      </w:tr>
      <w:tr w:rsidR="009100C7" w:rsidRPr="00F13D81" w14:paraId="3321E646" w14:textId="77777777" w:rsidTr="00DC6567">
        <w:trPr>
          <w:trHeight w:val="255"/>
          <w:jc w:val="center"/>
        </w:trPr>
        <w:tc>
          <w:tcPr>
            <w:tcW w:w="2900" w:type="dxa"/>
            <w:tcBorders>
              <w:top w:val="nil"/>
              <w:left w:val="single" w:sz="4" w:space="0" w:color="auto"/>
              <w:bottom w:val="nil"/>
              <w:right w:val="nil"/>
            </w:tcBorders>
            <w:shd w:val="clear" w:color="auto" w:fill="auto"/>
            <w:vAlign w:val="center"/>
            <w:hideMark/>
          </w:tcPr>
          <w:p w14:paraId="4F48B0D9" w14:textId="77777777" w:rsidR="009100C7" w:rsidRPr="00F13D81" w:rsidRDefault="009100C7" w:rsidP="00DC6567">
            <w:pPr>
              <w:widowControl/>
              <w:autoSpaceDE/>
              <w:autoSpaceDN/>
              <w:rPr>
                <w:rFonts w:eastAsia="Times New Roman"/>
                <w:b/>
                <w:bCs/>
                <w:color w:val="002060"/>
                <w:sz w:val="18"/>
                <w:szCs w:val="18"/>
                <w:lang w:eastAsia="el-GR"/>
              </w:rPr>
            </w:pPr>
            <w:r w:rsidRPr="00F13D81">
              <w:rPr>
                <w:rFonts w:eastAsia="Times New Roman"/>
                <w:b/>
                <w:bCs/>
                <w:color w:val="002060"/>
                <w:sz w:val="18"/>
                <w:szCs w:val="18"/>
                <w:lang w:eastAsia="el-GR"/>
              </w:rPr>
              <w:t>Υποχρεώσεις προς πελάτες</w:t>
            </w:r>
          </w:p>
        </w:tc>
        <w:tc>
          <w:tcPr>
            <w:tcW w:w="1540" w:type="dxa"/>
            <w:tcBorders>
              <w:top w:val="nil"/>
              <w:left w:val="nil"/>
              <w:bottom w:val="nil"/>
              <w:right w:val="nil"/>
            </w:tcBorders>
            <w:shd w:val="clear" w:color="auto" w:fill="auto"/>
            <w:vAlign w:val="center"/>
            <w:hideMark/>
          </w:tcPr>
          <w:p w14:paraId="32B5515F"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2,896.0</w:t>
            </w:r>
          </w:p>
        </w:tc>
        <w:tc>
          <w:tcPr>
            <w:tcW w:w="1420" w:type="dxa"/>
            <w:tcBorders>
              <w:top w:val="nil"/>
              <w:left w:val="nil"/>
              <w:bottom w:val="nil"/>
              <w:right w:val="nil"/>
            </w:tcBorders>
            <w:shd w:val="clear" w:color="auto" w:fill="auto"/>
            <w:vAlign w:val="center"/>
            <w:hideMark/>
          </w:tcPr>
          <w:p w14:paraId="70FF697F"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2,801.4</w:t>
            </w:r>
          </w:p>
        </w:tc>
        <w:tc>
          <w:tcPr>
            <w:tcW w:w="1560" w:type="dxa"/>
            <w:tcBorders>
              <w:top w:val="nil"/>
              <w:left w:val="nil"/>
              <w:bottom w:val="nil"/>
              <w:right w:val="nil"/>
            </w:tcBorders>
            <w:shd w:val="clear" w:color="auto" w:fill="auto"/>
            <w:vAlign w:val="center"/>
            <w:hideMark/>
          </w:tcPr>
          <w:p w14:paraId="117F31FD"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94.6</w:t>
            </w:r>
          </w:p>
        </w:tc>
        <w:tc>
          <w:tcPr>
            <w:tcW w:w="1386" w:type="dxa"/>
            <w:tcBorders>
              <w:top w:val="nil"/>
              <w:left w:val="nil"/>
              <w:bottom w:val="nil"/>
              <w:right w:val="single" w:sz="4" w:space="0" w:color="auto"/>
            </w:tcBorders>
            <w:shd w:val="clear" w:color="auto" w:fill="auto"/>
            <w:vAlign w:val="center"/>
            <w:hideMark/>
          </w:tcPr>
          <w:p w14:paraId="57AD6C55"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3.4%</w:t>
            </w:r>
          </w:p>
        </w:tc>
      </w:tr>
      <w:tr w:rsidR="009100C7" w:rsidRPr="00F13D81" w14:paraId="3B160487" w14:textId="77777777" w:rsidTr="00DC6567">
        <w:trPr>
          <w:trHeight w:val="255"/>
          <w:jc w:val="center"/>
        </w:trPr>
        <w:tc>
          <w:tcPr>
            <w:tcW w:w="2900" w:type="dxa"/>
            <w:tcBorders>
              <w:top w:val="nil"/>
              <w:left w:val="single" w:sz="4" w:space="0" w:color="auto"/>
              <w:bottom w:val="nil"/>
              <w:right w:val="nil"/>
            </w:tcBorders>
            <w:shd w:val="clear" w:color="auto" w:fill="auto"/>
            <w:vAlign w:val="center"/>
            <w:hideMark/>
          </w:tcPr>
          <w:p w14:paraId="368BECC3" w14:textId="77777777" w:rsidR="009100C7" w:rsidRPr="00F13D81" w:rsidRDefault="009100C7" w:rsidP="00DC6567">
            <w:pPr>
              <w:widowControl/>
              <w:autoSpaceDE/>
              <w:autoSpaceDN/>
              <w:rPr>
                <w:rFonts w:eastAsia="Times New Roman"/>
                <w:b/>
                <w:bCs/>
                <w:color w:val="002060"/>
                <w:sz w:val="18"/>
                <w:szCs w:val="18"/>
                <w:lang w:eastAsia="el-GR"/>
              </w:rPr>
            </w:pPr>
            <w:r w:rsidRPr="00F13D81">
              <w:rPr>
                <w:rFonts w:eastAsia="Times New Roman"/>
                <w:b/>
                <w:bCs/>
                <w:color w:val="002060"/>
                <w:sz w:val="18"/>
                <w:szCs w:val="18"/>
                <w:lang w:eastAsia="el-GR"/>
              </w:rPr>
              <w:t>Λοιπές Υποχρεώσεις</w:t>
            </w:r>
          </w:p>
        </w:tc>
        <w:tc>
          <w:tcPr>
            <w:tcW w:w="1540" w:type="dxa"/>
            <w:tcBorders>
              <w:top w:val="nil"/>
              <w:left w:val="nil"/>
              <w:bottom w:val="nil"/>
              <w:right w:val="nil"/>
            </w:tcBorders>
            <w:shd w:val="clear" w:color="auto" w:fill="auto"/>
            <w:vAlign w:val="center"/>
            <w:hideMark/>
          </w:tcPr>
          <w:p w14:paraId="3106CCCF"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170.5</w:t>
            </w:r>
          </w:p>
        </w:tc>
        <w:tc>
          <w:tcPr>
            <w:tcW w:w="1420" w:type="dxa"/>
            <w:tcBorders>
              <w:top w:val="nil"/>
              <w:left w:val="nil"/>
              <w:bottom w:val="nil"/>
              <w:right w:val="nil"/>
            </w:tcBorders>
            <w:shd w:val="clear" w:color="auto" w:fill="auto"/>
            <w:vAlign w:val="center"/>
            <w:hideMark/>
          </w:tcPr>
          <w:p w14:paraId="6CEBDE1D"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170.2</w:t>
            </w:r>
          </w:p>
        </w:tc>
        <w:tc>
          <w:tcPr>
            <w:tcW w:w="1560" w:type="dxa"/>
            <w:tcBorders>
              <w:top w:val="nil"/>
              <w:left w:val="nil"/>
              <w:bottom w:val="nil"/>
              <w:right w:val="nil"/>
            </w:tcBorders>
            <w:shd w:val="clear" w:color="auto" w:fill="auto"/>
            <w:vAlign w:val="center"/>
            <w:hideMark/>
          </w:tcPr>
          <w:p w14:paraId="2FB4F23A"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0.3</w:t>
            </w:r>
          </w:p>
        </w:tc>
        <w:tc>
          <w:tcPr>
            <w:tcW w:w="1386" w:type="dxa"/>
            <w:tcBorders>
              <w:top w:val="nil"/>
              <w:left w:val="nil"/>
              <w:bottom w:val="nil"/>
              <w:right w:val="single" w:sz="4" w:space="0" w:color="auto"/>
            </w:tcBorders>
            <w:shd w:val="clear" w:color="auto" w:fill="auto"/>
            <w:vAlign w:val="center"/>
            <w:hideMark/>
          </w:tcPr>
          <w:p w14:paraId="4BBD5FEE"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0.2%</w:t>
            </w:r>
          </w:p>
        </w:tc>
      </w:tr>
      <w:tr w:rsidR="009100C7" w:rsidRPr="00F13D81" w14:paraId="35A15544" w14:textId="77777777" w:rsidTr="00DC6567">
        <w:trPr>
          <w:trHeight w:val="255"/>
          <w:jc w:val="center"/>
        </w:trPr>
        <w:tc>
          <w:tcPr>
            <w:tcW w:w="2900" w:type="dxa"/>
            <w:tcBorders>
              <w:top w:val="nil"/>
              <w:left w:val="single" w:sz="4" w:space="0" w:color="auto"/>
              <w:bottom w:val="nil"/>
              <w:right w:val="nil"/>
            </w:tcBorders>
            <w:shd w:val="clear" w:color="000000" w:fill="BFBFBF"/>
            <w:vAlign w:val="center"/>
            <w:hideMark/>
          </w:tcPr>
          <w:p w14:paraId="56B88B6E" w14:textId="77777777" w:rsidR="009100C7" w:rsidRPr="00F13D81" w:rsidRDefault="009100C7" w:rsidP="00DC6567">
            <w:pPr>
              <w:widowControl/>
              <w:autoSpaceDE/>
              <w:autoSpaceDN/>
              <w:rPr>
                <w:rFonts w:eastAsia="Times New Roman"/>
                <w:b/>
                <w:bCs/>
                <w:color w:val="002060"/>
                <w:sz w:val="18"/>
                <w:szCs w:val="18"/>
                <w:lang w:eastAsia="el-GR"/>
              </w:rPr>
            </w:pPr>
            <w:r w:rsidRPr="00F13D81">
              <w:rPr>
                <w:rFonts w:eastAsia="Times New Roman"/>
                <w:b/>
                <w:bCs/>
                <w:color w:val="002060"/>
                <w:sz w:val="18"/>
                <w:szCs w:val="18"/>
                <w:lang w:eastAsia="el-GR"/>
              </w:rPr>
              <w:t>Σύνολο υποχρεώσεων</w:t>
            </w:r>
          </w:p>
        </w:tc>
        <w:tc>
          <w:tcPr>
            <w:tcW w:w="1540" w:type="dxa"/>
            <w:tcBorders>
              <w:top w:val="nil"/>
              <w:left w:val="nil"/>
              <w:bottom w:val="nil"/>
              <w:right w:val="nil"/>
            </w:tcBorders>
            <w:shd w:val="clear" w:color="000000" w:fill="BFBFBF"/>
            <w:vAlign w:val="center"/>
            <w:hideMark/>
          </w:tcPr>
          <w:p w14:paraId="00C9D361" w14:textId="77777777" w:rsidR="009100C7" w:rsidRPr="00F13D81" w:rsidRDefault="009100C7" w:rsidP="00DC6567">
            <w:pPr>
              <w:widowControl/>
              <w:autoSpaceDE/>
              <w:autoSpaceDN/>
              <w:jc w:val="center"/>
              <w:rPr>
                <w:rFonts w:eastAsia="Times New Roman"/>
                <w:b/>
                <w:bCs/>
                <w:color w:val="002060"/>
                <w:sz w:val="18"/>
                <w:szCs w:val="18"/>
                <w:lang w:eastAsia="el-GR"/>
              </w:rPr>
            </w:pPr>
            <w:r w:rsidRPr="00F13D81">
              <w:rPr>
                <w:rFonts w:eastAsia="Times New Roman"/>
                <w:b/>
                <w:bCs/>
                <w:color w:val="002060"/>
                <w:sz w:val="18"/>
                <w:szCs w:val="18"/>
                <w:lang w:eastAsia="el-GR"/>
              </w:rPr>
              <w:t>3,459.6</w:t>
            </w:r>
          </w:p>
        </w:tc>
        <w:tc>
          <w:tcPr>
            <w:tcW w:w="1420" w:type="dxa"/>
            <w:tcBorders>
              <w:top w:val="nil"/>
              <w:left w:val="nil"/>
              <w:bottom w:val="nil"/>
              <w:right w:val="nil"/>
            </w:tcBorders>
            <w:shd w:val="clear" w:color="000000" w:fill="BFBFBF"/>
            <w:vAlign w:val="center"/>
            <w:hideMark/>
          </w:tcPr>
          <w:p w14:paraId="59BEF09A" w14:textId="77777777" w:rsidR="009100C7" w:rsidRPr="00F13D81" w:rsidRDefault="009100C7" w:rsidP="00DC6567">
            <w:pPr>
              <w:widowControl/>
              <w:autoSpaceDE/>
              <w:autoSpaceDN/>
              <w:jc w:val="center"/>
              <w:rPr>
                <w:rFonts w:eastAsia="Times New Roman"/>
                <w:b/>
                <w:bCs/>
                <w:color w:val="002060"/>
                <w:sz w:val="18"/>
                <w:szCs w:val="18"/>
                <w:lang w:eastAsia="el-GR"/>
              </w:rPr>
            </w:pPr>
            <w:r w:rsidRPr="00F13D81">
              <w:rPr>
                <w:rFonts w:eastAsia="Times New Roman"/>
                <w:b/>
                <w:bCs/>
                <w:color w:val="002060"/>
                <w:sz w:val="18"/>
                <w:szCs w:val="18"/>
                <w:lang w:eastAsia="el-GR"/>
              </w:rPr>
              <w:t>3,372.9</w:t>
            </w:r>
          </w:p>
        </w:tc>
        <w:tc>
          <w:tcPr>
            <w:tcW w:w="1560" w:type="dxa"/>
            <w:tcBorders>
              <w:top w:val="nil"/>
              <w:left w:val="nil"/>
              <w:bottom w:val="nil"/>
              <w:right w:val="nil"/>
            </w:tcBorders>
            <w:shd w:val="clear" w:color="000000" w:fill="BFBFBF"/>
            <w:vAlign w:val="center"/>
            <w:hideMark/>
          </w:tcPr>
          <w:p w14:paraId="0D211EEA" w14:textId="77777777" w:rsidR="009100C7" w:rsidRPr="00F13D81" w:rsidRDefault="009100C7" w:rsidP="00DC6567">
            <w:pPr>
              <w:widowControl/>
              <w:autoSpaceDE/>
              <w:autoSpaceDN/>
              <w:jc w:val="center"/>
              <w:rPr>
                <w:rFonts w:eastAsia="Times New Roman"/>
                <w:b/>
                <w:bCs/>
                <w:color w:val="002060"/>
                <w:sz w:val="18"/>
                <w:szCs w:val="18"/>
                <w:lang w:eastAsia="el-GR"/>
              </w:rPr>
            </w:pPr>
            <w:r w:rsidRPr="00F13D81">
              <w:rPr>
                <w:rFonts w:eastAsia="Times New Roman"/>
                <w:b/>
                <w:bCs/>
                <w:color w:val="002060"/>
                <w:sz w:val="18"/>
                <w:szCs w:val="18"/>
                <w:lang w:eastAsia="el-GR"/>
              </w:rPr>
              <w:t>86.8</w:t>
            </w:r>
          </w:p>
        </w:tc>
        <w:tc>
          <w:tcPr>
            <w:tcW w:w="1386" w:type="dxa"/>
            <w:tcBorders>
              <w:top w:val="nil"/>
              <w:left w:val="nil"/>
              <w:bottom w:val="nil"/>
              <w:right w:val="single" w:sz="4" w:space="0" w:color="auto"/>
            </w:tcBorders>
            <w:shd w:val="clear" w:color="000000" w:fill="BFBFBF"/>
            <w:vAlign w:val="center"/>
            <w:hideMark/>
          </w:tcPr>
          <w:p w14:paraId="4AABA337" w14:textId="77777777" w:rsidR="009100C7" w:rsidRPr="00F13D81" w:rsidRDefault="009100C7" w:rsidP="00DC6567">
            <w:pPr>
              <w:widowControl/>
              <w:autoSpaceDE/>
              <w:autoSpaceDN/>
              <w:jc w:val="center"/>
              <w:rPr>
                <w:rFonts w:eastAsia="Times New Roman"/>
                <w:b/>
                <w:bCs/>
                <w:color w:val="002060"/>
                <w:sz w:val="18"/>
                <w:szCs w:val="18"/>
                <w:lang w:eastAsia="el-GR"/>
              </w:rPr>
            </w:pPr>
            <w:r w:rsidRPr="00F13D81">
              <w:rPr>
                <w:rFonts w:eastAsia="Times New Roman"/>
                <w:b/>
                <w:bCs/>
                <w:color w:val="002060"/>
                <w:sz w:val="18"/>
                <w:szCs w:val="18"/>
                <w:lang w:eastAsia="el-GR"/>
              </w:rPr>
              <w:t>2.6%</w:t>
            </w:r>
          </w:p>
        </w:tc>
      </w:tr>
      <w:tr w:rsidR="009100C7" w:rsidRPr="00F13D81" w14:paraId="793DBBF7" w14:textId="77777777" w:rsidTr="00DC6567">
        <w:trPr>
          <w:trHeight w:val="255"/>
          <w:jc w:val="center"/>
        </w:trPr>
        <w:tc>
          <w:tcPr>
            <w:tcW w:w="2900" w:type="dxa"/>
            <w:tcBorders>
              <w:top w:val="nil"/>
              <w:left w:val="single" w:sz="4" w:space="0" w:color="auto"/>
              <w:bottom w:val="nil"/>
              <w:right w:val="nil"/>
            </w:tcBorders>
            <w:shd w:val="clear" w:color="auto" w:fill="auto"/>
            <w:vAlign w:val="center"/>
            <w:hideMark/>
          </w:tcPr>
          <w:p w14:paraId="0950D4D8" w14:textId="77777777" w:rsidR="009100C7" w:rsidRPr="00F13D81" w:rsidRDefault="009100C7" w:rsidP="00DC6567">
            <w:pPr>
              <w:widowControl/>
              <w:autoSpaceDE/>
              <w:autoSpaceDN/>
              <w:rPr>
                <w:rFonts w:eastAsia="Times New Roman"/>
                <w:b/>
                <w:bCs/>
                <w:color w:val="002060"/>
                <w:sz w:val="18"/>
                <w:szCs w:val="18"/>
                <w:lang w:eastAsia="el-GR"/>
              </w:rPr>
            </w:pPr>
            <w:r w:rsidRPr="00F13D81">
              <w:rPr>
                <w:rFonts w:eastAsia="Times New Roman"/>
                <w:b/>
                <w:bCs/>
                <w:color w:val="002060"/>
                <w:sz w:val="18"/>
                <w:szCs w:val="18"/>
                <w:lang w:eastAsia="el-GR"/>
              </w:rPr>
              <w:t>Ίδια Κεφάλαια</w:t>
            </w:r>
          </w:p>
        </w:tc>
        <w:tc>
          <w:tcPr>
            <w:tcW w:w="1540" w:type="dxa"/>
            <w:tcBorders>
              <w:top w:val="nil"/>
              <w:left w:val="nil"/>
              <w:bottom w:val="nil"/>
              <w:right w:val="nil"/>
            </w:tcBorders>
            <w:shd w:val="clear" w:color="auto" w:fill="auto"/>
            <w:vAlign w:val="center"/>
            <w:hideMark/>
          </w:tcPr>
          <w:p w14:paraId="7D020C5A"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187.5</w:t>
            </w:r>
          </w:p>
        </w:tc>
        <w:tc>
          <w:tcPr>
            <w:tcW w:w="1420" w:type="dxa"/>
            <w:tcBorders>
              <w:top w:val="nil"/>
              <w:left w:val="nil"/>
              <w:bottom w:val="nil"/>
              <w:right w:val="nil"/>
            </w:tcBorders>
            <w:shd w:val="clear" w:color="auto" w:fill="auto"/>
            <w:vAlign w:val="center"/>
            <w:hideMark/>
          </w:tcPr>
          <w:p w14:paraId="52A0C724"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206.7</w:t>
            </w:r>
          </w:p>
        </w:tc>
        <w:tc>
          <w:tcPr>
            <w:tcW w:w="1560" w:type="dxa"/>
            <w:tcBorders>
              <w:top w:val="nil"/>
              <w:left w:val="nil"/>
              <w:bottom w:val="nil"/>
              <w:right w:val="nil"/>
            </w:tcBorders>
            <w:shd w:val="clear" w:color="auto" w:fill="auto"/>
            <w:vAlign w:val="center"/>
            <w:hideMark/>
          </w:tcPr>
          <w:p w14:paraId="7D048006"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-19.2</w:t>
            </w:r>
          </w:p>
        </w:tc>
        <w:tc>
          <w:tcPr>
            <w:tcW w:w="1386" w:type="dxa"/>
            <w:tcBorders>
              <w:top w:val="nil"/>
              <w:left w:val="nil"/>
              <w:bottom w:val="nil"/>
              <w:right w:val="single" w:sz="4" w:space="0" w:color="auto"/>
            </w:tcBorders>
            <w:shd w:val="clear" w:color="auto" w:fill="auto"/>
            <w:vAlign w:val="center"/>
            <w:hideMark/>
          </w:tcPr>
          <w:p w14:paraId="30B05F1D" w14:textId="77777777" w:rsidR="009100C7" w:rsidRPr="00F13D81" w:rsidRDefault="009100C7" w:rsidP="00DC6567">
            <w:pPr>
              <w:widowControl/>
              <w:autoSpaceDE/>
              <w:autoSpaceDN/>
              <w:jc w:val="center"/>
              <w:rPr>
                <w:rFonts w:eastAsia="Times New Roman"/>
                <w:color w:val="002060"/>
                <w:sz w:val="18"/>
                <w:szCs w:val="18"/>
                <w:lang w:eastAsia="el-GR"/>
              </w:rPr>
            </w:pPr>
            <w:r w:rsidRPr="00F13D81">
              <w:rPr>
                <w:rFonts w:eastAsia="Times New Roman"/>
                <w:color w:val="002060"/>
                <w:sz w:val="18"/>
                <w:szCs w:val="18"/>
                <w:lang w:eastAsia="el-GR"/>
              </w:rPr>
              <w:t>-9.3%</w:t>
            </w:r>
          </w:p>
        </w:tc>
      </w:tr>
      <w:tr w:rsidR="009100C7" w:rsidRPr="00F13D81" w14:paraId="3D7B7AF4" w14:textId="77777777" w:rsidTr="00DC6567">
        <w:trPr>
          <w:trHeight w:val="480"/>
          <w:jc w:val="center"/>
        </w:trPr>
        <w:tc>
          <w:tcPr>
            <w:tcW w:w="2900" w:type="dxa"/>
            <w:tcBorders>
              <w:top w:val="nil"/>
              <w:left w:val="single" w:sz="4" w:space="0" w:color="auto"/>
              <w:bottom w:val="single" w:sz="4" w:space="0" w:color="auto"/>
              <w:right w:val="nil"/>
            </w:tcBorders>
            <w:shd w:val="clear" w:color="000000" w:fill="BFBFBF"/>
            <w:vAlign w:val="center"/>
            <w:hideMark/>
          </w:tcPr>
          <w:p w14:paraId="5060EA2A" w14:textId="77777777" w:rsidR="009100C7" w:rsidRPr="00F13D81" w:rsidRDefault="009100C7" w:rsidP="00DC6567">
            <w:pPr>
              <w:widowControl/>
              <w:autoSpaceDE/>
              <w:autoSpaceDN/>
              <w:rPr>
                <w:rFonts w:eastAsia="Times New Roman"/>
                <w:b/>
                <w:bCs/>
                <w:color w:val="002060"/>
                <w:sz w:val="18"/>
                <w:szCs w:val="18"/>
                <w:lang w:eastAsia="el-GR"/>
              </w:rPr>
            </w:pPr>
            <w:r w:rsidRPr="00F13D81">
              <w:rPr>
                <w:rFonts w:eastAsia="Times New Roman"/>
                <w:b/>
                <w:bCs/>
                <w:color w:val="002060"/>
                <w:sz w:val="18"/>
                <w:szCs w:val="18"/>
                <w:lang w:eastAsia="el-GR"/>
              </w:rPr>
              <w:t>Σύνολο Υποχρεώσεων και Ιδίων Κεφαλαίων</w:t>
            </w:r>
          </w:p>
        </w:tc>
        <w:tc>
          <w:tcPr>
            <w:tcW w:w="1540" w:type="dxa"/>
            <w:tcBorders>
              <w:top w:val="nil"/>
              <w:left w:val="nil"/>
              <w:bottom w:val="single" w:sz="4" w:space="0" w:color="auto"/>
              <w:right w:val="nil"/>
            </w:tcBorders>
            <w:shd w:val="clear" w:color="000000" w:fill="BFBFBF"/>
            <w:vAlign w:val="center"/>
            <w:hideMark/>
          </w:tcPr>
          <w:p w14:paraId="31043BC7" w14:textId="77777777" w:rsidR="009100C7" w:rsidRPr="00F13D81" w:rsidRDefault="009100C7" w:rsidP="00DC6567">
            <w:pPr>
              <w:widowControl/>
              <w:autoSpaceDE/>
              <w:autoSpaceDN/>
              <w:jc w:val="center"/>
              <w:rPr>
                <w:rFonts w:eastAsia="Times New Roman"/>
                <w:b/>
                <w:bCs/>
                <w:color w:val="002060"/>
                <w:sz w:val="18"/>
                <w:szCs w:val="18"/>
                <w:lang w:eastAsia="el-GR"/>
              </w:rPr>
            </w:pPr>
            <w:r w:rsidRPr="00F13D81">
              <w:rPr>
                <w:rFonts w:eastAsia="Times New Roman"/>
                <w:b/>
                <w:bCs/>
                <w:color w:val="002060"/>
                <w:sz w:val="18"/>
                <w:szCs w:val="18"/>
                <w:lang w:eastAsia="el-GR"/>
              </w:rPr>
              <w:t>3,647.2</w:t>
            </w:r>
          </w:p>
        </w:tc>
        <w:tc>
          <w:tcPr>
            <w:tcW w:w="1420" w:type="dxa"/>
            <w:tcBorders>
              <w:top w:val="nil"/>
              <w:left w:val="nil"/>
              <w:bottom w:val="single" w:sz="4" w:space="0" w:color="auto"/>
              <w:right w:val="nil"/>
            </w:tcBorders>
            <w:shd w:val="clear" w:color="000000" w:fill="BFBFBF"/>
            <w:vAlign w:val="center"/>
            <w:hideMark/>
          </w:tcPr>
          <w:p w14:paraId="0A761810" w14:textId="77777777" w:rsidR="009100C7" w:rsidRPr="00F13D81" w:rsidRDefault="009100C7" w:rsidP="00DC6567">
            <w:pPr>
              <w:widowControl/>
              <w:autoSpaceDE/>
              <w:autoSpaceDN/>
              <w:jc w:val="center"/>
              <w:rPr>
                <w:rFonts w:eastAsia="Times New Roman"/>
                <w:b/>
                <w:bCs/>
                <w:color w:val="002060"/>
                <w:sz w:val="18"/>
                <w:szCs w:val="18"/>
                <w:lang w:eastAsia="el-GR"/>
              </w:rPr>
            </w:pPr>
            <w:r w:rsidRPr="00F13D81">
              <w:rPr>
                <w:rFonts w:eastAsia="Times New Roman"/>
                <w:b/>
                <w:bCs/>
                <w:color w:val="002060"/>
                <w:sz w:val="18"/>
                <w:szCs w:val="18"/>
                <w:lang w:eastAsia="el-GR"/>
              </w:rPr>
              <w:t>3,579.6</w:t>
            </w:r>
          </w:p>
        </w:tc>
        <w:tc>
          <w:tcPr>
            <w:tcW w:w="1560" w:type="dxa"/>
            <w:tcBorders>
              <w:top w:val="nil"/>
              <w:left w:val="nil"/>
              <w:bottom w:val="single" w:sz="4" w:space="0" w:color="auto"/>
              <w:right w:val="nil"/>
            </w:tcBorders>
            <w:shd w:val="clear" w:color="000000" w:fill="BFBFBF"/>
            <w:vAlign w:val="center"/>
            <w:hideMark/>
          </w:tcPr>
          <w:p w14:paraId="6F85DE53" w14:textId="77777777" w:rsidR="009100C7" w:rsidRPr="00F13D81" w:rsidRDefault="009100C7" w:rsidP="00DC6567">
            <w:pPr>
              <w:widowControl/>
              <w:autoSpaceDE/>
              <w:autoSpaceDN/>
              <w:jc w:val="center"/>
              <w:rPr>
                <w:rFonts w:eastAsia="Times New Roman"/>
                <w:b/>
                <w:bCs/>
                <w:color w:val="002060"/>
                <w:sz w:val="18"/>
                <w:szCs w:val="18"/>
                <w:lang w:eastAsia="el-GR"/>
              </w:rPr>
            </w:pPr>
            <w:r w:rsidRPr="00F13D81">
              <w:rPr>
                <w:rFonts w:eastAsia="Times New Roman"/>
                <w:b/>
                <w:bCs/>
                <w:color w:val="002060"/>
                <w:sz w:val="18"/>
                <w:szCs w:val="18"/>
                <w:lang w:eastAsia="el-GR"/>
              </w:rPr>
              <w:t>67.6</w:t>
            </w:r>
          </w:p>
        </w:tc>
        <w:tc>
          <w:tcPr>
            <w:tcW w:w="1386" w:type="dxa"/>
            <w:tcBorders>
              <w:top w:val="nil"/>
              <w:left w:val="nil"/>
              <w:bottom w:val="single" w:sz="4" w:space="0" w:color="auto"/>
              <w:right w:val="single" w:sz="4" w:space="0" w:color="auto"/>
            </w:tcBorders>
            <w:shd w:val="clear" w:color="000000" w:fill="BFBFBF"/>
            <w:vAlign w:val="center"/>
            <w:hideMark/>
          </w:tcPr>
          <w:p w14:paraId="7DAEFF0C" w14:textId="77777777" w:rsidR="009100C7" w:rsidRPr="00F13D81" w:rsidRDefault="009100C7" w:rsidP="00DC6567">
            <w:pPr>
              <w:widowControl/>
              <w:autoSpaceDE/>
              <w:autoSpaceDN/>
              <w:jc w:val="center"/>
              <w:rPr>
                <w:rFonts w:eastAsia="Times New Roman"/>
                <w:b/>
                <w:bCs/>
                <w:color w:val="002060"/>
                <w:sz w:val="18"/>
                <w:szCs w:val="18"/>
                <w:lang w:eastAsia="el-GR"/>
              </w:rPr>
            </w:pPr>
            <w:r w:rsidRPr="00F13D81">
              <w:rPr>
                <w:rFonts w:eastAsia="Times New Roman"/>
                <w:b/>
                <w:bCs/>
                <w:color w:val="002060"/>
                <w:sz w:val="18"/>
                <w:szCs w:val="18"/>
                <w:lang w:eastAsia="el-GR"/>
              </w:rPr>
              <w:t>1.9%</w:t>
            </w:r>
          </w:p>
        </w:tc>
      </w:tr>
    </w:tbl>
    <w:p w14:paraId="49F18C10" w14:textId="6087C72E" w:rsidR="00D631B9" w:rsidRPr="009100C7" w:rsidRDefault="009100C7" w:rsidP="00D631B9">
      <w:pPr>
        <w:rPr>
          <w:i/>
          <w:color w:val="FF0000"/>
          <w:sz w:val="18"/>
          <w:szCs w:val="18"/>
        </w:rPr>
      </w:pPr>
      <w:r>
        <w:rPr>
          <w:color w:val="FF0000"/>
          <w:sz w:val="20"/>
        </w:rPr>
        <w:fldChar w:fldCharType="end"/>
      </w:r>
      <w:r w:rsidRPr="009100C7">
        <w:rPr>
          <w:b/>
          <w:i/>
          <w:color w:val="002060"/>
          <w:sz w:val="16"/>
          <w:szCs w:val="16"/>
          <w:u w:val="single"/>
        </w:rPr>
        <w:t xml:space="preserve"> </w:t>
      </w:r>
      <w:r w:rsidRPr="009100C7">
        <w:rPr>
          <w:b/>
          <w:i/>
          <w:color w:val="002060"/>
          <w:sz w:val="18"/>
          <w:szCs w:val="18"/>
          <w:u w:val="single"/>
        </w:rPr>
        <w:t>Σημείωση:</w:t>
      </w:r>
      <w:r w:rsidRPr="009100C7">
        <w:rPr>
          <w:i/>
          <w:color w:val="002060"/>
          <w:sz w:val="18"/>
          <w:szCs w:val="18"/>
        </w:rPr>
        <w:t xml:space="preserve"> Τα ανωτέρω στοιχεία για το α’ εξάμηνο 2021 δεν έχουν ελεγχθεί από τους ελεγκτές της Εταιρείας. Η Εξαμηνιαία Οικονομική Έκθεση για τη χρήση που έληξε την 30</w:t>
      </w:r>
      <w:r w:rsidRPr="009100C7">
        <w:rPr>
          <w:i/>
          <w:color w:val="002060"/>
          <w:sz w:val="18"/>
          <w:szCs w:val="18"/>
          <w:vertAlign w:val="superscript"/>
        </w:rPr>
        <w:t>η</w:t>
      </w:r>
      <w:r w:rsidRPr="009100C7">
        <w:rPr>
          <w:i/>
          <w:color w:val="002060"/>
          <w:sz w:val="18"/>
          <w:szCs w:val="18"/>
        </w:rPr>
        <w:t xml:space="preserve"> Ιουνίου 2021, περιλαμβανομένης της Έκθεσης Επισκόπησης του Ανεξάρτητου Ορκωτού Ελεγκτή, θα δημοσιευθεί την Τρίτη 31</w:t>
      </w:r>
      <w:r w:rsidRPr="009100C7">
        <w:rPr>
          <w:i/>
          <w:color w:val="002060"/>
          <w:sz w:val="18"/>
          <w:szCs w:val="18"/>
          <w:vertAlign w:val="superscript"/>
        </w:rPr>
        <w:t>η</w:t>
      </w:r>
      <w:r w:rsidRPr="009100C7">
        <w:rPr>
          <w:i/>
          <w:color w:val="002060"/>
          <w:sz w:val="18"/>
          <w:szCs w:val="18"/>
        </w:rPr>
        <w:t xml:space="preserve"> Αυγούστου 2021.</w:t>
      </w:r>
    </w:p>
    <w:sectPr w:rsidR="00D631B9" w:rsidRPr="009100C7" w:rsidSect="00E23EF7">
      <w:headerReference w:type="default" r:id="rId12"/>
      <w:footerReference w:type="default" r:id="rId13"/>
      <w:pgSz w:w="11910" w:h="16840"/>
      <w:pgMar w:top="1180" w:right="1500" w:bottom="709" w:left="1680" w:header="1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98799" w14:textId="77777777" w:rsidR="00C77D97" w:rsidRDefault="00C77D97" w:rsidP="00F40126">
      <w:r>
        <w:separator/>
      </w:r>
    </w:p>
  </w:endnote>
  <w:endnote w:type="continuationSeparator" w:id="0">
    <w:p w14:paraId="78EF352D" w14:textId="77777777" w:rsidR="00C77D97" w:rsidRDefault="00C77D97" w:rsidP="00F4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CCCF7" w14:textId="4D5E2705" w:rsidR="00E23EF7" w:rsidRDefault="00E23EF7" w:rsidP="00E23EF7">
    <w:pPr>
      <w:pStyle w:val="Footer"/>
      <w:ind w:left="-1680"/>
    </w:pPr>
    <w:r>
      <w:rPr>
        <w:noProof/>
        <w:lang w:eastAsia="el-GR"/>
      </w:rPr>
      <w:drawing>
        <wp:inline distT="0" distB="0" distL="0" distR="0" wp14:anchorId="4FFD1027" wp14:editId="70890302">
          <wp:extent cx="7596000" cy="2339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000" cy="23397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57380" w14:textId="77777777" w:rsidR="00C77D97" w:rsidRDefault="00C77D97" w:rsidP="00F40126">
      <w:r>
        <w:separator/>
      </w:r>
    </w:p>
  </w:footnote>
  <w:footnote w:type="continuationSeparator" w:id="0">
    <w:p w14:paraId="58D2899F" w14:textId="77777777" w:rsidR="00C77D97" w:rsidRDefault="00C77D97" w:rsidP="00F40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6851E" w14:textId="00B8A0D0" w:rsidR="00E23EF7" w:rsidRDefault="00E23EF7" w:rsidP="00E23EF7">
    <w:pPr>
      <w:pStyle w:val="Header"/>
      <w:ind w:left="-1680" w:right="-1476"/>
    </w:pPr>
    <w:r>
      <w:rPr>
        <w:noProof/>
        <w:lang w:eastAsia="el-GR"/>
      </w:rPr>
      <w:drawing>
        <wp:inline distT="0" distB="0" distL="0" distR="0" wp14:anchorId="5B9DFEF4" wp14:editId="1ED8DCC6">
          <wp:extent cx="7559388" cy="676275"/>
          <wp:effectExtent l="0" t="0" r="381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1032" cy="6817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3FF"/>
    <w:multiLevelType w:val="hybridMultilevel"/>
    <w:tmpl w:val="EC4A72F6"/>
    <w:lvl w:ilvl="0" w:tplc="04080001">
      <w:start w:val="1"/>
      <w:numFmt w:val="bullet"/>
      <w:lvlText w:val=""/>
      <w:lvlJc w:val="left"/>
      <w:pPr>
        <w:ind w:left="25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 w15:restartNumberingAfterBreak="0">
    <w:nsid w:val="02C030BE"/>
    <w:multiLevelType w:val="hybridMultilevel"/>
    <w:tmpl w:val="34B0A5C8"/>
    <w:lvl w:ilvl="0" w:tplc="5E9E379A">
      <w:numFmt w:val="bullet"/>
      <w:lvlText w:val=""/>
      <w:lvlJc w:val="left"/>
      <w:pPr>
        <w:ind w:left="840" w:hanging="360"/>
      </w:pPr>
      <w:rPr>
        <w:rFonts w:ascii="Wingdings" w:eastAsia="Wingdings" w:hAnsi="Wingdings" w:cs="Wingdings" w:hint="default"/>
        <w:w w:val="100"/>
        <w:sz w:val="22"/>
        <w:szCs w:val="22"/>
        <w:lang w:val="el-GR" w:eastAsia="en-US" w:bidi="ar-SA"/>
      </w:rPr>
    </w:lvl>
    <w:lvl w:ilvl="1" w:tplc="98DA4992">
      <w:numFmt w:val="bullet"/>
      <w:lvlText w:val="•"/>
      <w:lvlJc w:val="left"/>
      <w:pPr>
        <w:ind w:left="1628" w:hanging="360"/>
      </w:pPr>
      <w:rPr>
        <w:rFonts w:hint="default"/>
        <w:lang w:val="el-GR" w:eastAsia="en-US" w:bidi="ar-SA"/>
      </w:rPr>
    </w:lvl>
    <w:lvl w:ilvl="2" w:tplc="BAD6132C">
      <w:numFmt w:val="bullet"/>
      <w:lvlText w:val="•"/>
      <w:lvlJc w:val="left"/>
      <w:pPr>
        <w:ind w:left="2417" w:hanging="360"/>
      </w:pPr>
      <w:rPr>
        <w:rFonts w:hint="default"/>
        <w:lang w:val="el-GR" w:eastAsia="en-US" w:bidi="ar-SA"/>
      </w:rPr>
    </w:lvl>
    <w:lvl w:ilvl="3" w:tplc="C93A505E">
      <w:numFmt w:val="bullet"/>
      <w:lvlText w:val="•"/>
      <w:lvlJc w:val="left"/>
      <w:pPr>
        <w:ind w:left="3205" w:hanging="360"/>
      </w:pPr>
      <w:rPr>
        <w:rFonts w:hint="default"/>
        <w:lang w:val="el-GR" w:eastAsia="en-US" w:bidi="ar-SA"/>
      </w:rPr>
    </w:lvl>
    <w:lvl w:ilvl="4" w:tplc="9ED4D248">
      <w:numFmt w:val="bullet"/>
      <w:lvlText w:val="•"/>
      <w:lvlJc w:val="left"/>
      <w:pPr>
        <w:ind w:left="3994" w:hanging="360"/>
      </w:pPr>
      <w:rPr>
        <w:rFonts w:hint="default"/>
        <w:lang w:val="el-GR" w:eastAsia="en-US" w:bidi="ar-SA"/>
      </w:rPr>
    </w:lvl>
    <w:lvl w:ilvl="5" w:tplc="97BEC99C">
      <w:numFmt w:val="bullet"/>
      <w:lvlText w:val="•"/>
      <w:lvlJc w:val="left"/>
      <w:pPr>
        <w:ind w:left="4783" w:hanging="360"/>
      </w:pPr>
      <w:rPr>
        <w:rFonts w:hint="default"/>
        <w:lang w:val="el-GR" w:eastAsia="en-US" w:bidi="ar-SA"/>
      </w:rPr>
    </w:lvl>
    <w:lvl w:ilvl="6" w:tplc="0644BD68">
      <w:numFmt w:val="bullet"/>
      <w:lvlText w:val="•"/>
      <w:lvlJc w:val="left"/>
      <w:pPr>
        <w:ind w:left="5571" w:hanging="360"/>
      </w:pPr>
      <w:rPr>
        <w:rFonts w:hint="default"/>
        <w:lang w:val="el-GR" w:eastAsia="en-US" w:bidi="ar-SA"/>
      </w:rPr>
    </w:lvl>
    <w:lvl w:ilvl="7" w:tplc="C41282F6">
      <w:numFmt w:val="bullet"/>
      <w:lvlText w:val="•"/>
      <w:lvlJc w:val="left"/>
      <w:pPr>
        <w:ind w:left="6360" w:hanging="360"/>
      </w:pPr>
      <w:rPr>
        <w:rFonts w:hint="default"/>
        <w:lang w:val="el-GR" w:eastAsia="en-US" w:bidi="ar-SA"/>
      </w:rPr>
    </w:lvl>
    <w:lvl w:ilvl="8" w:tplc="8DB6E988">
      <w:numFmt w:val="bullet"/>
      <w:lvlText w:val="•"/>
      <w:lvlJc w:val="left"/>
      <w:pPr>
        <w:ind w:left="7149" w:hanging="360"/>
      </w:pPr>
      <w:rPr>
        <w:rFonts w:hint="default"/>
        <w:lang w:val="el-GR" w:eastAsia="en-US" w:bidi="ar-SA"/>
      </w:rPr>
    </w:lvl>
  </w:abstractNum>
  <w:abstractNum w:abstractNumId="2" w15:restartNumberingAfterBreak="0">
    <w:nsid w:val="0D510F02"/>
    <w:multiLevelType w:val="hybridMultilevel"/>
    <w:tmpl w:val="DC16C9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 w15:restartNumberingAfterBreak="0">
    <w:nsid w:val="1F6357D0"/>
    <w:multiLevelType w:val="hybridMultilevel"/>
    <w:tmpl w:val="42FA045C"/>
    <w:lvl w:ilvl="0" w:tplc="E04E89FE">
      <w:numFmt w:val="bullet"/>
      <w:lvlText w:val=""/>
      <w:lvlJc w:val="left"/>
      <w:pPr>
        <w:ind w:left="1560" w:hanging="360"/>
      </w:pPr>
      <w:rPr>
        <w:rFonts w:ascii="Wingdings" w:eastAsia="Wingdings" w:hAnsi="Wingdings" w:cs="Wingdings" w:hint="default"/>
        <w:w w:val="100"/>
        <w:sz w:val="21"/>
        <w:szCs w:val="21"/>
        <w:lang w:val="el-GR" w:eastAsia="en-US" w:bidi="ar-SA"/>
      </w:rPr>
    </w:lvl>
    <w:lvl w:ilvl="1" w:tplc="04080003" w:tentative="1">
      <w:start w:val="1"/>
      <w:numFmt w:val="bullet"/>
      <w:lvlText w:val="o"/>
      <w:lvlJc w:val="left"/>
      <w:pPr>
        <w:ind w:left="2280" w:hanging="360"/>
      </w:pPr>
      <w:rPr>
        <w:rFonts w:ascii="Courier New" w:hAnsi="Courier New" w:cs="Courier New" w:hint="default"/>
      </w:rPr>
    </w:lvl>
    <w:lvl w:ilvl="2" w:tplc="04080005" w:tentative="1">
      <w:start w:val="1"/>
      <w:numFmt w:val="bullet"/>
      <w:lvlText w:val=""/>
      <w:lvlJc w:val="left"/>
      <w:pPr>
        <w:ind w:left="3000" w:hanging="360"/>
      </w:pPr>
      <w:rPr>
        <w:rFonts w:ascii="Wingdings" w:hAnsi="Wingdings" w:hint="default"/>
      </w:rPr>
    </w:lvl>
    <w:lvl w:ilvl="3" w:tplc="04080001" w:tentative="1">
      <w:start w:val="1"/>
      <w:numFmt w:val="bullet"/>
      <w:lvlText w:val=""/>
      <w:lvlJc w:val="left"/>
      <w:pPr>
        <w:ind w:left="3720" w:hanging="360"/>
      </w:pPr>
      <w:rPr>
        <w:rFonts w:ascii="Symbol" w:hAnsi="Symbol" w:hint="default"/>
      </w:rPr>
    </w:lvl>
    <w:lvl w:ilvl="4" w:tplc="04080003" w:tentative="1">
      <w:start w:val="1"/>
      <w:numFmt w:val="bullet"/>
      <w:lvlText w:val="o"/>
      <w:lvlJc w:val="left"/>
      <w:pPr>
        <w:ind w:left="4440" w:hanging="360"/>
      </w:pPr>
      <w:rPr>
        <w:rFonts w:ascii="Courier New" w:hAnsi="Courier New" w:cs="Courier New" w:hint="default"/>
      </w:rPr>
    </w:lvl>
    <w:lvl w:ilvl="5" w:tplc="04080005" w:tentative="1">
      <w:start w:val="1"/>
      <w:numFmt w:val="bullet"/>
      <w:lvlText w:val=""/>
      <w:lvlJc w:val="left"/>
      <w:pPr>
        <w:ind w:left="5160" w:hanging="360"/>
      </w:pPr>
      <w:rPr>
        <w:rFonts w:ascii="Wingdings" w:hAnsi="Wingdings" w:hint="default"/>
      </w:rPr>
    </w:lvl>
    <w:lvl w:ilvl="6" w:tplc="04080001" w:tentative="1">
      <w:start w:val="1"/>
      <w:numFmt w:val="bullet"/>
      <w:lvlText w:val=""/>
      <w:lvlJc w:val="left"/>
      <w:pPr>
        <w:ind w:left="5880" w:hanging="360"/>
      </w:pPr>
      <w:rPr>
        <w:rFonts w:ascii="Symbol" w:hAnsi="Symbol" w:hint="default"/>
      </w:rPr>
    </w:lvl>
    <w:lvl w:ilvl="7" w:tplc="04080003" w:tentative="1">
      <w:start w:val="1"/>
      <w:numFmt w:val="bullet"/>
      <w:lvlText w:val="o"/>
      <w:lvlJc w:val="left"/>
      <w:pPr>
        <w:ind w:left="6600" w:hanging="360"/>
      </w:pPr>
      <w:rPr>
        <w:rFonts w:ascii="Courier New" w:hAnsi="Courier New" w:cs="Courier New" w:hint="default"/>
      </w:rPr>
    </w:lvl>
    <w:lvl w:ilvl="8" w:tplc="04080005" w:tentative="1">
      <w:start w:val="1"/>
      <w:numFmt w:val="bullet"/>
      <w:lvlText w:val=""/>
      <w:lvlJc w:val="left"/>
      <w:pPr>
        <w:ind w:left="7320" w:hanging="360"/>
      </w:pPr>
      <w:rPr>
        <w:rFonts w:ascii="Wingdings" w:hAnsi="Wingdings" w:hint="default"/>
      </w:rPr>
    </w:lvl>
  </w:abstractNum>
  <w:abstractNum w:abstractNumId="4" w15:restartNumberingAfterBreak="0">
    <w:nsid w:val="2F311A57"/>
    <w:multiLevelType w:val="hybridMultilevel"/>
    <w:tmpl w:val="473899F6"/>
    <w:lvl w:ilvl="0" w:tplc="04080001">
      <w:start w:val="1"/>
      <w:numFmt w:val="bullet"/>
      <w:lvlText w:val=""/>
      <w:lvlJc w:val="left"/>
      <w:pPr>
        <w:ind w:left="25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5" w15:restartNumberingAfterBreak="0">
    <w:nsid w:val="2FC838BD"/>
    <w:multiLevelType w:val="hybridMultilevel"/>
    <w:tmpl w:val="F606EEE8"/>
    <w:lvl w:ilvl="0" w:tplc="E17A817E">
      <w:numFmt w:val="bullet"/>
      <w:lvlText w:val="-"/>
      <w:lvlJc w:val="left"/>
      <w:pPr>
        <w:ind w:left="3711" w:hanging="360"/>
      </w:pPr>
      <w:rPr>
        <w:rFonts w:ascii="Segoe UI" w:eastAsia="Verdana"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7767BD4"/>
    <w:multiLevelType w:val="hybridMultilevel"/>
    <w:tmpl w:val="AA3407B6"/>
    <w:lvl w:ilvl="0" w:tplc="7016957E">
      <w:start w:val="1"/>
      <w:numFmt w:val="bullet"/>
      <w:lvlText w:val=""/>
      <w:lvlJc w:val="left"/>
      <w:pPr>
        <w:ind w:left="720" w:hanging="360"/>
      </w:pPr>
      <w:rPr>
        <w:rFonts w:ascii="Wingdings 2" w:hAnsi="Wingdings 2" w:hint="default"/>
        <w:color w:val="auto"/>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514CF2"/>
    <w:multiLevelType w:val="hybridMultilevel"/>
    <w:tmpl w:val="4A843CD0"/>
    <w:lvl w:ilvl="0" w:tplc="E04E89FE">
      <w:numFmt w:val="bullet"/>
      <w:lvlText w:val=""/>
      <w:lvlJc w:val="left"/>
      <w:pPr>
        <w:ind w:left="612" w:hanging="360"/>
      </w:pPr>
      <w:rPr>
        <w:rFonts w:ascii="Wingdings" w:eastAsia="Wingdings" w:hAnsi="Wingdings" w:cs="Wingdings" w:hint="default"/>
        <w:w w:val="100"/>
        <w:sz w:val="21"/>
        <w:szCs w:val="21"/>
        <w:lang w:val="el-GR" w:eastAsia="en-US" w:bidi="ar-SA"/>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8" w15:restartNumberingAfterBreak="0">
    <w:nsid w:val="499D5BA5"/>
    <w:multiLevelType w:val="hybridMultilevel"/>
    <w:tmpl w:val="9588EC2C"/>
    <w:lvl w:ilvl="0" w:tplc="415CD61C">
      <w:start w:val="2"/>
      <w:numFmt w:val="bullet"/>
      <w:lvlText w:val="-"/>
      <w:lvlJc w:val="left"/>
      <w:pPr>
        <w:ind w:left="1200" w:hanging="360"/>
      </w:pPr>
      <w:rPr>
        <w:rFonts w:ascii="Arial" w:eastAsia="Arial" w:hAnsi="Arial" w:cs="Arial" w:hint="default"/>
      </w:rPr>
    </w:lvl>
    <w:lvl w:ilvl="1" w:tplc="04080003" w:tentative="1">
      <w:start w:val="1"/>
      <w:numFmt w:val="bullet"/>
      <w:lvlText w:val="o"/>
      <w:lvlJc w:val="left"/>
      <w:pPr>
        <w:ind w:left="1920" w:hanging="360"/>
      </w:pPr>
      <w:rPr>
        <w:rFonts w:ascii="Courier New" w:hAnsi="Courier New" w:cs="Courier New" w:hint="default"/>
      </w:rPr>
    </w:lvl>
    <w:lvl w:ilvl="2" w:tplc="04080005" w:tentative="1">
      <w:start w:val="1"/>
      <w:numFmt w:val="bullet"/>
      <w:lvlText w:val=""/>
      <w:lvlJc w:val="left"/>
      <w:pPr>
        <w:ind w:left="2640" w:hanging="360"/>
      </w:pPr>
      <w:rPr>
        <w:rFonts w:ascii="Wingdings" w:hAnsi="Wingdings" w:hint="default"/>
      </w:rPr>
    </w:lvl>
    <w:lvl w:ilvl="3" w:tplc="04080001" w:tentative="1">
      <w:start w:val="1"/>
      <w:numFmt w:val="bullet"/>
      <w:lvlText w:val=""/>
      <w:lvlJc w:val="left"/>
      <w:pPr>
        <w:ind w:left="3360" w:hanging="360"/>
      </w:pPr>
      <w:rPr>
        <w:rFonts w:ascii="Symbol" w:hAnsi="Symbol" w:hint="default"/>
      </w:rPr>
    </w:lvl>
    <w:lvl w:ilvl="4" w:tplc="04080003" w:tentative="1">
      <w:start w:val="1"/>
      <w:numFmt w:val="bullet"/>
      <w:lvlText w:val="o"/>
      <w:lvlJc w:val="left"/>
      <w:pPr>
        <w:ind w:left="4080" w:hanging="360"/>
      </w:pPr>
      <w:rPr>
        <w:rFonts w:ascii="Courier New" w:hAnsi="Courier New" w:cs="Courier New" w:hint="default"/>
      </w:rPr>
    </w:lvl>
    <w:lvl w:ilvl="5" w:tplc="04080005" w:tentative="1">
      <w:start w:val="1"/>
      <w:numFmt w:val="bullet"/>
      <w:lvlText w:val=""/>
      <w:lvlJc w:val="left"/>
      <w:pPr>
        <w:ind w:left="4800" w:hanging="360"/>
      </w:pPr>
      <w:rPr>
        <w:rFonts w:ascii="Wingdings" w:hAnsi="Wingdings" w:hint="default"/>
      </w:rPr>
    </w:lvl>
    <w:lvl w:ilvl="6" w:tplc="04080001" w:tentative="1">
      <w:start w:val="1"/>
      <w:numFmt w:val="bullet"/>
      <w:lvlText w:val=""/>
      <w:lvlJc w:val="left"/>
      <w:pPr>
        <w:ind w:left="5520" w:hanging="360"/>
      </w:pPr>
      <w:rPr>
        <w:rFonts w:ascii="Symbol" w:hAnsi="Symbol" w:hint="default"/>
      </w:rPr>
    </w:lvl>
    <w:lvl w:ilvl="7" w:tplc="04080003" w:tentative="1">
      <w:start w:val="1"/>
      <w:numFmt w:val="bullet"/>
      <w:lvlText w:val="o"/>
      <w:lvlJc w:val="left"/>
      <w:pPr>
        <w:ind w:left="6240" w:hanging="360"/>
      </w:pPr>
      <w:rPr>
        <w:rFonts w:ascii="Courier New" w:hAnsi="Courier New" w:cs="Courier New" w:hint="default"/>
      </w:rPr>
    </w:lvl>
    <w:lvl w:ilvl="8" w:tplc="04080005" w:tentative="1">
      <w:start w:val="1"/>
      <w:numFmt w:val="bullet"/>
      <w:lvlText w:val=""/>
      <w:lvlJc w:val="left"/>
      <w:pPr>
        <w:ind w:left="6960" w:hanging="360"/>
      </w:pPr>
      <w:rPr>
        <w:rFonts w:ascii="Wingdings" w:hAnsi="Wingdings" w:hint="default"/>
      </w:rPr>
    </w:lvl>
  </w:abstractNum>
  <w:abstractNum w:abstractNumId="9" w15:restartNumberingAfterBreak="0">
    <w:nsid w:val="4FE00151"/>
    <w:multiLevelType w:val="hybridMultilevel"/>
    <w:tmpl w:val="63E833D6"/>
    <w:lvl w:ilvl="0" w:tplc="04080001">
      <w:start w:val="1"/>
      <w:numFmt w:val="bullet"/>
      <w:lvlText w:val=""/>
      <w:lvlJc w:val="left"/>
      <w:pPr>
        <w:ind w:left="1199" w:hanging="360"/>
      </w:pPr>
      <w:rPr>
        <w:rFonts w:ascii="Symbol" w:hAnsi="Symbol" w:hint="default"/>
      </w:rPr>
    </w:lvl>
    <w:lvl w:ilvl="1" w:tplc="04080003" w:tentative="1">
      <w:start w:val="1"/>
      <w:numFmt w:val="bullet"/>
      <w:lvlText w:val="o"/>
      <w:lvlJc w:val="left"/>
      <w:pPr>
        <w:ind w:left="1919" w:hanging="360"/>
      </w:pPr>
      <w:rPr>
        <w:rFonts w:ascii="Courier New" w:hAnsi="Courier New" w:cs="Courier New" w:hint="default"/>
      </w:rPr>
    </w:lvl>
    <w:lvl w:ilvl="2" w:tplc="04080005" w:tentative="1">
      <w:start w:val="1"/>
      <w:numFmt w:val="bullet"/>
      <w:lvlText w:val=""/>
      <w:lvlJc w:val="left"/>
      <w:pPr>
        <w:ind w:left="2639" w:hanging="360"/>
      </w:pPr>
      <w:rPr>
        <w:rFonts w:ascii="Wingdings" w:hAnsi="Wingdings" w:hint="default"/>
      </w:rPr>
    </w:lvl>
    <w:lvl w:ilvl="3" w:tplc="04080001" w:tentative="1">
      <w:start w:val="1"/>
      <w:numFmt w:val="bullet"/>
      <w:lvlText w:val=""/>
      <w:lvlJc w:val="left"/>
      <w:pPr>
        <w:ind w:left="3359" w:hanging="360"/>
      </w:pPr>
      <w:rPr>
        <w:rFonts w:ascii="Symbol" w:hAnsi="Symbol" w:hint="default"/>
      </w:rPr>
    </w:lvl>
    <w:lvl w:ilvl="4" w:tplc="04080003" w:tentative="1">
      <w:start w:val="1"/>
      <w:numFmt w:val="bullet"/>
      <w:lvlText w:val="o"/>
      <w:lvlJc w:val="left"/>
      <w:pPr>
        <w:ind w:left="4079" w:hanging="360"/>
      </w:pPr>
      <w:rPr>
        <w:rFonts w:ascii="Courier New" w:hAnsi="Courier New" w:cs="Courier New" w:hint="default"/>
      </w:rPr>
    </w:lvl>
    <w:lvl w:ilvl="5" w:tplc="04080005" w:tentative="1">
      <w:start w:val="1"/>
      <w:numFmt w:val="bullet"/>
      <w:lvlText w:val=""/>
      <w:lvlJc w:val="left"/>
      <w:pPr>
        <w:ind w:left="4799" w:hanging="360"/>
      </w:pPr>
      <w:rPr>
        <w:rFonts w:ascii="Wingdings" w:hAnsi="Wingdings" w:hint="default"/>
      </w:rPr>
    </w:lvl>
    <w:lvl w:ilvl="6" w:tplc="04080001" w:tentative="1">
      <w:start w:val="1"/>
      <w:numFmt w:val="bullet"/>
      <w:lvlText w:val=""/>
      <w:lvlJc w:val="left"/>
      <w:pPr>
        <w:ind w:left="5519" w:hanging="360"/>
      </w:pPr>
      <w:rPr>
        <w:rFonts w:ascii="Symbol" w:hAnsi="Symbol" w:hint="default"/>
      </w:rPr>
    </w:lvl>
    <w:lvl w:ilvl="7" w:tplc="04080003" w:tentative="1">
      <w:start w:val="1"/>
      <w:numFmt w:val="bullet"/>
      <w:lvlText w:val="o"/>
      <w:lvlJc w:val="left"/>
      <w:pPr>
        <w:ind w:left="6239" w:hanging="360"/>
      </w:pPr>
      <w:rPr>
        <w:rFonts w:ascii="Courier New" w:hAnsi="Courier New" w:cs="Courier New" w:hint="default"/>
      </w:rPr>
    </w:lvl>
    <w:lvl w:ilvl="8" w:tplc="04080005" w:tentative="1">
      <w:start w:val="1"/>
      <w:numFmt w:val="bullet"/>
      <w:lvlText w:val=""/>
      <w:lvlJc w:val="left"/>
      <w:pPr>
        <w:ind w:left="6959" w:hanging="360"/>
      </w:pPr>
      <w:rPr>
        <w:rFonts w:ascii="Wingdings" w:hAnsi="Wingdings" w:hint="default"/>
      </w:rPr>
    </w:lvl>
  </w:abstractNum>
  <w:abstractNum w:abstractNumId="10" w15:restartNumberingAfterBreak="0">
    <w:nsid w:val="51765CC6"/>
    <w:multiLevelType w:val="hybridMultilevel"/>
    <w:tmpl w:val="D8B8C056"/>
    <w:lvl w:ilvl="0" w:tplc="0408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342EDC"/>
    <w:multiLevelType w:val="hybridMultilevel"/>
    <w:tmpl w:val="AEC4367C"/>
    <w:lvl w:ilvl="0" w:tplc="E04E89FE">
      <w:numFmt w:val="bullet"/>
      <w:lvlText w:val=""/>
      <w:lvlJc w:val="left"/>
      <w:pPr>
        <w:ind w:left="252" w:hanging="360"/>
      </w:pPr>
      <w:rPr>
        <w:rFonts w:ascii="Wingdings" w:eastAsia="Wingdings" w:hAnsi="Wingdings" w:cs="Wingdings" w:hint="default"/>
        <w:w w:val="100"/>
        <w:sz w:val="21"/>
        <w:szCs w:val="21"/>
        <w:lang w:val="el-GR" w:eastAsia="en-US" w:bidi="ar-SA"/>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2" w15:restartNumberingAfterBreak="0">
    <w:nsid w:val="5A251914"/>
    <w:multiLevelType w:val="hybridMultilevel"/>
    <w:tmpl w:val="8138D5AA"/>
    <w:lvl w:ilvl="0" w:tplc="E04E89FE">
      <w:numFmt w:val="bullet"/>
      <w:lvlText w:val=""/>
      <w:lvlJc w:val="left"/>
      <w:pPr>
        <w:ind w:left="612" w:hanging="360"/>
      </w:pPr>
      <w:rPr>
        <w:rFonts w:ascii="Wingdings" w:eastAsia="Wingdings" w:hAnsi="Wingdings" w:cs="Wingdings" w:hint="default"/>
        <w:w w:val="100"/>
        <w:sz w:val="21"/>
        <w:szCs w:val="21"/>
        <w:lang w:val="el-GR" w:eastAsia="en-US" w:bidi="ar-SA"/>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3" w15:restartNumberingAfterBreak="0">
    <w:nsid w:val="5ABE7211"/>
    <w:multiLevelType w:val="hybridMultilevel"/>
    <w:tmpl w:val="AA400DD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C1273AD"/>
    <w:multiLevelType w:val="hybridMultilevel"/>
    <w:tmpl w:val="102820A0"/>
    <w:lvl w:ilvl="0" w:tplc="04080005">
      <w:start w:val="1"/>
      <w:numFmt w:val="bullet"/>
      <w:lvlText w:val=""/>
      <w:lvlJc w:val="left"/>
      <w:pPr>
        <w:ind w:left="1200" w:hanging="360"/>
      </w:pPr>
      <w:rPr>
        <w:rFonts w:ascii="Wingdings" w:hAnsi="Wingdings" w:hint="default"/>
      </w:rPr>
    </w:lvl>
    <w:lvl w:ilvl="1" w:tplc="04080003" w:tentative="1">
      <w:start w:val="1"/>
      <w:numFmt w:val="bullet"/>
      <w:lvlText w:val="o"/>
      <w:lvlJc w:val="left"/>
      <w:pPr>
        <w:ind w:left="1920" w:hanging="360"/>
      </w:pPr>
      <w:rPr>
        <w:rFonts w:ascii="Courier New" w:hAnsi="Courier New" w:cs="Courier New" w:hint="default"/>
      </w:rPr>
    </w:lvl>
    <w:lvl w:ilvl="2" w:tplc="04080005" w:tentative="1">
      <w:start w:val="1"/>
      <w:numFmt w:val="bullet"/>
      <w:lvlText w:val=""/>
      <w:lvlJc w:val="left"/>
      <w:pPr>
        <w:ind w:left="2640" w:hanging="360"/>
      </w:pPr>
      <w:rPr>
        <w:rFonts w:ascii="Wingdings" w:hAnsi="Wingdings" w:hint="default"/>
      </w:rPr>
    </w:lvl>
    <w:lvl w:ilvl="3" w:tplc="04080001" w:tentative="1">
      <w:start w:val="1"/>
      <w:numFmt w:val="bullet"/>
      <w:lvlText w:val=""/>
      <w:lvlJc w:val="left"/>
      <w:pPr>
        <w:ind w:left="3360" w:hanging="360"/>
      </w:pPr>
      <w:rPr>
        <w:rFonts w:ascii="Symbol" w:hAnsi="Symbol" w:hint="default"/>
      </w:rPr>
    </w:lvl>
    <w:lvl w:ilvl="4" w:tplc="04080003" w:tentative="1">
      <w:start w:val="1"/>
      <w:numFmt w:val="bullet"/>
      <w:lvlText w:val="o"/>
      <w:lvlJc w:val="left"/>
      <w:pPr>
        <w:ind w:left="4080" w:hanging="360"/>
      </w:pPr>
      <w:rPr>
        <w:rFonts w:ascii="Courier New" w:hAnsi="Courier New" w:cs="Courier New" w:hint="default"/>
      </w:rPr>
    </w:lvl>
    <w:lvl w:ilvl="5" w:tplc="04080005" w:tentative="1">
      <w:start w:val="1"/>
      <w:numFmt w:val="bullet"/>
      <w:lvlText w:val=""/>
      <w:lvlJc w:val="left"/>
      <w:pPr>
        <w:ind w:left="4800" w:hanging="360"/>
      </w:pPr>
      <w:rPr>
        <w:rFonts w:ascii="Wingdings" w:hAnsi="Wingdings" w:hint="default"/>
      </w:rPr>
    </w:lvl>
    <w:lvl w:ilvl="6" w:tplc="04080001" w:tentative="1">
      <w:start w:val="1"/>
      <w:numFmt w:val="bullet"/>
      <w:lvlText w:val=""/>
      <w:lvlJc w:val="left"/>
      <w:pPr>
        <w:ind w:left="5520" w:hanging="360"/>
      </w:pPr>
      <w:rPr>
        <w:rFonts w:ascii="Symbol" w:hAnsi="Symbol" w:hint="default"/>
      </w:rPr>
    </w:lvl>
    <w:lvl w:ilvl="7" w:tplc="04080003" w:tentative="1">
      <w:start w:val="1"/>
      <w:numFmt w:val="bullet"/>
      <w:lvlText w:val="o"/>
      <w:lvlJc w:val="left"/>
      <w:pPr>
        <w:ind w:left="6240" w:hanging="360"/>
      </w:pPr>
      <w:rPr>
        <w:rFonts w:ascii="Courier New" w:hAnsi="Courier New" w:cs="Courier New" w:hint="default"/>
      </w:rPr>
    </w:lvl>
    <w:lvl w:ilvl="8" w:tplc="04080005" w:tentative="1">
      <w:start w:val="1"/>
      <w:numFmt w:val="bullet"/>
      <w:lvlText w:val=""/>
      <w:lvlJc w:val="left"/>
      <w:pPr>
        <w:ind w:left="6960" w:hanging="360"/>
      </w:pPr>
      <w:rPr>
        <w:rFonts w:ascii="Wingdings" w:hAnsi="Wingdings" w:hint="default"/>
      </w:rPr>
    </w:lvl>
  </w:abstractNum>
  <w:abstractNum w:abstractNumId="15" w15:restartNumberingAfterBreak="0">
    <w:nsid w:val="5DB95E9D"/>
    <w:multiLevelType w:val="hybridMultilevel"/>
    <w:tmpl w:val="E7A8D5B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3E87AE8"/>
    <w:multiLevelType w:val="hybridMultilevel"/>
    <w:tmpl w:val="999691B2"/>
    <w:lvl w:ilvl="0" w:tplc="E04E89FE">
      <w:numFmt w:val="bullet"/>
      <w:lvlText w:val=""/>
      <w:lvlJc w:val="left"/>
      <w:pPr>
        <w:ind w:left="403" w:hanging="284"/>
      </w:pPr>
      <w:rPr>
        <w:rFonts w:ascii="Wingdings" w:eastAsia="Wingdings" w:hAnsi="Wingdings" w:cs="Wingdings" w:hint="default"/>
        <w:w w:val="100"/>
        <w:sz w:val="21"/>
        <w:szCs w:val="21"/>
        <w:lang w:val="el-GR" w:eastAsia="en-US" w:bidi="ar-SA"/>
      </w:rPr>
    </w:lvl>
    <w:lvl w:ilvl="1" w:tplc="79426BE2">
      <w:numFmt w:val="bullet"/>
      <w:lvlText w:val="•"/>
      <w:lvlJc w:val="left"/>
      <w:pPr>
        <w:ind w:left="1232" w:hanging="284"/>
      </w:pPr>
      <w:rPr>
        <w:rFonts w:hint="default"/>
        <w:lang w:val="el-GR" w:eastAsia="en-US" w:bidi="ar-SA"/>
      </w:rPr>
    </w:lvl>
    <w:lvl w:ilvl="2" w:tplc="25266D4E">
      <w:numFmt w:val="bullet"/>
      <w:lvlText w:val="•"/>
      <w:lvlJc w:val="left"/>
      <w:pPr>
        <w:ind w:left="2065" w:hanging="284"/>
      </w:pPr>
      <w:rPr>
        <w:rFonts w:hint="default"/>
        <w:lang w:val="el-GR" w:eastAsia="en-US" w:bidi="ar-SA"/>
      </w:rPr>
    </w:lvl>
    <w:lvl w:ilvl="3" w:tplc="C1DCA4C4">
      <w:numFmt w:val="bullet"/>
      <w:lvlText w:val="•"/>
      <w:lvlJc w:val="left"/>
      <w:pPr>
        <w:ind w:left="2897" w:hanging="284"/>
      </w:pPr>
      <w:rPr>
        <w:rFonts w:hint="default"/>
        <w:lang w:val="el-GR" w:eastAsia="en-US" w:bidi="ar-SA"/>
      </w:rPr>
    </w:lvl>
    <w:lvl w:ilvl="4" w:tplc="70CA6E58">
      <w:numFmt w:val="bullet"/>
      <w:lvlText w:val="•"/>
      <w:lvlJc w:val="left"/>
      <w:pPr>
        <w:ind w:left="3730" w:hanging="284"/>
      </w:pPr>
      <w:rPr>
        <w:rFonts w:hint="default"/>
        <w:lang w:val="el-GR" w:eastAsia="en-US" w:bidi="ar-SA"/>
      </w:rPr>
    </w:lvl>
    <w:lvl w:ilvl="5" w:tplc="95BA9FFE">
      <w:numFmt w:val="bullet"/>
      <w:lvlText w:val="•"/>
      <w:lvlJc w:val="left"/>
      <w:pPr>
        <w:ind w:left="4563" w:hanging="284"/>
      </w:pPr>
      <w:rPr>
        <w:rFonts w:hint="default"/>
        <w:lang w:val="el-GR" w:eastAsia="en-US" w:bidi="ar-SA"/>
      </w:rPr>
    </w:lvl>
    <w:lvl w:ilvl="6" w:tplc="3B189BE8">
      <w:numFmt w:val="bullet"/>
      <w:lvlText w:val="•"/>
      <w:lvlJc w:val="left"/>
      <w:pPr>
        <w:ind w:left="5395" w:hanging="284"/>
      </w:pPr>
      <w:rPr>
        <w:rFonts w:hint="default"/>
        <w:lang w:val="el-GR" w:eastAsia="en-US" w:bidi="ar-SA"/>
      </w:rPr>
    </w:lvl>
    <w:lvl w:ilvl="7" w:tplc="AA3407E6">
      <w:numFmt w:val="bullet"/>
      <w:lvlText w:val="•"/>
      <w:lvlJc w:val="left"/>
      <w:pPr>
        <w:ind w:left="6228" w:hanging="284"/>
      </w:pPr>
      <w:rPr>
        <w:rFonts w:hint="default"/>
        <w:lang w:val="el-GR" w:eastAsia="en-US" w:bidi="ar-SA"/>
      </w:rPr>
    </w:lvl>
    <w:lvl w:ilvl="8" w:tplc="6310CCD8">
      <w:numFmt w:val="bullet"/>
      <w:lvlText w:val="•"/>
      <w:lvlJc w:val="left"/>
      <w:pPr>
        <w:ind w:left="7061" w:hanging="284"/>
      </w:pPr>
      <w:rPr>
        <w:rFonts w:hint="default"/>
        <w:lang w:val="el-GR" w:eastAsia="en-US" w:bidi="ar-SA"/>
      </w:rPr>
    </w:lvl>
  </w:abstractNum>
  <w:abstractNum w:abstractNumId="17" w15:restartNumberingAfterBreak="0">
    <w:nsid w:val="66D40EDC"/>
    <w:multiLevelType w:val="hybridMultilevel"/>
    <w:tmpl w:val="8E46982A"/>
    <w:lvl w:ilvl="0" w:tplc="6A22FB3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6529F0"/>
    <w:multiLevelType w:val="hybridMultilevel"/>
    <w:tmpl w:val="44DC196A"/>
    <w:lvl w:ilvl="0" w:tplc="0408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883B61"/>
    <w:multiLevelType w:val="hybridMultilevel"/>
    <w:tmpl w:val="F3B4F91A"/>
    <w:lvl w:ilvl="0" w:tplc="26A02B7E">
      <w:numFmt w:val="bullet"/>
      <w:lvlText w:val="-"/>
      <w:lvlJc w:val="left"/>
      <w:pPr>
        <w:ind w:left="720" w:hanging="360"/>
      </w:pPr>
      <w:rPr>
        <w:rFonts w:ascii="Tahoma" w:eastAsia="Arial"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6"/>
  </w:num>
  <w:num w:numId="4">
    <w:abstractNumId w:val="13"/>
  </w:num>
  <w:num w:numId="5">
    <w:abstractNumId w:val="15"/>
  </w:num>
  <w:num w:numId="6">
    <w:abstractNumId w:val="9"/>
  </w:num>
  <w:num w:numId="7">
    <w:abstractNumId w:val="3"/>
  </w:num>
  <w:num w:numId="8">
    <w:abstractNumId w:val="8"/>
  </w:num>
  <w:num w:numId="9">
    <w:abstractNumId w:val="19"/>
  </w:num>
  <w:num w:numId="10">
    <w:abstractNumId w:val="2"/>
  </w:num>
  <w:num w:numId="11">
    <w:abstractNumId w:val="17"/>
  </w:num>
  <w:num w:numId="12">
    <w:abstractNumId w:val="14"/>
  </w:num>
  <w:num w:numId="13">
    <w:abstractNumId w:val="5"/>
  </w:num>
  <w:num w:numId="14">
    <w:abstractNumId w:val="10"/>
  </w:num>
  <w:num w:numId="15">
    <w:abstractNumId w:val="4"/>
  </w:num>
  <w:num w:numId="16">
    <w:abstractNumId w:val="7"/>
  </w:num>
  <w:num w:numId="17">
    <w:abstractNumId w:val="0"/>
  </w:num>
  <w:num w:numId="18">
    <w:abstractNumId w:val="11"/>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64E"/>
    <w:rsid w:val="00003DB9"/>
    <w:rsid w:val="00004D0F"/>
    <w:rsid w:val="00006041"/>
    <w:rsid w:val="00007211"/>
    <w:rsid w:val="00011A70"/>
    <w:rsid w:val="00020C1D"/>
    <w:rsid w:val="00022863"/>
    <w:rsid w:val="00026AF3"/>
    <w:rsid w:val="00041912"/>
    <w:rsid w:val="000471BA"/>
    <w:rsid w:val="00056995"/>
    <w:rsid w:val="000606E0"/>
    <w:rsid w:val="00063875"/>
    <w:rsid w:val="000670A2"/>
    <w:rsid w:val="000717AD"/>
    <w:rsid w:val="00075744"/>
    <w:rsid w:val="00077712"/>
    <w:rsid w:val="00081F0E"/>
    <w:rsid w:val="00085D41"/>
    <w:rsid w:val="000868D2"/>
    <w:rsid w:val="000948C2"/>
    <w:rsid w:val="00094EBE"/>
    <w:rsid w:val="000975AD"/>
    <w:rsid w:val="000A0FEC"/>
    <w:rsid w:val="000A3ECD"/>
    <w:rsid w:val="000B189C"/>
    <w:rsid w:val="000B3762"/>
    <w:rsid w:val="000C0152"/>
    <w:rsid w:val="000C445E"/>
    <w:rsid w:val="000C5B87"/>
    <w:rsid w:val="000D1BEC"/>
    <w:rsid w:val="000D3EB0"/>
    <w:rsid w:val="000F2FA9"/>
    <w:rsid w:val="00113479"/>
    <w:rsid w:val="0011784A"/>
    <w:rsid w:val="00120475"/>
    <w:rsid w:val="00134CEA"/>
    <w:rsid w:val="001561A4"/>
    <w:rsid w:val="00156875"/>
    <w:rsid w:val="00160CA8"/>
    <w:rsid w:val="00161209"/>
    <w:rsid w:val="00164ACE"/>
    <w:rsid w:val="00165A18"/>
    <w:rsid w:val="0017502B"/>
    <w:rsid w:val="00175E39"/>
    <w:rsid w:val="00177A0F"/>
    <w:rsid w:val="001A3266"/>
    <w:rsid w:val="001B5E74"/>
    <w:rsid w:val="001C1B20"/>
    <w:rsid w:val="001D238D"/>
    <w:rsid w:val="001E120C"/>
    <w:rsid w:val="001E1ADD"/>
    <w:rsid w:val="002002F0"/>
    <w:rsid w:val="002127AC"/>
    <w:rsid w:val="00216DB0"/>
    <w:rsid w:val="002209C0"/>
    <w:rsid w:val="002338EB"/>
    <w:rsid w:val="00233F8B"/>
    <w:rsid w:val="002378CF"/>
    <w:rsid w:val="00237DD9"/>
    <w:rsid w:val="0025052A"/>
    <w:rsid w:val="00252EF0"/>
    <w:rsid w:val="002609A5"/>
    <w:rsid w:val="00262FC6"/>
    <w:rsid w:val="00290617"/>
    <w:rsid w:val="002C5DE5"/>
    <w:rsid w:val="002C68A1"/>
    <w:rsid w:val="002D0D5C"/>
    <w:rsid w:val="002D1144"/>
    <w:rsid w:val="002D6BA3"/>
    <w:rsid w:val="002D74C3"/>
    <w:rsid w:val="002E316E"/>
    <w:rsid w:val="002E603F"/>
    <w:rsid w:val="0030514E"/>
    <w:rsid w:val="00305493"/>
    <w:rsid w:val="00312311"/>
    <w:rsid w:val="0031365C"/>
    <w:rsid w:val="00317C63"/>
    <w:rsid w:val="00323FD3"/>
    <w:rsid w:val="0034185F"/>
    <w:rsid w:val="0035381A"/>
    <w:rsid w:val="00355566"/>
    <w:rsid w:val="003558E9"/>
    <w:rsid w:val="00362C7D"/>
    <w:rsid w:val="0036518D"/>
    <w:rsid w:val="00370208"/>
    <w:rsid w:val="0037178D"/>
    <w:rsid w:val="00373B58"/>
    <w:rsid w:val="003774ED"/>
    <w:rsid w:val="003940D2"/>
    <w:rsid w:val="003C1CCF"/>
    <w:rsid w:val="003D2D79"/>
    <w:rsid w:val="003D7232"/>
    <w:rsid w:val="003F00BE"/>
    <w:rsid w:val="003F16BB"/>
    <w:rsid w:val="003F74C5"/>
    <w:rsid w:val="004005F1"/>
    <w:rsid w:val="00400A75"/>
    <w:rsid w:val="00423294"/>
    <w:rsid w:val="00423DC3"/>
    <w:rsid w:val="00423FBD"/>
    <w:rsid w:val="00425CFA"/>
    <w:rsid w:val="00431FFC"/>
    <w:rsid w:val="00443232"/>
    <w:rsid w:val="004465FB"/>
    <w:rsid w:val="00450724"/>
    <w:rsid w:val="0045193E"/>
    <w:rsid w:val="00464ACC"/>
    <w:rsid w:val="004652BE"/>
    <w:rsid w:val="00473EC7"/>
    <w:rsid w:val="00476683"/>
    <w:rsid w:val="00486A21"/>
    <w:rsid w:val="00497402"/>
    <w:rsid w:val="004A2422"/>
    <w:rsid w:val="004B15A8"/>
    <w:rsid w:val="004B77CA"/>
    <w:rsid w:val="004C0381"/>
    <w:rsid w:val="004C1FC9"/>
    <w:rsid w:val="004D2690"/>
    <w:rsid w:val="004D6B45"/>
    <w:rsid w:val="004E0910"/>
    <w:rsid w:val="004E34A8"/>
    <w:rsid w:val="004E6CBB"/>
    <w:rsid w:val="004F19A7"/>
    <w:rsid w:val="004F3AC2"/>
    <w:rsid w:val="00505738"/>
    <w:rsid w:val="0051536F"/>
    <w:rsid w:val="005158F0"/>
    <w:rsid w:val="00523659"/>
    <w:rsid w:val="00545F94"/>
    <w:rsid w:val="00551719"/>
    <w:rsid w:val="00553B44"/>
    <w:rsid w:val="00555BD3"/>
    <w:rsid w:val="005575BE"/>
    <w:rsid w:val="005715C1"/>
    <w:rsid w:val="005725D9"/>
    <w:rsid w:val="00582B35"/>
    <w:rsid w:val="005874F3"/>
    <w:rsid w:val="00592565"/>
    <w:rsid w:val="005A37D9"/>
    <w:rsid w:val="005A7657"/>
    <w:rsid w:val="00601786"/>
    <w:rsid w:val="00601ECD"/>
    <w:rsid w:val="00602317"/>
    <w:rsid w:val="00603464"/>
    <w:rsid w:val="00606BBD"/>
    <w:rsid w:val="006164FD"/>
    <w:rsid w:val="00621C18"/>
    <w:rsid w:val="00653E97"/>
    <w:rsid w:val="006547E2"/>
    <w:rsid w:val="00667370"/>
    <w:rsid w:val="00671D19"/>
    <w:rsid w:val="006759DE"/>
    <w:rsid w:val="006761E4"/>
    <w:rsid w:val="00680C22"/>
    <w:rsid w:val="00682F5F"/>
    <w:rsid w:val="00694FA2"/>
    <w:rsid w:val="006957D6"/>
    <w:rsid w:val="006A0BC1"/>
    <w:rsid w:val="006A1221"/>
    <w:rsid w:val="006A5B55"/>
    <w:rsid w:val="006A6D84"/>
    <w:rsid w:val="006C4481"/>
    <w:rsid w:val="006C66F5"/>
    <w:rsid w:val="006D00BE"/>
    <w:rsid w:val="006D2F0A"/>
    <w:rsid w:val="006E0E7A"/>
    <w:rsid w:val="006E3080"/>
    <w:rsid w:val="006E6156"/>
    <w:rsid w:val="006F2A99"/>
    <w:rsid w:val="00700670"/>
    <w:rsid w:val="00717DF5"/>
    <w:rsid w:val="00720D12"/>
    <w:rsid w:val="00721DBF"/>
    <w:rsid w:val="00722EBE"/>
    <w:rsid w:val="007354A2"/>
    <w:rsid w:val="00744935"/>
    <w:rsid w:val="00750666"/>
    <w:rsid w:val="007514F2"/>
    <w:rsid w:val="007527FD"/>
    <w:rsid w:val="007543A5"/>
    <w:rsid w:val="00756144"/>
    <w:rsid w:val="00760B10"/>
    <w:rsid w:val="00762081"/>
    <w:rsid w:val="00771AC1"/>
    <w:rsid w:val="00780BEE"/>
    <w:rsid w:val="007856C9"/>
    <w:rsid w:val="00790E0C"/>
    <w:rsid w:val="0079127B"/>
    <w:rsid w:val="00793853"/>
    <w:rsid w:val="00793EFC"/>
    <w:rsid w:val="007A5E46"/>
    <w:rsid w:val="007A6B9D"/>
    <w:rsid w:val="007C6105"/>
    <w:rsid w:val="007D260B"/>
    <w:rsid w:val="007D5113"/>
    <w:rsid w:val="007D5B81"/>
    <w:rsid w:val="007D6DF2"/>
    <w:rsid w:val="007E1EDB"/>
    <w:rsid w:val="007E476E"/>
    <w:rsid w:val="007E7672"/>
    <w:rsid w:val="007F4561"/>
    <w:rsid w:val="007F7472"/>
    <w:rsid w:val="008004CE"/>
    <w:rsid w:val="00806B98"/>
    <w:rsid w:val="00811487"/>
    <w:rsid w:val="00820F4D"/>
    <w:rsid w:val="00824535"/>
    <w:rsid w:val="00825181"/>
    <w:rsid w:val="008261D8"/>
    <w:rsid w:val="008263F2"/>
    <w:rsid w:val="00843D45"/>
    <w:rsid w:val="00844588"/>
    <w:rsid w:val="00861242"/>
    <w:rsid w:val="0086277D"/>
    <w:rsid w:val="00864B29"/>
    <w:rsid w:val="0087229B"/>
    <w:rsid w:val="00873505"/>
    <w:rsid w:val="00874EA6"/>
    <w:rsid w:val="00876E6A"/>
    <w:rsid w:val="0087758B"/>
    <w:rsid w:val="00883144"/>
    <w:rsid w:val="00883D82"/>
    <w:rsid w:val="008870BA"/>
    <w:rsid w:val="008905E8"/>
    <w:rsid w:val="00894A9A"/>
    <w:rsid w:val="0089731A"/>
    <w:rsid w:val="008A5915"/>
    <w:rsid w:val="008A5A95"/>
    <w:rsid w:val="008A6651"/>
    <w:rsid w:val="008B1F5C"/>
    <w:rsid w:val="008B4618"/>
    <w:rsid w:val="008C62E4"/>
    <w:rsid w:val="008C661B"/>
    <w:rsid w:val="008D5046"/>
    <w:rsid w:val="008D52FD"/>
    <w:rsid w:val="008D7E27"/>
    <w:rsid w:val="008E28FA"/>
    <w:rsid w:val="008F0118"/>
    <w:rsid w:val="008F01C4"/>
    <w:rsid w:val="008F1808"/>
    <w:rsid w:val="009100C7"/>
    <w:rsid w:val="00913A28"/>
    <w:rsid w:val="00914066"/>
    <w:rsid w:val="00920E85"/>
    <w:rsid w:val="00924852"/>
    <w:rsid w:val="00926817"/>
    <w:rsid w:val="00932AD4"/>
    <w:rsid w:val="0093400E"/>
    <w:rsid w:val="009346DB"/>
    <w:rsid w:val="00935854"/>
    <w:rsid w:val="00935DF2"/>
    <w:rsid w:val="009428CF"/>
    <w:rsid w:val="00942A33"/>
    <w:rsid w:val="00942D1A"/>
    <w:rsid w:val="00943C72"/>
    <w:rsid w:val="00952EF7"/>
    <w:rsid w:val="00957F52"/>
    <w:rsid w:val="009677A6"/>
    <w:rsid w:val="00971B1B"/>
    <w:rsid w:val="009776F0"/>
    <w:rsid w:val="00987C7E"/>
    <w:rsid w:val="00994EC8"/>
    <w:rsid w:val="009C0ACE"/>
    <w:rsid w:val="009C2EF8"/>
    <w:rsid w:val="009D1B14"/>
    <w:rsid w:val="009D4A8F"/>
    <w:rsid w:val="009F11A0"/>
    <w:rsid w:val="009F66B4"/>
    <w:rsid w:val="00A0118F"/>
    <w:rsid w:val="00A030D0"/>
    <w:rsid w:val="00A0507E"/>
    <w:rsid w:val="00A06840"/>
    <w:rsid w:val="00A20152"/>
    <w:rsid w:val="00A23173"/>
    <w:rsid w:val="00A238F4"/>
    <w:rsid w:val="00A301B9"/>
    <w:rsid w:val="00A3481D"/>
    <w:rsid w:val="00A46C3F"/>
    <w:rsid w:val="00A52DE7"/>
    <w:rsid w:val="00A62500"/>
    <w:rsid w:val="00A62806"/>
    <w:rsid w:val="00A736C4"/>
    <w:rsid w:val="00A761CA"/>
    <w:rsid w:val="00A87EB7"/>
    <w:rsid w:val="00A927F8"/>
    <w:rsid w:val="00AA1816"/>
    <w:rsid w:val="00AA685A"/>
    <w:rsid w:val="00AB55FA"/>
    <w:rsid w:val="00AB679A"/>
    <w:rsid w:val="00AC3226"/>
    <w:rsid w:val="00AC3443"/>
    <w:rsid w:val="00AC63BA"/>
    <w:rsid w:val="00AD6B3F"/>
    <w:rsid w:val="00AD768B"/>
    <w:rsid w:val="00AF128A"/>
    <w:rsid w:val="00B03F2E"/>
    <w:rsid w:val="00B06AD4"/>
    <w:rsid w:val="00B10DBC"/>
    <w:rsid w:val="00B251B6"/>
    <w:rsid w:val="00B341D0"/>
    <w:rsid w:val="00B34AAD"/>
    <w:rsid w:val="00B45682"/>
    <w:rsid w:val="00B57ECE"/>
    <w:rsid w:val="00B62E03"/>
    <w:rsid w:val="00B72FFF"/>
    <w:rsid w:val="00B74E2B"/>
    <w:rsid w:val="00B7671C"/>
    <w:rsid w:val="00B82EBE"/>
    <w:rsid w:val="00B8724F"/>
    <w:rsid w:val="00B9364E"/>
    <w:rsid w:val="00BA5F48"/>
    <w:rsid w:val="00BC012A"/>
    <w:rsid w:val="00BC2CB7"/>
    <w:rsid w:val="00BC2F08"/>
    <w:rsid w:val="00BD3761"/>
    <w:rsid w:val="00BD71CC"/>
    <w:rsid w:val="00BD7D86"/>
    <w:rsid w:val="00BE4D63"/>
    <w:rsid w:val="00BE7B3D"/>
    <w:rsid w:val="00BF3559"/>
    <w:rsid w:val="00BF3610"/>
    <w:rsid w:val="00BF5CC9"/>
    <w:rsid w:val="00C11368"/>
    <w:rsid w:val="00C11FC5"/>
    <w:rsid w:val="00C232CC"/>
    <w:rsid w:val="00C322C9"/>
    <w:rsid w:val="00C33CD7"/>
    <w:rsid w:val="00C35867"/>
    <w:rsid w:val="00C37DB6"/>
    <w:rsid w:val="00C51D2E"/>
    <w:rsid w:val="00C5250E"/>
    <w:rsid w:val="00C77D97"/>
    <w:rsid w:val="00C77F40"/>
    <w:rsid w:val="00C831AE"/>
    <w:rsid w:val="00C86571"/>
    <w:rsid w:val="00C91396"/>
    <w:rsid w:val="00C94647"/>
    <w:rsid w:val="00C951EA"/>
    <w:rsid w:val="00C955B4"/>
    <w:rsid w:val="00CA0136"/>
    <w:rsid w:val="00CA3DF2"/>
    <w:rsid w:val="00CA7142"/>
    <w:rsid w:val="00CB2722"/>
    <w:rsid w:val="00CB2CB2"/>
    <w:rsid w:val="00CB4818"/>
    <w:rsid w:val="00CD085E"/>
    <w:rsid w:val="00CD13E1"/>
    <w:rsid w:val="00D025E0"/>
    <w:rsid w:val="00D31F20"/>
    <w:rsid w:val="00D35FAF"/>
    <w:rsid w:val="00D40EE2"/>
    <w:rsid w:val="00D4290E"/>
    <w:rsid w:val="00D513F8"/>
    <w:rsid w:val="00D52E58"/>
    <w:rsid w:val="00D531FF"/>
    <w:rsid w:val="00D56859"/>
    <w:rsid w:val="00D6024F"/>
    <w:rsid w:val="00D631B9"/>
    <w:rsid w:val="00D63D6E"/>
    <w:rsid w:val="00D71A87"/>
    <w:rsid w:val="00D7298D"/>
    <w:rsid w:val="00D84D34"/>
    <w:rsid w:val="00D91E56"/>
    <w:rsid w:val="00D953E2"/>
    <w:rsid w:val="00D964EC"/>
    <w:rsid w:val="00D97A04"/>
    <w:rsid w:val="00D97A4C"/>
    <w:rsid w:val="00DA420F"/>
    <w:rsid w:val="00DB3942"/>
    <w:rsid w:val="00DC4C9E"/>
    <w:rsid w:val="00DD24DD"/>
    <w:rsid w:val="00DD592C"/>
    <w:rsid w:val="00DD6519"/>
    <w:rsid w:val="00DE1BE2"/>
    <w:rsid w:val="00DE361A"/>
    <w:rsid w:val="00DF15AC"/>
    <w:rsid w:val="00E039D1"/>
    <w:rsid w:val="00E06105"/>
    <w:rsid w:val="00E06BBB"/>
    <w:rsid w:val="00E07E3F"/>
    <w:rsid w:val="00E12F58"/>
    <w:rsid w:val="00E23EF7"/>
    <w:rsid w:val="00E36F1A"/>
    <w:rsid w:val="00E40438"/>
    <w:rsid w:val="00E4348B"/>
    <w:rsid w:val="00E46ADC"/>
    <w:rsid w:val="00E51D20"/>
    <w:rsid w:val="00E553A6"/>
    <w:rsid w:val="00E55EA3"/>
    <w:rsid w:val="00E61777"/>
    <w:rsid w:val="00E64AC5"/>
    <w:rsid w:val="00E67844"/>
    <w:rsid w:val="00E67EE6"/>
    <w:rsid w:val="00E70138"/>
    <w:rsid w:val="00E74FFE"/>
    <w:rsid w:val="00E95A60"/>
    <w:rsid w:val="00E95BB3"/>
    <w:rsid w:val="00EA3A2E"/>
    <w:rsid w:val="00EA510E"/>
    <w:rsid w:val="00EA6144"/>
    <w:rsid w:val="00EA6B1B"/>
    <w:rsid w:val="00EB59E0"/>
    <w:rsid w:val="00EB7EEB"/>
    <w:rsid w:val="00EC0BD1"/>
    <w:rsid w:val="00EC24ED"/>
    <w:rsid w:val="00EC38E8"/>
    <w:rsid w:val="00EC70EC"/>
    <w:rsid w:val="00ED27AB"/>
    <w:rsid w:val="00ED5F6F"/>
    <w:rsid w:val="00EE4AE3"/>
    <w:rsid w:val="00EE57C7"/>
    <w:rsid w:val="00EE7671"/>
    <w:rsid w:val="00EE7ED4"/>
    <w:rsid w:val="00EF0844"/>
    <w:rsid w:val="00EF3565"/>
    <w:rsid w:val="00F03B4F"/>
    <w:rsid w:val="00F1128F"/>
    <w:rsid w:val="00F157F6"/>
    <w:rsid w:val="00F3046F"/>
    <w:rsid w:val="00F3188D"/>
    <w:rsid w:val="00F40126"/>
    <w:rsid w:val="00F45289"/>
    <w:rsid w:val="00F45AC4"/>
    <w:rsid w:val="00F45C67"/>
    <w:rsid w:val="00F508EB"/>
    <w:rsid w:val="00F57C3B"/>
    <w:rsid w:val="00F620FC"/>
    <w:rsid w:val="00F62373"/>
    <w:rsid w:val="00F63223"/>
    <w:rsid w:val="00F653E9"/>
    <w:rsid w:val="00F674BB"/>
    <w:rsid w:val="00F67CF8"/>
    <w:rsid w:val="00F703A7"/>
    <w:rsid w:val="00F707B3"/>
    <w:rsid w:val="00F73B32"/>
    <w:rsid w:val="00F81531"/>
    <w:rsid w:val="00F83C42"/>
    <w:rsid w:val="00F9664B"/>
    <w:rsid w:val="00FA6A8D"/>
    <w:rsid w:val="00FB3010"/>
    <w:rsid w:val="00FB44A2"/>
    <w:rsid w:val="00FB6301"/>
    <w:rsid w:val="00FD5102"/>
    <w:rsid w:val="00FE563F"/>
    <w:rsid w:val="00FE5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E1945"/>
  <w15:docId w15:val="{B036115D-F5D2-4FF8-94C8-1AA0FB26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9364E"/>
    <w:rPr>
      <w:rFonts w:ascii="Arial" w:eastAsia="Arial" w:hAnsi="Arial" w:cs="Arial"/>
      <w:lang w:val="el-GR"/>
    </w:rPr>
  </w:style>
  <w:style w:type="paragraph" w:styleId="Heading1">
    <w:name w:val="heading 1"/>
    <w:basedOn w:val="Normal"/>
    <w:uiPriority w:val="1"/>
    <w:qFormat/>
    <w:rsid w:val="00B9364E"/>
    <w:pPr>
      <w:spacing w:before="92"/>
      <w:outlineLvl w:val="0"/>
    </w:pPr>
    <w:rPr>
      <w:b/>
      <w:bCs/>
      <w:sz w:val="24"/>
      <w:szCs w:val="24"/>
    </w:rPr>
  </w:style>
  <w:style w:type="paragraph" w:styleId="Heading2">
    <w:name w:val="heading 2"/>
    <w:basedOn w:val="Normal"/>
    <w:link w:val="Heading2Char"/>
    <w:uiPriority w:val="1"/>
    <w:qFormat/>
    <w:rsid w:val="00B9364E"/>
    <w:pPr>
      <w:ind w:left="840" w:hanging="361"/>
      <w:outlineLvl w:val="1"/>
    </w:pPr>
    <w:rPr>
      <w:b/>
      <w:bCs/>
    </w:rPr>
  </w:style>
  <w:style w:type="paragraph" w:styleId="Heading3">
    <w:name w:val="heading 3"/>
    <w:basedOn w:val="Normal"/>
    <w:uiPriority w:val="1"/>
    <w:qFormat/>
    <w:rsid w:val="00B9364E"/>
    <w:pPr>
      <w:spacing w:before="199"/>
      <w:ind w:left="120" w:right="294"/>
      <w:jc w:val="both"/>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9364E"/>
    <w:rPr>
      <w:sz w:val="21"/>
      <w:szCs w:val="21"/>
    </w:rPr>
  </w:style>
  <w:style w:type="paragraph" w:styleId="ListParagraph">
    <w:name w:val="List Paragraph"/>
    <w:basedOn w:val="Normal"/>
    <w:link w:val="ListParagraphChar"/>
    <w:uiPriority w:val="34"/>
    <w:qFormat/>
    <w:rsid w:val="00B9364E"/>
    <w:pPr>
      <w:ind w:left="840" w:hanging="360"/>
      <w:jc w:val="both"/>
    </w:pPr>
  </w:style>
  <w:style w:type="paragraph" w:customStyle="1" w:styleId="TableParagraph">
    <w:name w:val="Table Paragraph"/>
    <w:basedOn w:val="Normal"/>
    <w:uiPriority w:val="1"/>
    <w:qFormat/>
    <w:rsid w:val="00B9364E"/>
    <w:pPr>
      <w:jc w:val="right"/>
    </w:pPr>
  </w:style>
  <w:style w:type="character" w:customStyle="1" w:styleId="ListParagraphChar">
    <w:name w:val="List Paragraph Char"/>
    <w:basedOn w:val="DefaultParagraphFont"/>
    <w:link w:val="ListParagraph"/>
    <w:uiPriority w:val="34"/>
    <w:locked/>
    <w:rsid w:val="008A5915"/>
    <w:rPr>
      <w:rFonts w:ascii="Arial" w:eastAsia="Arial" w:hAnsi="Arial" w:cs="Arial"/>
      <w:lang w:val="el-GR"/>
    </w:rPr>
  </w:style>
  <w:style w:type="paragraph" w:styleId="BalloonText">
    <w:name w:val="Balloon Text"/>
    <w:basedOn w:val="Normal"/>
    <w:link w:val="BalloonTextChar"/>
    <w:uiPriority w:val="99"/>
    <w:semiHidden/>
    <w:unhideWhenUsed/>
    <w:rsid w:val="00AB67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79A"/>
    <w:rPr>
      <w:rFonts w:ascii="Segoe UI" w:eastAsia="Arial" w:hAnsi="Segoe UI" w:cs="Segoe UI"/>
      <w:sz w:val="18"/>
      <w:szCs w:val="18"/>
      <w:lang w:val="el-GR"/>
    </w:rPr>
  </w:style>
  <w:style w:type="paragraph" w:customStyle="1" w:styleId="Default">
    <w:name w:val="Default"/>
    <w:rsid w:val="00555BD3"/>
    <w:pPr>
      <w:widowControl/>
      <w:adjustRightInd w:val="0"/>
    </w:pPr>
    <w:rPr>
      <w:rFonts w:ascii="Verdana" w:eastAsia="Times New Roman" w:hAnsi="Verdana" w:cs="Verdana"/>
      <w:color w:val="000000"/>
      <w:sz w:val="24"/>
      <w:szCs w:val="24"/>
      <w:lang w:val="el-GR"/>
    </w:rPr>
  </w:style>
  <w:style w:type="character" w:styleId="Hyperlink">
    <w:name w:val="Hyperlink"/>
    <w:semiHidden/>
    <w:rsid w:val="00555BD3"/>
    <w:rPr>
      <w:rFonts w:cs="Times New Roman"/>
      <w:color w:val="0000FF"/>
      <w:u w:val="single"/>
    </w:rPr>
  </w:style>
  <w:style w:type="paragraph" w:styleId="Revision">
    <w:name w:val="Revision"/>
    <w:hidden/>
    <w:uiPriority w:val="99"/>
    <w:semiHidden/>
    <w:rsid w:val="005A37D9"/>
    <w:pPr>
      <w:widowControl/>
      <w:autoSpaceDE/>
      <w:autoSpaceDN/>
    </w:pPr>
    <w:rPr>
      <w:rFonts w:ascii="Arial" w:eastAsia="Arial" w:hAnsi="Arial" w:cs="Arial"/>
      <w:lang w:val="el-GR"/>
    </w:rPr>
  </w:style>
  <w:style w:type="paragraph" w:styleId="Header">
    <w:name w:val="header"/>
    <w:basedOn w:val="Normal"/>
    <w:link w:val="HeaderChar"/>
    <w:uiPriority w:val="99"/>
    <w:unhideWhenUsed/>
    <w:rsid w:val="00F40126"/>
    <w:pPr>
      <w:tabs>
        <w:tab w:val="center" w:pos="4513"/>
        <w:tab w:val="right" w:pos="9026"/>
      </w:tabs>
    </w:pPr>
  </w:style>
  <w:style w:type="character" w:customStyle="1" w:styleId="HeaderChar">
    <w:name w:val="Header Char"/>
    <w:basedOn w:val="DefaultParagraphFont"/>
    <w:link w:val="Header"/>
    <w:uiPriority w:val="99"/>
    <w:rsid w:val="00F40126"/>
    <w:rPr>
      <w:rFonts w:ascii="Arial" w:eastAsia="Arial" w:hAnsi="Arial" w:cs="Arial"/>
      <w:lang w:val="el-GR"/>
    </w:rPr>
  </w:style>
  <w:style w:type="paragraph" w:styleId="Footer">
    <w:name w:val="footer"/>
    <w:basedOn w:val="Normal"/>
    <w:link w:val="FooterChar"/>
    <w:uiPriority w:val="99"/>
    <w:unhideWhenUsed/>
    <w:rsid w:val="00F40126"/>
    <w:pPr>
      <w:tabs>
        <w:tab w:val="center" w:pos="4513"/>
        <w:tab w:val="right" w:pos="9026"/>
      </w:tabs>
    </w:pPr>
  </w:style>
  <w:style w:type="character" w:customStyle="1" w:styleId="FooterChar">
    <w:name w:val="Footer Char"/>
    <w:basedOn w:val="DefaultParagraphFont"/>
    <w:link w:val="Footer"/>
    <w:uiPriority w:val="99"/>
    <w:rsid w:val="00F40126"/>
    <w:rPr>
      <w:rFonts w:ascii="Arial" w:eastAsia="Arial" w:hAnsi="Arial" w:cs="Arial"/>
      <w:lang w:val="el-GR"/>
    </w:rPr>
  </w:style>
  <w:style w:type="paragraph" w:styleId="Title">
    <w:name w:val="Title"/>
    <w:basedOn w:val="Normal"/>
    <w:link w:val="TitleChar"/>
    <w:uiPriority w:val="1"/>
    <w:qFormat/>
    <w:rsid w:val="00EC0BD1"/>
    <w:pPr>
      <w:spacing w:before="103"/>
      <w:ind w:left="3377" w:right="1272" w:hanging="1571"/>
    </w:pPr>
    <w:rPr>
      <w:rFonts w:ascii="Verdana" w:eastAsia="Verdana" w:hAnsi="Verdana" w:cs="Verdana"/>
      <w:b/>
      <w:bCs/>
      <w:sz w:val="28"/>
      <w:szCs w:val="28"/>
    </w:rPr>
  </w:style>
  <w:style w:type="character" w:customStyle="1" w:styleId="TitleChar">
    <w:name w:val="Title Char"/>
    <w:basedOn w:val="DefaultParagraphFont"/>
    <w:link w:val="Title"/>
    <w:uiPriority w:val="1"/>
    <w:rsid w:val="00EC0BD1"/>
    <w:rPr>
      <w:rFonts w:ascii="Verdana" w:eastAsia="Verdana" w:hAnsi="Verdana" w:cs="Verdana"/>
      <w:b/>
      <w:bCs/>
      <w:sz w:val="28"/>
      <w:szCs w:val="28"/>
      <w:lang w:val="el-GR"/>
    </w:rPr>
  </w:style>
  <w:style w:type="character" w:customStyle="1" w:styleId="Heading2Char">
    <w:name w:val="Heading 2 Char"/>
    <w:basedOn w:val="DefaultParagraphFont"/>
    <w:link w:val="Heading2"/>
    <w:uiPriority w:val="1"/>
    <w:rsid w:val="00EC0BD1"/>
    <w:rPr>
      <w:rFonts w:ascii="Arial" w:eastAsia="Arial" w:hAnsi="Arial" w:cs="Arial"/>
      <w:b/>
      <w:bCs/>
      <w:lang w:val="el-GR"/>
    </w:rPr>
  </w:style>
  <w:style w:type="table" w:styleId="TableGrid">
    <w:name w:val="Table Grid"/>
    <w:basedOn w:val="TableNormal"/>
    <w:uiPriority w:val="39"/>
    <w:rsid w:val="00EC0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01644">
      <w:bodyDiv w:val="1"/>
      <w:marLeft w:val="0"/>
      <w:marRight w:val="0"/>
      <w:marTop w:val="0"/>
      <w:marBottom w:val="0"/>
      <w:divBdr>
        <w:top w:val="none" w:sz="0" w:space="0" w:color="auto"/>
        <w:left w:val="none" w:sz="0" w:space="0" w:color="auto"/>
        <w:bottom w:val="none" w:sz="0" w:space="0" w:color="auto"/>
        <w:right w:val="none" w:sz="0" w:space="0" w:color="auto"/>
      </w:divBdr>
    </w:div>
    <w:div w:id="481966855">
      <w:bodyDiv w:val="1"/>
      <w:marLeft w:val="0"/>
      <w:marRight w:val="0"/>
      <w:marTop w:val="0"/>
      <w:marBottom w:val="0"/>
      <w:divBdr>
        <w:top w:val="none" w:sz="0" w:space="0" w:color="auto"/>
        <w:left w:val="none" w:sz="0" w:space="0" w:color="auto"/>
        <w:bottom w:val="none" w:sz="0" w:space="0" w:color="auto"/>
        <w:right w:val="none" w:sz="0" w:space="0" w:color="auto"/>
      </w:divBdr>
    </w:div>
    <w:div w:id="614337814">
      <w:bodyDiv w:val="1"/>
      <w:marLeft w:val="0"/>
      <w:marRight w:val="0"/>
      <w:marTop w:val="0"/>
      <w:marBottom w:val="0"/>
      <w:divBdr>
        <w:top w:val="none" w:sz="0" w:space="0" w:color="auto"/>
        <w:left w:val="none" w:sz="0" w:space="0" w:color="auto"/>
        <w:bottom w:val="none" w:sz="0" w:space="0" w:color="auto"/>
        <w:right w:val="none" w:sz="0" w:space="0" w:color="auto"/>
      </w:divBdr>
    </w:div>
    <w:div w:id="641345569">
      <w:bodyDiv w:val="1"/>
      <w:marLeft w:val="0"/>
      <w:marRight w:val="0"/>
      <w:marTop w:val="0"/>
      <w:marBottom w:val="0"/>
      <w:divBdr>
        <w:top w:val="none" w:sz="0" w:space="0" w:color="auto"/>
        <w:left w:val="none" w:sz="0" w:space="0" w:color="auto"/>
        <w:bottom w:val="none" w:sz="0" w:space="0" w:color="auto"/>
        <w:right w:val="none" w:sz="0" w:space="0" w:color="auto"/>
      </w:divBdr>
    </w:div>
    <w:div w:id="664557517">
      <w:bodyDiv w:val="1"/>
      <w:marLeft w:val="0"/>
      <w:marRight w:val="0"/>
      <w:marTop w:val="0"/>
      <w:marBottom w:val="0"/>
      <w:divBdr>
        <w:top w:val="none" w:sz="0" w:space="0" w:color="auto"/>
        <w:left w:val="none" w:sz="0" w:space="0" w:color="auto"/>
        <w:bottom w:val="none" w:sz="0" w:space="0" w:color="auto"/>
        <w:right w:val="none" w:sz="0" w:space="0" w:color="auto"/>
      </w:divBdr>
    </w:div>
    <w:div w:id="846865702">
      <w:bodyDiv w:val="1"/>
      <w:marLeft w:val="0"/>
      <w:marRight w:val="0"/>
      <w:marTop w:val="0"/>
      <w:marBottom w:val="0"/>
      <w:divBdr>
        <w:top w:val="none" w:sz="0" w:space="0" w:color="auto"/>
        <w:left w:val="none" w:sz="0" w:space="0" w:color="auto"/>
        <w:bottom w:val="none" w:sz="0" w:space="0" w:color="auto"/>
        <w:right w:val="none" w:sz="0" w:space="0" w:color="auto"/>
      </w:divBdr>
    </w:div>
    <w:div w:id="1441102850">
      <w:bodyDiv w:val="1"/>
      <w:marLeft w:val="0"/>
      <w:marRight w:val="0"/>
      <w:marTop w:val="0"/>
      <w:marBottom w:val="0"/>
      <w:divBdr>
        <w:top w:val="none" w:sz="0" w:space="0" w:color="auto"/>
        <w:left w:val="none" w:sz="0" w:space="0" w:color="auto"/>
        <w:bottom w:val="none" w:sz="0" w:space="0" w:color="auto"/>
        <w:right w:val="none" w:sz="0" w:space="0" w:color="auto"/>
      </w:divBdr>
    </w:div>
    <w:div w:id="1491868970">
      <w:bodyDiv w:val="1"/>
      <w:marLeft w:val="0"/>
      <w:marRight w:val="0"/>
      <w:marTop w:val="0"/>
      <w:marBottom w:val="0"/>
      <w:divBdr>
        <w:top w:val="none" w:sz="0" w:space="0" w:color="auto"/>
        <w:left w:val="none" w:sz="0" w:space="0" w:color="auto"/>
        <w:bottom w:val="none" w:sz="0" w:space="0" w:color="auto"/>
        <w:right w:val="none" w:sz="0" w:space="0" w:color="auto"/>
      </w:divBdr>
    </w:div>
    <w:div w:id="1517499929">
      <w:bodyDiv w:val="1"/>
      <w:marLeft w:val="0"/>
      <w:marRight w:val="0"/>
      <w:marTop w:val="0"/>
      <w:marBottom w:val="0"/>
      <w:divBdr>
        <w:top w:val="none" w:sz="0" w:space="0" w:color="auto"/>
        <w:left w:val="none" w:sz="0" w:space="0" w:color="auto"/>
        <w:bottom w:val="none" w:sz="0" w:space="0" w:color="auto"/>
        <w:right w:val="none" w:sz="0" w:space="0" w:color="auto"/>
      </w:divBdr>
    </w:div>
    <w:div w:id="1566447276">
      <w:bodyDiv w:val="1"/>
      <w:marLeft w:val="0"/>
      <w:marRight w:val="0"/>
      <w:marTop w:val="0"/>
      <w:marBottom w:val="0"/>
      <w:divBdr>
        <w:top w:val="none" w:sz="0" w:space="0" w:color="auto"/>
        <w:left w:val="none" w:sz="0" w:space="0" w:color="auto"/>
        <w:bottom w:val="none" w:sz="0" w:space="0" w:color="auto"/>
        <w:right w:val="none" w:sz="0" w:space="0" w:color="auto"/>
      </w:divBdr>
    </w:div>
    <w:div w:id="1595631796">
      <w:bodyDiv w:val="1"/>
      <w:marLeft w:val="0"/>
      <w:marRight w:val="0"/>
      <w:marTop w:val="0"/>
      <w:marBottom w:val="0"/>
      <w:divBdr>
        <w:top w:val="none" w:sz="0" w:space="0" w:color="auto"/>
        <w:left w:val="none" w:sz="0" w:space="0" w:color="auto"/>
        <w:bottom w:val="none" w:sz="0" w:space="0" w:color="auto"/>
        <w:right w:val="none" w:sz="0" w:space="0" w:color="auto"/>
      </w:divBdr>
    </w:div>
    <w:div w:id="1784962410">
      <w:bodyDiv w:val="1"/>
      <w:marLeft w:val="0"/>
      <w:marRight w:val="0"/>
      <w:marTop w:val="0"/>
      <w:marBottom w:val="0"/>
      <w:divBdr>
        <w:top w:val="none" w:sz="0" w:space="0" w:color="auto"/>
        <w:left w:val="none" w:sz="0" w:space="0" w:color="auto"/>
        <w:bottom w:val="none" w:sz="0" w:space="0" w:color="auto"/>
        <w:right w:val="none" w:sz="0" w:space="0" w:color="auto"/>
      </w:divBdr>
    </w:div>
    <w:div w:id="1804544752">
      <w:bodyDiv w:val="1"/>
      <w:marLeft w:val="0"/>
      <w:marRight w:val="0"/>
      <w:marTop w:val="0"/>
      <w:marBottom w:val="0"/>
      <w:divBdr>
        <w:top w:val="none" w:sz="0" w:space="0" w:color="auto"/>
        <w:left w:val="none" w:sz="0" w:space="0" w:color="auto"/>
        <w:bottom w:val="none" w:sz="0" w:space="0" w:color="auto"/>
        <w:right w:val="none" w:sz="0" w:space="0" w:color="auto"/>
      </w:divBdr>
    </w:div>
    <w:div w:id="1868366594">
      <w:bodyDiv w:val="1"/>
      <w:marLeft w:val="0"/>
      <w:marRight w:val="0"/>
      <w:marTop w:val="0"/>
      <w:marBottom w:val="0"/>
      <w:divBdr>
        <w:top w:val="none" w:sz="0" w:space="0" w:color="auto"/>
        <w:left w:val="none" w:sz="0" w:space="0" w:color="auto"/>
        <w:bottom w:val="none" w:sz="0" w:space="0" w:color="auto"/>
        <w:right w:val="none" w:sz="0" w:space="0" w:color="auto"/>
      </w:divBdr>
    </w:div>
    <w:div w:id="1946838447">
      <w:bodyDiv w:val="1"/>
      <w:marLeft w:val="0"/>
      <w:marRight w:val="0"/>
      <w:marTop w:val="0"/>
      <w:marBottom w:val="0"/>
      <w:divBdr>
        <w:top w:val="none" w:sz="0" w:space="0" w:color="auto"/>
        <w:left w:val="none" w:sz="0" w:space="0" w:color="auto"/>
        <w:bottom w:val="none" w:sz="0" w:space="0" w:color="auto"/>
        <w:right w:val="none" w:sz="0" w:space="0" w:color="auto"/>
      </w:divBdr>
    </w:div>
    <w:div w:id="1950158180">
      <w:bodyDiv w:val="1"/>
      <w:marLeft w:val="0"/>
      <w:marRight w:val="0"/>
      <w:marTop w:val="0"/>
      <w:marBottom w:val="0"/>
      <w:divBdr>
        <w:top w:val="none" w:sz="0" w:space="0" w:color="auto"/>
        <w:left w:val="none" w:sz="0" w:space="0" w:color="auto"/>
        <w:bottom w:val="none" w:sz="0" w:space="0" w:color="auto"/>
        <w:right w:val="none" w:sz="0" w:space="0" w:color="auto"/>
      </w:divBdr>
    </w:div>
    <w:div w:id="2118062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atticaserver\Investor%20Relations%20Common\PRESENTATIONS\&#928;&#913;&#929;&#927;&#933;&#931;&#921;&#913;&#931;&#917;&#921;&#931;%20&#913;&#928;&#927;&#932;&#917;&#923;&#917;&#931;&#924;&#913;&#932;&#937;&#925;\2021\H1%202021\&#919;1%202021_Financial%20data_new.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atticaserver\Investor%20Relations%20Common\PRESENTATIONS\&#928;&#913;&#929;&#927;&#933;&#931;&#921;&#913;&#931;&#917;&#921;&#931;%20&#913;&#928;&#927;&#932;&#917;&#923;&#917;&#931;&#924;&#913;&#932;&#937;&#925;\2021\H1%202021\&#919;1%202021_Financial%20data_new.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788670634920635"/>
          <c:y val="0.12526953490597786"/>
          <c:w val="0.34604585747536282"/>
          <c:h val="0.64127379182497302"/>
        </c:manualLayout>
      </c:layout>
      <c:pieChart>
        <c:varyColors val="1"/>
        <c:ser>
          <c:idx val="1"/>
          <c:order val="0"/>
          <c:spPr>
            <a:ln w="9525">
              <a:solidFill>
                <a:srgbClr val="FFFFFF"/>
              </a:solidFill>
            </a:ln>
          </c:spPr>
          <c:dPt>
            <c:idx val="0"/>
            <c:bubble3D val="0"/>
            <c:spPr>
              <a:solidFill>
                <a:srgbClr val="1E478E"/>
              </a:solidFill>
              <a:ln w="9525">
                <a:solidFill>
                  <a:srgbClr val="FFFFFF"/>
                </a:solidFill>
              </a:ln>
              <a:effectLst/>
            </c:spPr>
            <c:extLst xmlns:c16r2="http://schemas.microsoft.com/office/drawing/2015/06/chart">
              <c:ext xmlns:c16="http://schemas.microsoft.com/office/drawing/2014/chart" uri="{C3380CC4-5D6E-409C-BE32-E72D297353CC}">
                <c16:uniqueId val="{00000001-1DCF-458B-BB63-10EAFD61DBAA}"/>
              </c:ext>
            </c:extLst>
          </c:dPt>
          <c:dPt>
            <c:idx val="1"/>
            <c:bubble3D val="0"/>
            <c:spPr>
              <a:solidFill>
                <a:srgbClr val="AB5AA3"/>
              </a:solidFill>
              <a:ln w="9525">
                <a:solidFill>
                  <a:srgbClr val="FFFFFF"/>
                </a:solidFill>
              </a:ln>
              <a:effectLst/>
            </c:spPr>
            <c:extLst xmlns:c16r2="http://schemas.microsoft.com/office/drawing/2015/06/chart">
              <c:ext xmlns:c16="http://schemas.microsoft.com/office/drawing/2014/chart" uri="{C3380CC4-5D6E-409C-BE32-E72D297353CC}">
                <c16:uniqueId val="{00000003-1DCF-458B-BB63-10EAFD61DBAA}"/>
              </c:ext>
            </c:extLst>
          </c:dPt>
          <c:dPt>
            <c:idx val="2"/>
            <c:bubble3D val="0"/>
            <c:spPr>
              <a:solidFill>
                <a:srgbClr val="4A9B82"/>
              </a:solidFill>
              <a:ln w="9525">
                <a:solidFill>
                  <a:srgbClr val="FFFFFF"/>
                </a:solidFill>
              </a:ln>
              <a:effectLst/>
            </c:spPr>
            <c:extLst xmlns:c16r2="http://schemas.microsoft.com/office/drawing/2015/06/chart">
              <c:ext xmlns:c16="http://schemas.microsoft.com/office/drawing/2014/chart" uri="{C3380CC4-5D6E-409C-BE32-E72D297353CC}">
                <c16:uniqueId val="{00000005-1DCF-458B-BB63-10EAFD61DBAA}"/>
              </c:ext>
            </c:extLst>
          </c:dPt>
          <c:dPt>
            <c:idx val="3"/>
            <c:bubble3D val="0"/>
            <c:spPr>
              <a:solidFill>
                <a:srgbClr val="E99900"/>
              </a:solidFill>
              <a:ln w="9525">
                <a:solidFill>
                  <a:srgbClr val="FFFFFF"/>
                </a:solidFill>
              </a:ln>
              <a:effectLst/>
            </c:spPr>
            <c:extLst xmlns:c16r2="http://schemas.microsoft.com/office/drawing/2015/06/chart">
              <c:ext xmlns:c16="http://schemas.microsoft.com/office/drawing/2014/chart" uri="{C3380CC4-5D6E-409C-BE32-E72D297353CC}">
                <c16:uniqueId val="{00000007-1DCF-458B-BB63-10EAFD61DBAA}"/>
              </c:ext>
            </c:extLst>
          </c:dPt>
          <c:dPt>
            <c:idx val="4"/>
            <c:bubble3D val="0"/>
            <c:spPr>
              <a:solidFill>
                <a:srgbClr val="95969B"/>
              </a:solidFill>
              <a:ln w="9525">
                <a:solidFill>
                  <a:srgbClr val="FFFFFF"/>
                </a:solidFill>
              </a:ln>
            </c:spPr>
            <c:extLst xmlns:c16r2="http://schemas.microsoft.com/office/drawing/2015/06/chart">
              <c:ext xmlns:c16="http://schemas.microsoft.com/office/drawing/2014/chart" uri="{C3380CC4-5D6E-409C-BE32-E72D297353CC}">
                <c16:uniqueId val="{00000009-1DCF-458B-BB63-10EAFD61DBAA}"/>
              </c:ext>
            </c:extLst>
          </c:dPt>
          <c:dPt>
            <c:idx val="5"/>
            <c:bubble3D val="0"/>
            <c:spPr>
              <a:solidFill>
                <a:srgbClr val="C00000"/>
              </a:solidFill>
              <a:ln w="9525">
                <a:solidFill>
                  <a:srgbClr val="FFFFFF"/>
                </a:solidFill>
              </a:ln>
            </c:spPr>
            <c:extLst xmlns:c16r2="http://schemas.microsoft.com/office/drawing/2015/06/chart">
              <c:ext xmlns:c16="http://schemas.microsoft.com/office/drawing/2014/chart" uri="{C3380CC4-5D6E-409C-BE32-E72D297353CC}">
                <c16:uniqueId val="{0000000A-1DCF-458B-BB63-10EAFD61DBAA}"/>
              </c:ext>
            </c:extLst>
          </c:dPt>
          <c:dPt>
            <c:idx val="6"/>
            <c:bubble3D val="0"/>
            <c:spPr>
              <a:solidFill>
                <a:srgbClr val="1E478E">
                  <a:lumMod val="40000"/>
                  <a:lumOff val="60000"/>
                </a:srgbClr>
              </a:solidFill>
              <a:ln w="9525">
                <a:solidFill>
                  <a:srgbClr val="FFFFFF"/>
                </a:solidFill>
              </a:ln>
            </c:spPr>
            <c:extLst xmlns:c16r2="http://schemas.microsoft.com/office/drawing/2015/06/chart">
              <c:ext xmlns:c16="http://schemas.microsoft.com/office/drawing/2014/chart" uri="{C3380CC4-5D6E-409C-BE32-E72D297353CC}">
                <c16:uniqueId val="{0000000B-1DCF-458B-BB63-10EAFD61DBAA}"/>
              </c:ext>
            </c:extLst>
          </c:dPt>
          <c:dLbls>
            <c:dLbl>
              <c:idx val="0"/>
              <c:layout>
                <c:manualLayout>
                  <c:x val="5.5648302726766831E-3"/>
                  <c:y val="-3.215434083601286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1.6694490818030001E-2"/>
                  <c:y val="-1.842154496337298E-17"/>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3.1662269129287601E-2"/>
                  <c:y val="-0.10016694490818037"/>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5"/>
              <c:layout>
                <c:manualLayout>
                  <c:x val="-2.225932109070676E-2"/>
                  <c:y val="8.0385852090032149E-3"/>
                </c:manualLayout>
              </c:layout>
              <c:dLblPos val="bestFit"/>
              <c:showLegendKey val="0"/>
              <c:showVal val="0"/>
              <c:showCatName val="0"/>
              <c:showSerName val="0"/>
              <c:showPercent val="1"/>
              <c:showBubbleSize val="0"/>
              <c:extLst>
                <c:ext xmlns:c15="http://schemas.microsoft.com/office/drawing/2012/chart" uri="{CE6537A1-D6FC-4f65-9D91-7224C49458BB}"/>
              </c:extLst>
            </c:dLbl>
            <c:numFmt formatCode="0.0%" sourceLinked="0"/>
            <c:spPr>
              <a:noFill/>
              <a:ln w="25400">
                <a:noFill/>
              </a:ln>
            </c:spPr>
            <c:txPr>
              <a:bodyPr/>
              <a:lstStyle/>
              <a:p>
                <a:pPr>
                  <a:defRPr sz="600" b="1">
                    <a:solidFill>
                      <a:srgbClr val="002060"/>
                    </a:solidFill>
                  </a:defRPr>
                </a:pPr>
                <a:endParaRPr lang="el-GR"/>
              </a:p>
            </c:txPr>
            <c:dLblPos val="outEnd"/>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('LOANS-DEPOSITS BREAKDOWN'!$A$6:$A$9,'LOANS-DEPOSITS BREAKDOWN'!$A$19,'LOANS-DEPOSITS BREAKDOWN'!$A$20,'LOANS-DEPOSITS BREAKDOWN'!$A$21)</c:f>
              <c:strCache>
                <c:ptCount val="7"/>
                <c:pt idx="0">
                  <c:v>Πιστωτικές Κάρτες</c:v>
                </c:pt>
                <c:pt idx="1">
                  <c:v>Καταναλωτικά Δάνεια</c:v>
                </c:pt>
                <c:pt idx="2">
                  <c:v>Στεγαστικά Δάνεια</c:v>
                </c:pt>
                <c:pt idx="3">
                  <c:v>Λοιπά</c:v>
                </c:pt>
                <c:pt idx="4">
                  <c:v>Επιχειρηματικά Δάνεια</c:v>
                </c:pt>
                <c:pt idx="5">
                  <c:v>Δημόσιο</c:v>
                </c:pt>
                <c:pt idx="6">
                  <c:v>Leasing</c:v>
                </c:pt>
              </c:strCache>
            </c:strRef>
          </c:cat>
          <c:val>
            <c:numRef>
              <c:f>('LOANS-DEPOSITS BREAKDOWN'!$AE$6:$AE$9,'LOANS-DEPOSITS BREAKDOWN'!$AE$19,'LOANS-DEPOSITS BREAKDOWN'!$AE$20,'LOANS-DEPOSITS BREAKDOWN'!$AE$21)</c:f>
              <c:numCache>
                <c:formatCode>#,##0.00</c:formatCode>
                <c:ptCount val="7"/>
                <c:pt idx="0">
                  <c:v>21.881077999999999</c:v>
                </c:pt>
                <c:pt idx="1">
                  <c:v>102.568651</c:v>
                </c:pt>
                <c:pt idx="2">
                  <c:v>379.93951299999998</c:v>
                </c:pt>
                <c:pt idx="3">
                  <c:v>4.838641</c:v>
                </c:pt>
                <c:pt idx="4">
                  <c:v>1427.80805687</c:v>
                </c:pt>
                <c:pt idx="5">
                  <c:v>25.333196999999998</c:v>
                </c:pt>
                <c:pt idx="6">
                  <c:v>104.186274</c:v>
                </c:pt>
              </c:numCache>
            </c:numRef>
          </c:val>
          <c:extLst xmlns:c16r2="http://schemas.microsoft.com/office/drawing/2015/06/chart">
            <c:ext xmlns:c16="http://schemas.microsoft.com/office/drawing/2014/chart" uri="{C3380CC4-5D6E-409C-BE32-E72D297353CC}">
              <c16:uniqueId val="{0000000C-1DCF-458B-BB63-10EAFD61DBAA}"/>
            </c:ext>
          </c:extLst>
        </c:ser>
        <c:dLbls>
          <c:showLegendKey val="0"/>
          <c:showVal val="0"/>
          <c:showCatName val="0"/>
          <c:showSerName val="0"/>
          <c:showPercent val="0"/>
          <c:showBubbleSize val="0"/>
          <c:showLeaderLines val="0"/>
        </c:dLbls>
        <c:firstSliceAng val="0"/>
      </c:pieChart>
      <c:spPr>
        <a:noFill/>
        <a:ln w="25400">
          <a:noFill/>
        </a:ln>
      </c:spPr>
    </c:plotArea>
    <c:legend>
      <c:legendPos val="b"/>
      <c:layout>
        <c:manualLayout>
          <c:xMode val="edge"/>
          <c:yMode val="edge"/>
          <c:x val="0"/>
          <c:y val="0.78019661743465496"/>
          <c:w val="0.74690103571078514"/>
          <c:h val="0.21230955598005871"/>
        </c:manualLayout>
      </c:layout>
      <c:overlay val="0"/>
      <c:spPr>
        <a:noFill/>
        <a:ln w="25400">
          <a:noFill/>
        </a:ln>
      </c:spPr>
      <c:txPr>
        <a:bodyPr/>
        <a:lstStyle/>
        <a:p>
          <a:pPr>
            <a:defRPr sz="500" b="1">
              <a:solidFill>
                <a:srgbClr val="002060"/>
              </a:solidFill>
            </a:defRPr>
          </a:pPr>
          <a:endParaRPr lang="el-GR"/>
        </a:p>
      </c:txPr>
    </c:legend>
    <c:plotVisOnly val="1"/>
    <c:dispBlanksAs val="gap"/>
    <c:showDLblsOverMax val="0"/>
  </c:chart>
  <c:spPr>
    <a:noFill/>
    <a:ln w="9525">
      <a:noFill/>
    </a:ln>
  </c:spPr>
  <c:txPr>
    <a:bodyPr/>
    <a:lstStyle/>
    <a:p>
      <a:pPr>
        <a:defRPr sz="550" b="0" i="0" u="none" strike="noStrike" baseline="0">
          <a:solidFill>
            <a:srgbClr val="000000"/>
          </a:solidFill>
          <a:latin typeface="Arial" panose="020B0604020202020204" pitchFamily="34" charset="0"/>
          <a:ea typeface="Calibri"/>
          <a:cs typeface="Arial" panose="020B0604020202020204" pitchFamily="34" charset="0"/>
        </a:defRPr>
      </a:pPr>
      <a:endParaRPr lang="el-G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
          <c:y val="5.8768841155857322E-2"/>
          <c:w val="1"/>
          <c:h val="0.60747948755097936"/>
        </c:manualLayout>
      </c:layout>
      <c:barChart>
        <c:barDir val="col"/>
        <c:grouping val="stacked"/>
        <c:varyColors val="0"/>
        <c:ser>
          <c:idx val="0"/>
          <c:order val="0"/>
          <c:tx>
            <c:v>Λογαριασμοί όψεως</c:v>
          </c:tx>
          <c:spPr>
            <a:ln>
              <a:solidFill>
                <a:srgbClr val="FFFFFF"/>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('LOANS-DEPOSITS BREAKDOWN'!$AC$69,'LOANS-DEPOSITS BREAKDOWN'!$AE$69)</c:f>
              <c:strCache>
                <c:ptCount val="2"/>
                <c:pt idx="0">
                  <c:v>12Μ 2020</c:v>
                </c:pt>
                <c:pt idx="1">
                  <c:v>6Μ 2021</c:v>
                </c:pt>
              </c:strCache>
            </c:strRef>
          </c:cat>
          <c:val>
            <c:numRef>
              <c:f>('LOANS-DEPOSITS BREAKDOWN'!$AC$70,'LOANS-DEPOSITS BREAKDOWN'!$AE$70)</c:f>
              <c:numCache>
                <c:formatCode>0.0%</c:formatCode>
                <c:ptCount val="2"/>
                <c:pt idx="0">
                  <c:v>0.243047242533417</c:v>
                </c:pt>
                <c:pt idx="1">
                  <c:v>0.22774832349117891</c:v>
                </c:pt>
              </c:numCache>
            </c:numRef>
          </c:val>
          <c:extLst xmlns:c16r2="http://schemas.microsoft.com/office/drawing/2015/06/chart">
            <c:ext xmlns:c16="http://schemas.microsoft.com/office/drawing/2014/chart" uri="{C3380CC4-5D6E-409C-BE32-E72D297353CC}">
              <c16:uniqueId val="{00000000-DE66-4222-AB8D-CDA75A0D25AF}"/>
            </c:ext>
          </c:extLst>
        </c:ser>
        <c:ser>
          <c:idx val="1"/>
          <c:order val="1"/>
          <c:tx>
            <c:v>Λογαρισμοί Ταμιευτηρίου</c:v>
          </c:tx>
          <c:spPr>
            <a:ln>
              <a:solidFill>
                <a:srgbClr val="FFFFFF"/>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('LOANS-DEPOSITS BREAKDOWN'!$AC$69,'LOANS-DEPOSITS BREAKDOWN'!$AE$69)</c:f>
              <c:strCache>
                <c:ptCount val="2"/>
                <c:pt idx="0">
                  <c:v>12Μ 2020</c:v>
                </c:pt>
                <c:pt idx="1">
                  <c:v>6Μ 2021</c:v>
                </c:pt>
              </c:strCache>
            </c:strRef>
          </c:cat>
          <c:val>
            <c:numRef>
              <c:f>('LOANS-DEPOSITS BREAKDOWN'!$AC$71,'LOANS-DEPOSITS BREAKDOWN'!$AE$71)</c:f>
              <c:numCache>
                <c:formatCode>0.0%</c:formatCode>
                <c:ptCount val="2"/>
                <c:pt idx="0">
                  <c:v>0.17097748854329672</c:v>
                </c:pt>
                <c:pt idx="1">
                  <c:v>0.18154903700518407</c:v>
                </c:pt>
              </c:numCache>
            </c:numRef>
          </c:val>
          <c:extLst xmlns:c16r2="http://schemas.microsoft.com/office/drawing/2015/06/chart">
            <c:ext xmlns:c16="http://schemas.microsoft.com/office/drawing/2014/chart" uri="{C3380CC4-5D6E-409C-BE32-E72D297353CC}">
              <c16:uniqueId val="{00000001-DE66-4222-AB8D-CDA75A0D25AF}"/>
            </c:ext>
          </c:extLst>
        </c:ser>
        <c:ser>
          <c:idx val="2"/>
          <c:order val="2"/>
          <c:tx>
            <c:v>Προθεσμιακές Καταθέσεις</c:v>
          </c:tx>
          <c:spPr>
            <a:ln>
              <a:solidFill>
                <a:srgbClr val="FFFFFF"/>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('LOANS-DEPOSITS BREAKDOWN'!$AC$69,'LOANS-DEPOSITS BREAKDOWN'!$AE$69)</c:f>
              <c:strCache>
                <c:ptCount val="2"/>
                <c:pt idx="0">
                  <c:v>12Μ 2020</c:v>
                </c:pt>
                <c:pt idx="1">
                  <c:v>6Μ 2021</c:v>
                </c:pt>
              </c:strCache>
            </c:strRef>
          </c:cat>
          <c:val>
            <c:numRef>
              <c:f>('LOANS-DEPOSITS BREAKDOWN'!$AC$72,'LOANS-DEPOSITS BREAKDOWN'!$AE$72)</c:f>
              <c:numCache>
                <c:formatCode>0.0%</c:formatCode>
                <c:ptCount val="2"/>
                <c:pt idx="0">
                  <c:v>0.58376559157997066</c:v>
                </c:pt>
                <c:pt idx="1">
                  <c:v>0.58772653276245002</c:v>
                </c:pt>
              </c:numCache>
            </c:numRef>
          </c:val>
          <c:extLst xmlns:c16r2="http://schemas.microsoft.com/office/drawing/2015/06/chart">
            <c:ext xmlns:c16="http://schemas.microsoft.com/office/drawing/2014/chart" uri="{C3380CC4-5D6E-409C-BE32-E72D297353CC}">
              <c16:uniqueId val="{00000002-DE66-4222-AB8D-CDA75A0D25AF}"/>
            </c:ext>
          </c:extLst>
        </c:ser>
        <c:ser>
          <c:idx val="3"/>
          <c:order val="3"/>
          <c:tx>
            <c:v>Λοιπά</c:v>
          </c:tx>
          <c:spPr>
            <a:solidFill>
              <a:srgbClr val="E99900"/>
            </a:solidFill>
            <a:ln>
              <a:solidFill>
                <a:srgbClr val="FFFFFF"/>
              </a:solidFill>
            </a:ln>
          </c:spPr>
          <c:invertIfNegative val="0"/>
          <c:dLbls>
            <c:spPr>
              <a:noFill/>
              <a:ln>
                <a:noFill/>
              </a:ln>
              <a:effectLst/>
            </c:spPr>
            <c:txPr>
              <a:bodyPr/>
              <a:lstStyle/>
              <a:p>
                <a:pPr algn="ctr">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('LOANS-DEPOSITS BREAKDOWN'!$AC$69,'LOANS-DEPOSITS BREAKDOWN'!$AE$69)</c:f>
              <c:strCache>
                <c:ptCount val="2"/>
                <c:pt idx="0">
                  <c:v>12Μ 2020</c:v>
                </c:pt>
                <c:pt idx="1">
                  <c:v>6Μ 2021</c:v>
                </c:pt>
              </c:strCache>
            </c:strRef>
          </c:cat>
          <c:val>
            <c:numRef>
              <c:f>('LOANS-DEPOSITS BREAKDOWN'!$AC$73,'LOANS-DEPOSITS BREAKDOWN'!$AE$73)</c:f>
              <c:numCache>
                <c:formatCode>0.0%</c:formatCode>
                <c:ptCount val="2"/>
                <c:pt idx="0">
                  <c:v>2.209677343315646E-3</c:v>
                </c:pt>
                <c:pt idx="1">
                  <c:v>2.9761067411870875E-3</c:v>
                </c:pt>
              </c:numCache>
            </c:numRef>
          </c:val>
          <c:extLst xmlns:c16r2="http://schemas.microsoft.com/office/drawing/2015/06/chart">
            <c:ext xmlns:c16="http://schemas.microsoft.com/office/drawing/2014/chart" uri="{C3380CC4-5D6E-409C-BE32-E72D297353CC}">
              <c16:uniqueId val="{00000003-DE66-4222-AB8D-CDA75A0D25AF}"/>
            </c:ext>
          </c:extLst>
        </c:ser>
        <c:dLbls>
          <c:showLegendKey val="0"/>
          <c:showVal val="0"/>
          <c:showCatName val="0"/>
          <c:showSerName val="0"/>
          <c:showPercent val="0"/>
          <c:showBubbleSize val="0"/>
        </c:dLbls>
        <c:gapWidth val="50"/>
        <c:overlap val="100"/>
        <c:axId val="-946754736"/>
        <c:axId val="-946761808"/>
      </c:barChart>
      <c:catAx>
        <c:axId val="-946754736"/>
        <c:scaling>
          <c:orientation val="minMax"/>
        </c:scaling>
        <c:delete val="0"/>
        <c:axPos val="b"/>
        <c:numFmt formatCode="General" sourceLinked="0"/>
        <c:majorTickMark val="none"/>
        <c:minorTickMark val="none"/>
        <c:tickLblPos val="nextTo"/>
        <c:spPr>
          <a:ln w="12700">
            <a:solidFill>
              <a:srgbClr val="7F7F7F"/>
            </a:solidFill>
          </a:ln>
        </c:spPr>
        <c:crossAx val="-946761808"/>
        <c:crosses val="autoZero"/>
        <c:auto val="1"/>
        <c:lblAlgn val="ctr"/>
        <c:lblOffset val="100"/>
        <c:noMultiLvlLbl val="0"/>
      </c:catAx>
      <c:valAx>
        <c:axId val="-946761808"/>
        <c:scaling>
          <c:orientation val="minMax"/>
          <c:min val="0"/>
        </c:scaling>
        <c:delete val="1"/>
        <c:axPos val="l"/>
        <c:numFmt formatCode="0.0%" sourceLinked="1"/>
        <c:majorTickMark val="out"/>
        <c:minorTickMark val="none"/>
        <c:tickLblPos val="nextTo"/>
        <c:crossAx val="-946754736"/>
        <c:crosses val="autoZero"/>
        <c:crossBetween val="between"/>
      </c:valAx>
      <c:spPr>
        <a:noFill/>
      </c:spPr>
    </c:plotArea>
    <c:legend>
      <c:legendPos val="b"/>
      <c:layout>
        <c:manualLayout>
          <c:xMode val="edge"/>
          <c:yMode val="edge"/>
          <c:x val="5.254667796292317E-3"/>
          <c:y val="0.77017314222242217"/>
          <c:w val="0.96841390767218838"/>
          <c:h val="0.19024623529775819"/>
        </c:manualLayout>
      </c:layout>
      <c:overlay val="0"/>
    </c:legend>
    <c:plotVisOnly val="1"/>
    <c:dispBlanksAs val="gap"/>
    <c:showDLblsOverMax val="0"/>
  </c:chart>
  <c:spPr>
    <a:noFill/>
    <a:ln>
      <a:noFill/>
    </a:ln>
  </c:spPr>
  <c:txPr>
    <a:bodyPr/>
    <a:lstStyle/>
    <a:p>
      <a:pPr>
        <a:defRPr sz="600" b="1">
          <a:solidFill>
            <a:srgbClr val="002060"/>
          </a:solidFill>
          <a:latin typeface="Arial" panose="020B0604020202020204" pitchFamily="34" charset="0"/>
          <a:cs typeface="Arial" panose="020B0604020202020204" pitchFamily="34" charset="0"/>
        </a:defRPr>
      </a:pPr>
      <a:endParaRPr lang="el-G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963396467333477E-3"/>
          <c:y val="7.9912822375590262E-2"/>
          <c:w val="0.98726590763992339"/>
          <c:h val="0.70450446327699789"/>
        </c:manualLayout>
      </c:layout>
      <c:lineChart>
        <c:grouping val="standard"/>
        <c:varyColors val="0"/>
        <c:ser>
          <c:idx val="0"/>
          <c:order val="0"/>
          <c:tx>
            <c:strRef>
              <c:f>'Deposits pricing &amp; Graphs'!$A$9</c:f>
              <c:strCache>
                <c:ptCount val="1"/>
                <c:pt idx="0">
                  <c:v>Time Deposits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lgn="ctr">
                  <a:defRPr sz="500" b="1" i="0" u="none" strike="noStrike" kern="1200" baseline="0">
                    <a:solidFill>
                      <a:srgbClr val="002060"/>
                    </a:solidFill>
                    <a:latin typeface="Arial" panose="020B0604020202020204" pitchFamily="34" charset="0"/>
                    <a:ea typeface="+mn-ea"/>
                    <a:cs typeface="Arial" panose="020B0604020202020204" pitchFamily="34" charset="0"/>
                  </a:defRPr>
                </a:pPr>
                <a:endParaRPr lang="el-G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'Deposits pricing &amp; Graphs'!$CA$8:$CM$8</c:f>
              <c:numCache>
                <c:formatCode>[$-408]mmm\-yy;@</c:formatCode>
                <c:ptCount val="13"/>
                <c:pt idx="0">
                  <c:v>43983</c:v>
                </c:pt>
                <c:pt idx="1">
                  <c:v>44013</c:v>
                </c:pt>
                <c:pt idx="2">
                  <c:v>44044</c:v>
                </c:pt>
                <c:pt idx="3">
                  <c:v>44075</c:v>
                </c:pt>
                <c:pt idx="4">
                  <c:v>44105</c:v>
                </c:pt>
                <c:pt idx="5">
                  <c:v>44136</c:v>
                </c:pt>
                <c:pt idx="6">
                  <c:v>44166</c:v>
                </c:pt>
                <c:pt idx="7">
                  <c:v>44197</c:v>
                </c:pt>
                <c:pt idx="8">
                  <c:v>44228</c:v>
                </c:pt>
                <c:pt idx="9">
                  <c:v>44256</c:v>
                </c:pt>
                <c:pt idx="10">
                  <c:v>44287</c:v>
                </c:pt>
                <c:pt idx="11">
                  <c:v>44317</c:v>
                </c:pt>
                <c:pt idx="12">
                  <c:v>44348</c:v>
                </c:pt>
              </c:numCache>
            </c:numRef>
          </c:cat>
          <c:val>
            <c:numRef>
              <c:f>'Deposits pricing &amp; Graphs'!$CA$9:$CM$9</c:f>
              <c:numCache>
                <c:formatCode>General</c:formatCode>
                <c:ptCount val="13"/>
                <c:pt idx="0">
                  <c:v>96</c:v>
                </c:pt>
                <c:pt idx="1">
                  <c:v>94</c:v>
                </c:pt>
                <c:pt idx="2">
                  <c:v>93</c:v>
                </c:pt>
                <c:pt idx="3">
                  <c:v>92</c:v>
                </c:pt>
                <c:pt idx="4">
                  <c:v>90</c:v>
                </c:pt>
                <c:pt idx="5">
                  <c:v>89</c:v>
                </c:pt>
                <c:pt idx="6">
                  <c:v>87</c:v>
                </c:pt>
                <c:pt idx="7">
                  <c:v>65</c:v>
                </c:pt>
                <c:pt idx="8">
                  <c:v>64</c:v>
                </c:pt>
                <c:pt idx="9">
                  <c:v>62</c:v>
                </c:pt>
                <c:pt idx="10">
                  <c:v>61</c:v>
                </c:pt>
                <c:pt idx="11">
                  <c:v>60</c:v>
                </c:pt>
                <c:pt idx="12">
                  <c:v>59</c:v>
                </c:pt>
              </c:numCache>
            </c:numRef>
          </c:val>
          <c:smooth val="0"/>
        </c:ser>
        <c:ser>
          <c:idx val="1"/>
          <c:order val="1"/>
          <c:tx>
            <c:strRef>
              <c:f>'Deposits pricing &amp; Graphs'!$A$10</c:f>
              <c:strCache>
                <c:ptCount val="1"/>
                <c:pt idx="0">
                  <c:v>Total Deposits</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rgbClr val="002060"/>
                    </a:solidFill>
                    <a:latin typeface="Arial" panose="020B0604020202020204" pitchFamily="34" charset="0"/>
                    <a:ea typeface="+mn-ea"/>
                    <a:cs typeface="Arial" panose="020B0604020202020204" pitchFamily="34" charset="0"/>
                  </a:defRPr>
                </a:pPr>
                <a:endParaRPr lang="el-GR"/>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'Deposits pricing &amp; Graphs'!$CA$8:$CM$8</c:f>
              <c:numCache>
                <c:formatCode>[$-408]mmm\-yy;@</c:formatCode>
                <c:ptCount val="13"/>
                <c:pt idx="0">
                  <c:v>43983</c:v>
                </c:pt>
                <c:pt idx="1">
                  <c:v>44013</c:v>
                </c:pt>
                <c:pt idx="2">
                  <c:v>44044</c:v>
                </c:pt>
                <c:pt idx="3">
                  <c:v>44075</c:v>
                </c:pt>
                <c:pt idx="4">
                  <c:v>44105</c:v>
                </c:pt>
                <c:pt idx="5">
                  <c:v>44136</c:v>
                </c:pt>
                <c:pt idx="6">
                  <c:v>44166</c:v>
                </c:pt>
                <c:pt idx="7">
                  <c:v>44197</c:v>
                </c:pt>
                <c:pt idx="8">
                  <c:v>44228</c:v>
                </c:pt>
                <c:pt idx="9">
                  <c:v>44256</c:v>
                </c:pt>
                <c:pt idx="10">
                  <c:v>44287</c:v>
                </c:pt>
                <c:pt idx="11">
                  <c:v>44317</c:v>
                </c:pt>
                <c:pt idx="12">
                  <c:v>44348</c:v>
                </c:pt>
              </c:numCache>
            </c:numRef>
          </c:cat>
          <c:val>
            <c:numRef>
              <c:f>'Deposits pricing &amp; Graphs'!$CA$10:$CM$10</c:f>
              <c:numCache>
                <c:formatCode>General</c:formatCode>
                <c:ptCount val="13"/>
                <c:pt idx="0">
                  <c:v>75</c:v>
                </c:pt>
                <c:pt idx="1">
                  <c:v>75</c:v>
                </c:pt>
                <c:pt idx="2">
                  <c:v>74</c:v>
                </c:pt>
                <c:pt idx="3">
                  <c:v>73</c:v>
                </c:pt>
                <c:pt idx="4">
                  <c:v>72</c:v>
                </c:pt>
                <c:pt idx="5">
                  <c:v>73</c:v>
                </c:pt>
                <c:pt idx="6">
                  <c:v>71</c:v>
                </c:pt>
                <c:pt idx="7">
                  <c:v>44</c:v>
                </c:pt>
                <c:pt idx="8">
                  <c:v>43</c:v>
                </c:pt>
                <c:pt idx="9">
                  <c:v>48</c:v>
                </c:pt>
                <c:pt idx="10">
                  <c:v>48</c:v>
                </c:pt>
                <c:pt idx="11">
                  <c:v>47</c:v>
                </c:pt>
                <c:pt idx="12">
                  <c:v>46</c:v>
                </c:pt>
              </c:numCache>
            </c:numRef>
          </c:val>
          <c:smooth val="0"/>
        </c:ser>
        <c:dLbls>
          <c:showLegendKey val="0"/>
          <c:showVal val="0"/>
          <c:showCatName val="0"/>
          <c:showSerName val="0"/>
          <c:showPercent val="0"/>
          <c:showBubbleSize val="0"/>
        </c:dLbls>
        <c:smooth val="0"/>
        <c:axId val="-855172464"/>
        <c:axId val="-855176816"/>
      </c:lineChart>
      <c:dateAx>
        <c:axId val="-855172464"/>
        <c:scaling>
          <c:orientation val="minMax"/>
        </c:scaling>
        <c:delete val="0"/>
        <c:axPos val="b"/>
        <c:numFmt formatCode="[$-408]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a:defRPr sz="500" b="1" i="0" u="none" strike="noStrike" kern="1200" baseline="0">
                <a:solidFill>
                  <a:srgbClr val="002060"/>
                </a:solidFill>
                <a:latin typeface="Arial" panose="020B0604020202020204" pitchFamily="34" charset="0"/>
                <a:ea typeface="+mn-ea"/>
                <a:cs typeface="Arial" panose="020B0604020202020204" pitchFamily="34" charset="0"/>
              </a:defRPr>
            </a:pPr>
            <a:endParaRPr lang="el-GR"/>
          </a:p>
        </c:txPr>
        <c:crossAx val="-855176816"/>
        <c:crosses val="autoZero"/>
        <c:auto val="1"/>
        <c:lblOffset val="100"/>
        <c:baseTimeUnit val="months"/>
      </c:dateAx>
      <c:valAx>
        <c:axId val="-855176816"/>
        <c:scaling>
          <c:orientation val="minMax"/>
        </c:scaling>
        <c:delete val="1"/>
        <c:axPos val="l"/>
        <c:numFmt formatCode="General" sourceLinked="1"/>
        <c:majorTickMark val="none"/>
        <c:minorTickMark val="none"/>
        <c:tickLblPos val="nextTo"/>
        <c:crossAx val="-85517246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600">
          <a:latin typeface="Arial" panose="020B0604020202020204" pitchFamily="34" charset="0"/>
          <a:cs typeface="Arial" panose="020B0604020202020204" pitchFamily="34" charset="0"/>
        </a:defRPr>
      </a:pPr>
      <a:endParaRPr lang="el-G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results presentation">
    <a:dk1>
      <a:sysClr val="windowText" lastClr="000000"/>
    </a:dk1>
    <a:lt1>
      <a:sysClr val="window" lastClr="FFFFFF"/>
    </a:lt1>
    <a:dk2>
      <a:srgbClr val="373545"/>
    </a:dk2>
    <a:lt2>
      <a:srgbClr val="CEDBE6"/>
    </a:lt2>
    <a:accent1>
      <a:srgbClr val="1E478E"/>
    </a:accent1>
    <a:accent2>
      <a:srgbClr val="AB5AA3"/>
    </a:accent2>
    <a:accent3>
      <a:srgbClr val="4A9B82"/>
    </a:accent3>
    <a:accent4>
      <a:srgbClr val="E99900"/>
    </a:accent4>
    <a:accent5>
      <a:srgbClr val="95969B"/>
    </a:accent5>
    <a:accent6>
      <a:srgbClr val="C00000"/>
    </a:accent6>
    <a:hlink>
      <a:srgbClr val="6B9F25"/>
    </a:hlink>
    <a:folHlink>
      <a:srgbClr val="9F6715"/>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results presentation">
    <a:dk1>
      <a:sysClr val="windowText" lastClr="000000"/>
    </a:dk1>
    <a:lt1>
      <a:sysClr val="window" lastClr="FFFFFF"/>
    </a:lt1>
    <a:dk2>
      <a:srgbClr val="373545"/>
    </a:dk2>
    <a:lt2>
      <a:srgbClr val="CEDBE6"/>
    </a:lt2>
    <a:accent1>
      <a:srgbClr val="1E478E"/>
    </a:accent1>
    <a:accent2>
      <a:srgbClr val="AB5AA3"/>
    </a:accent2>
    <a:accent3>
      <a:srgbClr val="4A9B82"/>
    </a:accent3>
    <a:accent4>
      <a:srgbClr val="E99900"/>
    </a:accent4>
    <a:accent5>
      <a:srgbClr val="95969B"/>
    </a:accent5>
    <a:accent6>
      <a:srgbClr val="C00000"/>
    </a:accent6>
    <a:hlink>
      <a:srgbClr val="6B9F25"/>
    </a:hlink>
    <a:folHlink>
      <a:srgbClr val="9F6715"/>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0AEBB-90E6-4C70-AD14-16EA90141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2547</Words>
  <Characters>13757</Characters>
  <Application>Microsoft Office Word</Application>
  <DocSecurity>0</DocSecurity>
  <Lines>114</Lines>
  <Paragraphs>32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Triantafillou</dc:creator>
  <cp:lastModifiedBy>Tsatsaronis  Christos</cp:lastModifiedBy>
  <cp:revision>3</cp:revision>
  <cp:lastPrinted>2021-07-07T16:09:00Z</cp:lastPrinted>
  <dcterms:created xsi:type="dcterms:W3CDTF">2021-08-25T14:51:00Z</dcterms:created>
  <dcterms:modified xsi:type="dcterms:W3CDTF">2021-08-25T14:52:00Z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Creator">
    <vt:lpwstr>Microsoft® Word 2013</vt:lpwstr>
  </property>
  <property fmtid="{D5CDD505-2E9C-101B-9397-08002B2CF9AE}" pid="4" name="LastSaved">
    <vt:filetime>2020-04-06T00:00:00Z</vt:filetime>
  </property>
</Properties>
</file>